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footer23.xml" ContentType="application/vnd.openxmlformats-officedocument.wordprocessingml.foot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header31.xml" ContentType="application/vnd.openxmlformats-officedocument.wordprocessingml.header+xml"/>
  <Override PartName="/word/footer30.xml" ContentType="application/vnd.openxmlformats-officedocument.wordprocessingml.footer+xml"/>
  <Override PartName="/word/footer31.xml" ContentType="application/vnd.openxmlformats-officedocument.wordprocessingml.footer+xml"/>
  <Override PartName="/word/header32.xml" ContentType="application/vnd.openxmlformats-officedocument.wordprocessingml.header+xml"/>
  <Override PartName="/word/header33.xml" ContentType="application/vnd.openxmlformats-officedocument.wordprocessingml.header+xml"/>
  <Override PartName="/word/footer32.xml" ContentType="application/vnd.openxmlformats-officedocument.wordprocessingml.foot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header37.xml" ContentType="application/vnd.openxmlformats-officedocument.wordprocessingml.header+xml"/>
  <Override PartName="/word/footer36.xml" ContentType="application/vnd.openxmlformats-officedocument.wordprocessingml.footer+xml"/>
  <Override PartName="/word/footer37.xml" ContentType="application/vnd.openxmlformats-officedocument.wordprocessingml.footer+xml"/>
  <Override PartName="/word/header38.xml" ContentType="application/vnd.openxmlformats-officedocument.wordprocessingml.header+xml"/>
  <Override PartName="/word/header39.xml" ContentType="application/vnd.openxmlformats-officedocument.wordprocessingml.header+xml"/>
  <Override PartName="/word/footer38.xml" ContentType="application/vnd.openxmlformats-officedocument.wordprocessingml.footer+xml"/>
  <Override PartName="/word/footer39.xml" ContentType="application/vnd.openxmlformats-officedocument.wordprocessingml.footer+xml"/>
  <Override PartName="/word/header40.xml" ContentType="application/vnd.openxmlformats-officedocument.wordprocessingml.header+xml"/>
  <Override PartName="/word/footer40.xml" ContentType="application/vnd.openxmlformats-officedocument.wordprocessingml.footer+xml"/>
  <Override PartName="/word/header41.xml" ContentType="application/vnd.openxmlformats-officedocument.wordprocessingml.header+xml"/>
  <Override PartName="/word/header42.xml" ContentType="application/vnd.openxmlformats-officedocument.wordprocessingml.header+xml"/>
  <Override PartName="/word/footer41.xml" ContentType="application/vnd.openxmlformats-officedocument.wordprocessingml.footer+xml"/>
  <Override PartName="/word/footer42.xml" ContentType="application/vnd.openxmlformats-officedocument.wordprocessingml.footer+xml"/>
  <Override PartName="/word/header43.xml" ContentType="application/vnd.openxmlformats-officedocument.wordprocessingml.header+xml"/>
  <Override PartName="/word/footer43.xml" ContentType="application/vnd.openxmlformats-officedocument.wordprocessingml.footer+xml"/>
  <Override PartName="/word/header44.xml" ContentType="application/vnd.openxmlformats-officedocument.wordprocessingml.header+xml"/>
  <Override PartName="/word/header45.xml" ContentType="application/vnd.openxmlformats-officedocument.wordprocessingml.header+xml"/>
  <Override PartName="/word/footer44.xml" ContentType="application/vnd.openxmlformats-officedocument.wordprocessingml.footer+xml"/>
  <Override PartName="/word/footer45.xml" ContentType="application/vnd.openxmlformats-officedocument.wordprocessingml.footer+xml"/>
  <Override PartName="/word/header46.xml" ContentType="application/vnd.openxmlformats-officedocument.wordprocessingml.header+xml"/>
  <Override PartName="/word/footer46.xml" ContentType="application/vnd.openxmlformats-officedocument.wordprocessingml.footer+xml"/>
  <Override PartName="/word/header47.xml" ContentType="application/vnd.openxmlformats-officedocument.wordprocessingml.header+xml"/>
  <Override PartName="/word/header48.xml" ContentType="application/vnd.openxmlformats-officedocument.wordprocessingml.header+xml"/>
  <Override PartName="/word/footer47.xml" ContentType="application/vnd.openxmlformats-officedocument.wordprocessingml.footer+xml"/>
  <Override PartName="/word/footer48.xml" ContentType="application/vnd.openxmlformats-officedocument.wordprocessingml.footer+xml"/>
  <Override PartName="/word/header49.xml" ContentType="application/vnd.openxmlformats-officedocument.wordprocessingml.header+xml"/>
  <Override PartName="/word/header50.xml" ContentType="application/vnd.openxmlformats-officedocument.wordprocessingml.header+xml"/>
  <Override PartName="/word/footer49.xml" ContentType="application/vnd.openxmlformats-officedocument.wordprocessingml.footer+xml"/>
  <Override PartName="/word/footer50.xml" ContentType="application/vnd.openxmlformats-officedocument.wordprocessingml.footer+xml"/>
  <Override PartName="/word/header51.xml" ContentType="application/vnd.openxmlformats-officedocument.wordprocessingml.header+xml"/>
  <Override PartName="/word/header52.xml" ContentType="application/vnd.openxmlformats-officedocument.wordprocessingml.header+xml"/>
  <Override PartName="/word/footer51.xml" ContentType="application/vnd.openxmlformats-officedocument.wordprocessingml.footer+xml"/>
  <Override PartName="/word/footer52.xml" ContentType="application/vnd.openxmlformats-officedocument.wordprocessingml.footer+xml"/>
  <Override PartName="/word/header53.xml" ContentType="application/vnd.openxmlformats-officedocument.wordprocessingml.header+xml"/>
  <Override PartName="/word/header54.xml" ContentType="application/vnd.openxmlformats-officedocument.wordprocessingml.header+xml"/>
  <Override PartName="/word/footer53.xml" ContentType="application/vnd.openxmlformats-officedocument.wordprocessingml.footer+xml"/>
  <Override PartName="/word/footer54.xml" ContentType="application/vnd.openxmlformats-officedocument.wordprocessingml.footer+xml"/>
  <Override PartName="/word/header55.xml" ContentType="application/vnd.openxmlformats-officedocument.wordprocessingml.header+xml"/>
  <Override PartName="/word/footer55.xml" ContentType="application/vnd.openxmlformats-officedocument.wordprocessingml.footer+xml"/>
  <Override PartName="/word/header56.xml" ContentType="application/vnd.openxmlformats-officedocument.wordprocessingml.header+xml"/>
  <Override PartName="/word/header57.xml" ContentType="application/vnd.openxmlformats-officedocument.wordprocessingml.header+xml"/>
  <Override PartName="/word/footer56.xml" ContentType="application/vnd.openxmlformats-officedocument.wordprocessingml.footer+xml"/>
  <Override PartName="/word/footer57.xml" ContentType="application/vnd.openxmlformats-officedocument.wordprocessingml.footer+xml"/>
  <Override PartName="/word/header58.xml" ContentType="application/vnd.openxmlformats-officedocument.wordprocessingml.header+xml"/>
  <Override PartName="/word/footer58.xml" ContentType="application/vnd.openxmlformats-officedocument.wordprocessingml.footer+xml"/>
  <Override PartName="/word/header59.xml" ContentType="application/vnd.openxmlformats-officedocument.wordprocessingml.header+xml"/>
  <Override PartName="/word/header60.xml" ContentType="application/vnd.openxmlformats-officedocument.wordprocessingml.header+xml"/>
  <Override PartName="/word/footer59.xml" ContentType="application/vnd.openxmlformats-officedocument.wordprocessingml.footer+xml"/>
  <Override PartName="/word/footer60.xml" ContentType="application/vnd.openxmlformats-officedocument.wordprocessingml.footer+xml"/>
  <Override PartName="/word/header61.xml" ContentType="application/vnd.openxmlformats-officedocument.wordprocessingml.header+xml"/>
  <Override PartName="/word/header62.xml" ContentType="application/vnd.openxmlformats-officedocument.wordprocessingml.header+xml"/>
  <Override PartName="/word/footer61.xml" ContentType="application/vnd.openxmlformats-officedocument.wordprocessingml.footer+xml"/>
  <Override PartName="/word/footer62.xml" ContentType="application/vnd.openxmlformats-officedocument.wordprocessingml.footer+xml"/>
  <Override PartName="/word/header63.xml" ContentType="application/vnd.openxmlformats-officedocument.wordprocessingml.header+xml"/>
  <Override PartName="/word/footer63.xml" ContentType="application/vnd.openxmlformats-officedocument.wordprocessingml.footer+xml"/>
  <Override PartName="/word/header64.xml" ContentType="application/vnd.openxmlformats-officedocument.wordprocessingml.header+xml"/>
  <Override PartName="/word/header65.xml" ContentType="application/vnd.openxmlformats-officedocument.wordprocessingml.header+xml"/>
  <Override PartName="/word/footer64.xml" ContentType="application/vnd.openxmlformats-officedocument.wordprocessingml.footer+xml"/>
  <Override PartName="/word/footer65.xml" ContentType="application/vnd.openxmlformats-officedocument.wordprocessingml.footer+xml"/>
  <Override PartName="/word/header66.xml" ContentType="application/vnd.openxmlformats-officedocument.wordprocessingml.header+xml"/>
  <Override PartName="/word/header67.xml" ContentType="application/vnd.openxmlformats-officedocument.wordprocessingml.header+xml"/>
  <Override PartName="/word/footer66.xml" ContentType="application/vnd.openxmlformats-officedocument.wordprocessingml.footer+xml"/>
  <Override PartName="/word/footer67.xml" ContentType="application/vnd.openxmlformats-officedocument.wordprocessingml.footer+xml"/>
  <Override PartName="/word/header68.xml" ContentType="application/vnd.openxmlformats-officedocument.wordprocessingml.header+xml"/>
  <Override PartName="/word/header69.xml" ContentType="application/vnd.openxmlformats-officedocument.wordprocessingml.header+xml"/>
  <Override PartName="/word/footer68.xml" ContentType="application/vnd.openxmlformats-officedocument.wordprocessingml.footer+xml"/>
  <Override PartName="/word/footer69.xml" ContentType="application/vnd.openxmlformats-officedocument.wordprocessingml.footer+xml"/>
  <Override PartName="/word/header70.xml" ContentType="application/vnd.openxmlformats-officedocument.wordprocessingml.header+xml"/>
  <Override PartName="/word/header71.xml" ContentType="application/vnd.openxmlformats-officedocument.wordprocessingml.header+xml"/>
  <Override PartName="/word/footer70.xml" ContentType="application/vnd.openxmlformats-officedocument.wordprocessingml.footer+xml"/>
  <Override PartName="/word/footer71.xml" ContentType="application/vnd.openxmlformats-officedocument.wordprocessingml.footer+xml"/>
  <Override PartName="/word/header72.xml" ContentType="application/vnd.openxmlformats-officedocument.wordprocessingml.header+xml"/>
  <Override PartName="/word/footer72.xml" ContentType="application/vnd.openxmlformats-officedocument.wordprocessingml.footer+xml"/>
  <Override PartName="/word/header73.xml" ContentType="application/vnd.openxmlformats-officedocument.wordprocessingml.header+xml"/>
  <Override PartName="/word/header74.xml" ContentType="application/vnd.openxmlformats-officedocument.wordprocessingml.header+xml"/>
  <Override PartName="/word/footer73.xml" ContentType="application/vnd.openxmlformats-officedocument.wordprocessingml.footer+xml"/>
  <Override PartName="/word/footer74.xml" ContentType="application/vnd.openxmlformats-officedocument.wordprocessingml.footer+xml"/>
  <Override PartName="/word/header75.xml" ContentType="application/vnd.openxmlformats-officedocument.wordprocessingml.header+xml"/>
  <Override PartName="/word/header76.xml" ContentType="application/vnd.openxmlformats-officedocument.wordprocessingml.header+xml"/>
  <Override PartName="/word/footer75.xml" ContentType="application/vnd.openxmlformats-officedocument.wordprocessingml.footer+xml"/>
  <Override PartName="/word/footer76.xml" ContentType="application/vnd.openxmlformats-officedocument.wordprocessingml.footer+xml"/>
  <Override PartName="/word/header77.xml" ContentType="application/vnd.openxmlformats-officedocument.wordprocessingml.header+xml"/>
  <Override PartName="/word/header78.xml" ContentType="application/vnd.openxmlformats-officedocument.wordprocessingml.header+xml"/>
  <Override PartName="/word/footer77.xml" ContentType="application/vnd.openxmlformats-officedocument.wordprocessingml.footer+xml"/>
  <Override PartName="/word/footer78.xml" ContentType="application/vnd.openxmlformats-officedocument.wordprocessingml.footer+xml"/>
  <Override PartName="/word/header79.xml" ContentType="application/vnd.openxmlformats-officedocument.wordprocessingml.header+xml"/>
  <Override PartName="/word/footer79.xml" ContentType="application/vnd.openxmlformats-officedocument.wordprocessingml.footer+xml"/>
  <Override PartName="/word/header80.xml" ContentType="application/vnd.openxmlformats-officedocument.wordprocessingml.header+xml"/>
  <Override PartName="/word/header81.xml" ContentType="application/vnd.openxmlformats-officedocument.wordprocessingml.header+xml"/>
  <Override PartName="/word/footer80.xml" ContentType="application/vnd.openxmlformats-officedocument.wordprocessingml.footer+xml"/>
  <Override PartName="/word/footer81.xml" ContentType="application/vnd.openxmlformats-officedocument.wordprocessingml.footer+xml"/>
  <Override PartName="/word/header82.xml" ContentType="application/vnd.openxmlformats-officedocument.wordprocessingml.header+xml"/>
  <Override PartName="/word/header83.xml" ContentType="application/vnd.openxmlformats-officedocument.wordprocessingml.header+xml"/>
  <Override PartName="/word/footer82.xml" ContentType="application/vnd.openxmlformats-officedocument.wordprocessingml.footer+xml"/>
  <Override PartName="/word/footer83.xml" ContentType="application/vnd.openxmlformats-officedocument.wordprocessingml.footer+xml"/>
  <Override PartName="/word/header84.xml" ContentType="application/vnd.openxmlformats-officedocument.wordprocessingml.header+xml"/>
  <Override PartName="/word/header85.xml" ContentType="application/vnd.openxmlformats-officedocument.wordprocessingml.header+xml"/>
  <Override PartName="/word/footer84.xml" ContentType="application/vnd.openxmlformats-officedocument.wordprocessingml.footer+xml"/>
  <Override PartName="/word/footer85.xml" ContentType="application/vnd.openxmlformats-officedocument.wordprocessingml.footer+xml"/>
  <Override PartName="/word/header86.xml" ContentType="application/vnd.openxmlformats-officedocument.wordprocessingml.header+xml"/>
  <Override PartName="/word/header87.xml" ContentType="application/vnd.openxmlformats-officedocument.wordprocessingml.header+xml"/>
  <Override PartName="/word/footer86.xml" ContentType="application/vnd.openxmlformats-officedocument.wordprocessingml.footer+xml"/>
  <Override PartName="/word/footer87.xml" ContentType="application/vnd.openxmlformats-officedocument.wordprocessingml.footer+xml"/>
  <Override PartName="/word/header88.xml" ContentType="application/vnd.openxmlformats-officedocument.wordprocessingml.header+xml"/>
  <Override PartName="/word/header89.xml" ContentType="application/vnd.openxmlformats-officedocument.wordprocessingml.header+xml"/>
  <Override PartName="/word/footer88.xml" ContentType="application/vnd.openxmlformats-officedocument.wordprocessingml.footer+xml"/>
  <Override PartName="/word/footer89.xml" ContentType="application/vnd.openxmlformats-officedocument.wordprocessingml.footer+xml"/>
  <Override PartName="/word/header90.xml" ContentType="application/vnd.openxmlformats-officedocument.wordprocessingml.header+xml"/>
  <Override PartName="/word/header91.xml" ContentType="application/vnd.openxmlformats-officedocument.wordprocessingml.header+xml"/>
  <Override PartName="/word/footer90.xml" ContentType="application/vnd.openxmlformats-officedocument.wordprocessingml.footer+xml"/>
  <Override PartName="/word/footer91.xml" ContentType="application/vnd.openxmlformats-officedocument.wordprocessingml.footer+xml"/>
  <Override PartName="/word/header92.xml" ContentType="application/vnd.openxmlformats-officedocument.wordprocessingml.header+xml"/>
  <Override PartName="/word/footer92.xml" ContentType="application/vnd.openxmlformats-officedocument.wordprocessingml.footer+xml"/>
  <Override PartName="/word/header93.xml" ContentType="application/vnd.openxmlformats-officedocument.wordprocessingml.header+xml"/>
  <Override PartName="/word/header94.xml" ContentType="application/vnd.openxmlformats-officedocument.wordprocessingml.header+xml"/>
  <Override PartName="/word/footer93.xml" ContentType="application/vnd.openxmlformats-officedocument.wordprocessingml.footer+xml"/>
  <Override PartName="/word/footer94.xml" ContentType="application/vnd.openxmlformats-officedocument.wordprocessingml.footer+xml"/>
  <Override PartName="/word/header95.xml" ContentType="application/vnd.openxmlformats-officedocument.wordprocessingml.header+xml"/>
  <Override PartName="/word/footer95.xml" ContentType="application/vnd.openxmlformats-officedocument.wordprocessingml.footer+xml"/>
  <Override PartName="/word/header96.xml" ContentType="application/vnd.openxmlformats-officedocument.wordprocessingml.header+xml"/>
  <Override PartName="/word/header97.xml" ContentType="application/vnd.openxmlformats-officedocument.wordprocessingml.header+xml"/>
  <Override PartName="/word/footer96.xml" ContentType="application/vnd.openxmlformats-officedocument.wordprocessingml.footer+xml"/>
  <Override PartName="/word/footer97.xml" ContentType="application/vnd.openxmlformats-officedocument.wordprocessingml.footer+xml"/>
  <Override PartName="/word/header98.xml" ContentType="application/vnd.openxmlformats-officedocument.wordprocessingml.header+xml"/>
  <Override PartName="/word/footer98.xml" ContentType="application/vnd.openxmlformats-officedocument.wordprocessingml.footer+xml"/>
  <Override PartName="/word/header99.xml" ContentType="application/vnd.openxmlformats-officedocument.wordprocessingml.header+xml"/>
  <Override PartName="/word/header100.xml" ContentType="application/vnd.openxmlformats-officedocument.wordprocessingml.header+xml"/>
  <Override PartName="/word/footer99.xml" ContentType="application/vnd.openxmlformats-officedocument.wordprocessingml.footer+xml"/>
  <Override PartName="/word/footer100.xml" ContentType="application/vnd.openxmlformats-officedocument.wordprocessingml.footer+xml"/>
  <Override PartName="/word/header101.xml" ContentType="application/vnd.openxmlformats-officedocument.wordprocessingml.header+xml"/>
  <Override PartName="/word/header102.xml" ContentType="application/vnd.openxmlformats-officedocument.wordprocessingml.header+xml"/>
  <Override PartName="/word/footer101.xml" ContentType="application/vnd.openxmlformats-officedocument.wordprocessingml.footer+xml"/>
  <Override PartName="/word/footer102.xml" ContentType="application/vnd.openxmlformats-officedocument.wordprocessingml.footer+xml"/>
  <Override PartName="/word/header103.xml" ContentType="application/vnd.openxmlformats-officedocument.wordprocessingml.header+xml"/>
  <Override PartName="/word/footer103.xml" ContentType="application/vnd.openxmlformats-officedocument.wordprocessingml.footer+xml"/>
  <Override PartName="/word/header104.xml" ContentType="application/vnd.openxmlformats-officedocument.wordprocessingml.header+xml"/>
  <Override PartName="/word/header105.xml" ContentType="application/vnd.openxmlformats-officedocument.wordprocessingml.header+xml"/>
  <Override PartName="/word/footer104.xml" ContentType="application/vnd.openxmlformats-officedocument.wordprocessingml.footer+xml"/>
  <Override PartName="/word/footer105.xml" ContentType="application/vnd.openxmlformats-officedocument.wordprocessingml.footer+xml"/>
  <Override PartName="/word/header106.xml" ContentType="application/vnd.openxmlformats-officedocument.wordprocessingml.header+xml"/>
  <Override PartName="/word/header107.xml" ContentType="application/vnd.openxmlformats-officedocument.wordprocessingml.header+xml"/>
  <Override PartName="/word/footer106.xml" ContentType="application/vnd.openxmlformats-officedocument.wordprocessingml.footer+xml"/>
  <Override PartName="/word/footer107.xml" ContentType="application/vnd.openxmlformats-officedocument.wordprocessingml.footer+xml"/>
  <Override PartName="/word/header108.xml" ContentType="application/vnd.openxmlformats-officedocument.wordprocessingml.header+xml"/>
  <Override PartName="/word/footer108.xml" ContentType="application/vnd.openxmlformats-officedocument.wordprocessingml.footer+xml"/>
  <Override PartName="/word/header109.xml" ContentType="application/vnd.openxmlformats-officedocument.wordprocessingml.header+xml"/>
  <Override PartName="/word/header110.xml" ContentType="application/vnd.openxmlformats-officedocument.wordprocessingml.header+xml"/>
  <Override PartName="/word/footer109.xml" ContentType="application/vnd.openxmlformats-officedocument.wordprocessingml.footer+xml"/>
  <Override PartName="/word/footer110.xml" ContentType="application/vnd.openxmlformats-officedocument.wordprocessingml.footer+xml"/>
  <Override PartName="/word/header111.xml" ContentType="application/vnd.openxmlformats-officedocument.wordprocessingml.header+xml"/>
  <Override PartName="/word/header112.xml" ContentType="application/vnd.openxmlformats-officedocument.wordprocessingml.header+xml"/>
  <Override PartName="/word/footer111.xml" ContentType="application/vnd.openxmlformats-officedocument.wordprocessingml.footer+xml"/>
  <Override PartName="/word/footer112.xml" ContentType="application/vnd.openxmlformats-officedocument.wordprocessingml.footer+xml"/>
  <Override PartName="/word/header113.xml" ContentType="application/vnd.openxmlformats-officedocument.wordprocessingml.header+xml"/>
  <Override PartName="/word/footer113.xml" ContentType="application/vnd.openxmlformats-officedocument.wordprocessingml.footer+xml"/>
  <Override PartName="/word/header114.xml" ContentType="application/vnd.openxmlformats-officedocument.wordprocessingml.header+xml"/>
  <Override PartName="/word/header115.xml" ContentType="application/vnd.openxmlformats-officedocument.wordprocessingml.header+xml"/>
  <Override PartName="/word/footer114.xml" ContentType="application/vnd.openxmlformats-officedocument.wordprocessingml.footer+xml"/>
  <Override PartName="/word/footer115.xml" ContentType="application/vnd.openxmlformats-officedocument.wordprocessingml.footer+xml"/>
  <Override PartName="/word/header116.xml" ContentType="application/vnd.openxmlformats-officedocument.wordprocessingml.header+xml"/>
  <Override PartName="/word/header117.xml" ContentType="application/vnd.openxmlformats-officedocument.wordprocessingml.header+xml"/>
  <Override PartName="/word/footer116.xml" ContentType="application/vnd.openxmlformats-officedocument.wordprocessingml.footer+xml"/>
  <Override PartName="/word/footer117.xml" ContentType="application/vnd.openxmlformats-officedocument.wordprocessingml.footer+xml"/>
  <Override PartName="/word/header118.xml" ContentType="application/vnd.openxmlformats-officedocument.wordprocessingml.header+xml"/>
  <Override PartName="/word/footer118.xml" ContentType="application/vnd.openxmlformats-officedocument.wordprocessingml.footer+xml"/>
  <Override PartName="/word/header119.xml" ContentType="application/vnd.openxmlformats-officedocument.wordprocessingml.header+xml"/>
  <Override PartName="/word/header120.xml" ContentType="application/vnd.openxmlformats-officedocument.wordprocessingml.header+xml"/>
  <Override PartName="/word/footer119.xml" ContentType="application/vnd.openxmlformats-officedocument.wordprocessingml.footer+xml"/>
  <Override PartName="/word/footer120.xml" ContentType="application/vnd.openxmlformats-officedocument.wordprocessingml.footer+xml"/>
  <Override PartName="/word/header121.xml" ContentType="application/vnd.openxmlformats-officedocument.wordprocessingml.header+xml"/>
  <Override PartName="/word/footer121.xml" ContentType="application/vnd.openxmlformats-officedocument.wordprocessingml.footer+xml"/>
  <Override PartName="/word/header122.xml" ContentType="application/vnd.openxmlformats-officedocument.wordprocessingml.header+xml"/>
  <Override PartName="/word/header123.xml" ContentType="application/vnd.openxmlformats-officedocument.wordprocessingml.header+xml"/>
  <Override PartName="/word/footer122.xml" ContentType="application/vnd.openxmlformats-officedocument.wordprocessingml.footer+xml"/>
  <Override PartName="/word/footer123.xml" ContentType="application/vnd.openxmlformats-officedocument.wordprocessingml.footer+xml"/>
  <Override PartName="/word/header124.xml" ContentType="application/vnd.openxmlformats-officedocument.wordprocessingml.header+xml"/>
  <Override PartName="/word/header125.xml" ContentType="application/vnd.openxmlformats-officedocument.wordprocessingml.header+xml"/>
  <Override PartName="/word/footer124.xml" ContentType="application/vnd.openxmlformats-officedocument.wordprocessingml.footer+xml"/>
  <Override PartName="/word/footer125.xml" ContentType="application/vnd.openxmlformats-officedocument.wordprocessingml.footer+xml"/>
  <Override PartName="/word/header126.xml" ContentType="application/vnd.openxmlformats-officedocument.wordprocessingml.header+xml"/>
  <Override PartName="/word/footer126.xml" ContentType="application/vnd.openxmlformats-officedocument.wordprocessingml.footer+xml"/>
  <Override PartName="/word/header127.xml" ContentType="application/vnd.openxmlformats-officedocument.wordprocessingml.header+xml"/>
  <Override PartName="/word/header128.xml" ContentType="application/vnd.openxmlformats-officedocument.wordprocessingml.header+xml"/>
  <Override PartName="/word/footer127.xml" ContentType="application/vnd.openxmlformats-officedocument.wordprocessingml.footer+xml"/>
  <Override PartName="/word/footer128.xml" ContentType="application/vnd.openxmlformats-officedocument.wordprocessingml.footer+xml"/>
  <Override PartName="/word/header129.xml" ContentType="application/vnd.openxmlformats-officedocument.wordprocessingml.header+xml"/>
  <Override PartName="/word/header130.xml" ContentType="application/vnd.openxmlformats-officedocument.wordprocessingml.header+xml"/>
  <Override PartName="/word/footer129.xml" ContentType="application/vnd.openxmlformats-officedocument.wordprocessingml.footer+xml"/>
  <Override PartName="/word/footer130.xml" ContentType="application/vnd.openxmlformats-officedocument.wordprocessingml.footer+xml"/>
  <Override PartName="/word/header131.xml" ContentType="application/vnd.openxmlformats-officedocument.wordprocessingml.header+xml"/>
  <Override PartName="/word/header132.xml" ContentType="application/vnd.openxmlformats-officedocument.wordprocessingml.header+xml"/>
  <Override PartName="/word/footer131.xml" ContentType="application/vnd.openxmlformats-officedocument.wordprocessingml.footer+xml"/>
  <Override PartName="/word/footer132.xml" ContentType="application/vnd.openxmlformats-officedocument.wordprocessingml.footer+xml"/>
  <Override PartName="/word/header133.xml" ContentType="application/vnd.openxmlformats-officedocument.wordprocessingml.header+xml"/>
  <Override PartName="/word/header134.xml" ContentType="application/vnd.openxmlformats-officedocument.wordprocessingml.header+xml"/>
  <Override PartName="/word/footer133.xml" ContentType="application/vnd.openxmlformats-officedocument.wordprocessingml.footer+xml"/>
  <Override PartName="/word/footer134.xml" ContentType="application/vnd.openxmlformats-officedocument.wordprocessingml.footer+xml"/>
  <Override PartName="/word/header135.xml" ContentType="application/vnd.openxmlformats-officedocument.wordprocessingml.header+xml"/>
  <Override PartName="/word/header136.xml" ContentType="application/vnd.openxmlformats-officedocument.wordprocessingml.header+xml"/>
  <Override PartName="/word/footer135.xml" ContentType="application/vnd.openxmlformats-officedocument.wordprocessingml.footer+xml"/>
  <Override PartName="/word/footer136.xml" ContentType="application/vnd.openxmlformats-officedocument.wordprocessingml.footer+xml"/>
  <Override PartName="/word/header137.xml" ContentType="application/vnd.openxmlformats-officedocument.wordprocessingml.header+xml"/>
  <Override PartName="/word/footer137.xml" ContentType="application/vnd.openxmlformats-officedocument.wordprocessingml.footer+xml"/>
  <Override PartName="/word/header138.xml" ContentType="application/vnd.openxmlformats-officedocument.wordprocessingml.header+xml"/>
  <Override PartName="/word/header139.xml" ContentType="application/vnd.openxmlformats-officedocument.wordprocessingml.header+xml"/>
  <Override PartName="/word/footer138.xml" ContentType="application/vnd.openxmlformats-officedocument.wordprocessingml.footer+xml"/>
  <Override PartName="/word/footer139.xml" ContentType="application/vnd.openxmlformats-officedocument.wordprocessingml.footer+xml"/>
  <Override PartName="/word/header140.xml" ContentType="application/vnd.openxmlformats-officedocument.wordprocessingml.header+xml"/>
  <Override PartName="/word/footer140.xml" ContentType="application/vnd.openxmlformats-officedocument.wordprocessingml.footer+xml"/>
  <Override PartName="/word/header141.xml" ContentType="application/vnd.openxmlformats-officedocument.wordprocessingml.header+xml"/>
  <Override PartName="/word/header142.xml" ContentType="application/vnd.openxmlformats-officedocument.wordprocessingml.header+xml"/>
  <Override PartName="/word/footer141.xml" ContentType="application/vnd.openxmlformats-officedocument.wordprocessingml.footer+xml"/>
  <Override PartName="/word/footer142.xml" ContentType="application/vnd.openxmlformats-officedocument.wordprocessingml.footer+xml"/>
  <Override PartName="/word/header143.xml" ContentType="application/vnd.openxmlformats-officedocument.wordprocessingml.header+xml"/>
  <Override PartName="/word/header144.xml" ContentType="application/vnd.openxmlformats-officedocument.wordprocessingml.header+xml"/>
  <Override PartName="/word/footer143.xml" ContentType="application/vnd.openxmlformats-officedocument.wordprocessingml.footer+xml"/>
  <Override PartName="/word/footer144.xml" ContentType="application/vnd.openxmlformats-officedocument.wordprocessingml.footer+xml"/>
  <Override PartName="/word/header145.xml" ContentType="application/vnd.openxmlformats-officedocument.wordprocessingml.header+xml"/>
  <Override PartName="/word/header146.xml" ContentType="application/vnd.openxmlformats-officedocument.wordprocessingml.header+xml"/>
  <Override PartName="/word/footer145.xml" ContentType="application/vnd.openxmlformats-officedocument.wordprocessingml.footer+xml"/>
  <Override PartName="/word/footer146.xml" ContentType="application/vnd.openxmlformats-officedocument.wordprocessingml.footer+xml"/>
  <Override PartName="/word/header147.xml" ContentType="application/vnd.openxmlformats-officedocument.wordprocessingml.header+xml"/>
  <Override PartName="/word/footer147.xml" ContentType="application/vnd.openxmlformats-officedocument.wordprocessingml.footer+xml"/>
  <Override PartName="/word/header148.xml" ContentType="application/vnd.openxmlformats-officedocument.wordprocessingml.header+xml"/>
  <Override PartName="/word/header149.xml" ContentType="application/vnd.openxmlformats-officedocument.wordprocessingml.header+xml"/>
  <Override PartName="/word/footer148.xml" ContentType="application/vnd.openxmlformats-officedocument.wordprocessingml.footer+xml"/>
  <Override PartName="/word/footer149.xml" ContentType="application/vnd.openxmlformats-officedocument.wordprocessingml.footer+xml"/>
  <Override PartName="/word/header150.xml" ContentType="application/vnd.openxmlformats-officedocument.wordprocessingml.header+xml"/>
  <Override PartName="/word/header151.xml" ContentType="application/vnd.openxmlformats-officedocument.wordprocessingml.header+xml"/>
  <Override PartName="/word/footer150.xml" ContentType="application/vnd.openxmlformats-officedocument.wordprocessingml.footer+xml"/>
  <Override PartName="/word/footer151.xml" ContentType="application/vnd.openxmlformats-officedocument.wordprocessingml.footer+xml"/>
  <Override PartName="/word/header152.xml" ContentType="application/vnd.openxmlformats-officedocument.wordprocessingml.header+xml"/>
  <Override PartName="/word/header153.xml" ContentType="application/vnd.openxmlformats-officedocument.wordprocessingml.header+xml"/>
  <Override PartName="/word/footer152.xml" ContentType="application/vnd.openxmlformats-officedocument.wordprocessingml.footer+xml"/>
  <Override PartName="/word/footer153.xml" ContentType="application/vnd.openxmlformats-officedocument.wordprocessingml.footer+xml"/>
  <Override PartName="/word/header154.xml" ContentType="application/vnd.openxmlformats-officedocument.wordprocessingml.header+xml"/>
  <Override PartName="/word/header155.xml" ContentType="application/vnd.openxmlformats-officedocument.wordprocessingml.header+xml"/>
  <Override PartName="/word/footer154.xml" ContentType="application/vnd.openxmlformats-officedocument.wordprocessingml.footer+xml"/>
  <Override PartName="/word/footer155.xml" ContentType="application/vnd.openxmlformats-officedocument.wordprocessingml.footer+xml"/>
  <Override PartName="/word/header156.xml" ContentType="application/vnd.openxmlformats-officedocument.wordprocessingml.header+xml"/>
  <Override PartName="/word/header157.xml" ContentType="application/vnd.openxmlformats-officedocument.wordprocessingml.header+xml"/>
  <Override PartName="/word/footer156.xml" ContentType="application/vnd.openxmlformats-officedocument.wordprocessingml.footer+xml"/>
  <Override PartName="/word/footer157.xml" ContentType="application/vnd.openxmlformats-officedocument.wordprocessingml.footer+xml"/>
  <Override PartName="/word/header158.xml" ContentType="application/vnd.openxmlformats-officedocument.wordprocessingml.header+xml"/>
  <Override PartName="/word/footer158.xml" ContentType="application/vnd.openxmlformats-officedocument.wordprocessingml.footer+xml"/>
  <Override PartName="/word/header159.xml" ContentType="application/vnd.openxmlformats-officedocument.wordprocessingml.header+xml"/>
  <Override PartName="/word/header160.xml" ContentType="application/vnd.openxmlformats-officedocument.wordprocessingml.header+xml"/>
  <Override PartName="/word/footer159.xml" ContentType="application/vnd.openxmlformats-officedocument.wordprocessingml.footer+xml"/>
  <Override PartName="/word/footer160.xml" ContentType="application/vnd.openxmlformats-officedocument.wordprocessingml.footer+xml"/>
  <Override PartName="/word/header161.xml" ContentType="application/vnd.openxmlformats-officedocument.wordprocessingml.header+xml"/>
  <Override PartName="/word/footer161.xml" ContentType="application/vnd.openxmlformats-officedocument.wordprocessingml.footer+xml"/>
  <Override PartName="/word/header162.xml" ContentType="application/vnd.openxmlformats-officedocument.wordprocessingml.header+xml"/>
  <Override PartName="/word/header163.xml" ContentType="application/vnd.openxmlformats-officedocument.wordprocessingml.header+xml"/>
  <Override PartName="/word/footer162.xml" ContentType="application/vnd.openxmlformats-officedocument.wordprocessingml.footer+xml"/>
  <Override PartName="/word/footer163.xml" ContentType="application/vnd.openxmlformats-officedocument.wordprocessingml.footer+xml"/>
  <Override PartName="/word/header164.xml" ContentType="application/vnd.openxmlformats-officedocument.wordprocessingml.header+xml"/>
  <Override PartName="/word/footer164.xml" ContentType="application/vnd.openxmlformats-officedocument.wordprocessingml.footer+xml"/>
  <Override PartName="/word/header165.xml" ContentType="application/vnd.openxmlformats-officedocument.wordprocessingml.header+xml"/>
  <Override PartName="/word/header166.xml" ContentType="application/vnd.openxmlformats-officedocument.wordprocessingml.header+xml"/>
  <Override PartName="/word/footer165.xml" ContentType="application/vnd.openxmlformats-officedocument.wordprocessingml.footer+xml"/>
  <Override PartName="/word/footer166.xml" ContentType="application/vnd.openxmlformats-officedocument.wordprocessingml.footer+xml"/>
  <Override PartName="/word/header167.xml" ContentType="application/vnd.openxmlformats-officedocument.wordprocessingml.header+xml"/>
  <Override PartName="/word/header168.xml" ContentType="application/vnd.openxmlformats-officedocument.wordprocessingml.header+xml"/>
  <Override PartName="/word/footer167.xml" ContentType="application/vnd.openxmlformats-officedocument.wordprocessingml.footer+xml"/>
  <Override PartName="/word/footer168.xml" ContentType="application/vnd.openxmlformats-officedocument.wordprocessingml.footer+xml"/>
  <Override PartName="/word/header169.xml" ContentType="application/vnd.openxmlformats-officedocument.wordprocessingml.header+xml"/>
  <Override PartName="/word/header170.xml" ContentType="application/vnd.openxmlformats-officedocument.wordprocessingml.header+xml"/>
  <Override PartName="/word/footer169.xml" ContentType="application/vnd.openxmlformats-officedocument.wordprocessingml.footer+xml"/>
  <Override PartName="/word/footer170.xml" ContentType="application/vnd.openxmlformats-officedocument.wordprocessingml.footer+xml"/>
  <Override PartName="/word/header171.xml" ContentType="application/vnd.openxmlformats-officedocument.wordprocessingml.header+xml"/>
  <Override PartName="/word/header172.xml" ContentType="application/vnd.openxmlformats-officedocument.wordprocessingml.header+xml"/>
  <Override PartName="/word/footer171.xml" ContentType="application/vnd.openxmlformats-officedocument.wordprocessingml.footer+xml"/>
  <Override PartName="/word/footer172.xml" ContentType="application/vnd.openxmlformats-officedocument.wordprocessingml.footer+xml"/>
  <Override PartName="/word/header173.xml" ContentType="application/vnd.openxmlformats-officedocument.wordprocessingml.header+xml"/>
  <Override PartName="/word/footer173.xml" ContentType="application/vnd.openxmlformats-officedocument.wordprocessingml.footer+xml"/>
  <Override PartName="/word/header174.xml" ContentType="application/vnd.openxmlformats-officedocument.wordprocessingml.header+xml"/>
  <Override PartName="/word/header175.xml" ContentType="application/vnd.openxmlformats-officedocument.wordprocessingml.header+xml"/>
  <Override PartName="/word/footer174.xml" ContentType="application/vnd.openxmlformats-officedocument.wordprocessingml.footer+xml"/>
  <Override PartName="/word/footer175.xml" ContentType="application/vnd.openxmlformats-officedocument.wordprocessingml.footer+xml"/>
  <Override PartName="/word/header176.xml" ContentType="application/vnd.openxmlformats-officedocument.wordprocessingml.header+xml"/>
  <Override PartName="/word/footer176.xml" ContentType="application/vnd.openxmlformats-officedocument.wordprocessingml.footer+xml"/>
  <Override PartName="/word/header177.xml" ContentType="application/vnd.openxmlformats-officedocument.wordprocessingml.header+xml"/>
  <Override PartName="/word/header178.xml" ContentType="application/vnd.openxmlformats-officedocument.wordprocessingml.header+xml"/>
  <Override PartName="/word/footer177.xml" ContentType="application/vnd.openxmlformats-officedocument.wordprocessingml.footer+xml"/>
  <Override PartName="/word/footer178.xml" ContentType="application/vnd.openxmlformats-officedocument.wordprocessingml.footer+xml"/>
  <Override PartName="/word/header179.xml" ContentType="application/vnd.openxmlformats-officedocument.wordprocessingml.header+xml"/>
  <Override PartName="/word/header180.xml" ContentType="application/vnd.openxmlformats-officedocument.wordprocessingml.header+xml"/>
  <Override PartName="/word/footer179.xml" ContentType="application/vnd.openxmlformats-officedocument.wordprocessingml.footer+xml"/>
  <Override PartName="/word/footer180.xml" ContentType="application/vnd.openxmlformats-officedocument.wordprocessingml.footer+xml"/>
  <Override PartName="/word/header181.xml" ContentType="application/vnd.openxmlformats-officedocument.wordprocessingml.header+xml"/>
  <Override PartName="/word/header182.xml" ContentType="application/vnd.openxmlformats-officedocument.wordprocessingml.header+xml"/>
  <Override PartName="/word/footer181.xml" ContentType="application/vnd.openxmlformats-officedocument.wordprocessingml.footer+xml"/>
  <Override PartName="/word/footer182.xml" ContentType="application/vnd.openxmlformats-officedocument.wordprocessingml.footer+xml"/>
  <Override PartName="/word/header183.xml" ContentType="application/vnd.openxmlformats-officedocument.wordprocessingml.header+xml"/>
  <Override PartName="/word/header184.xml" ContentType="application/vnd.openxmlformats-officedocument.wordprocessingml.header+xml"/>
  <Override PartName="/word/footer183.xml" ContentType="application/vnd.openxmlformats-officedocument.wordprocessingml.footer+xml"/>
  <Override PartName="/word/footer184.xml" ContentType="application/vnd.openxmlformats-officedocument.wordprocessingml.footer+xml"/>
  <Override PartName="/word/header185.xml" ContentType="application/vnd.openxmlformats-officedocument.wordprocessingml.header+xml"/>
  <Override PartName="/word/header186.xml" ContentType="application/vnd.openxmlformats-officedocument.wordprocessingml.header+xml"/>
  <Override PartName="/word/footer185.xml" ContentType="application/vnd.openxmlformats-officedocument.wordprocessingml.footer+xml"/>
  <Override PartName="/word/footer186.xml" ContentType="application/vnd.openxmlformats-officedocument.wordprocessingml.footer+xml"/>
  <Override PartName="/word/header187.xml" ContentType="application/vnd.openxmlformats-officedocument.wordprocessingml.header+xml"/>
  <Override PartName="/word/header188.xml" ContentType="application/vnd.openxmlformats-officedocument.wordprocessingml.header+xml"/>
  <Override PartName="/word/footer187.xml" ContentType="application/vnd.openxmlformats-officedocument.wordprocessingml.footer+xml"/>
  <Override PartName="/word/footer188.xml" ContentType="application/vnd.openxmlformats-officedocument.wordprocessingml.footer+xml"/>
  <Override PartName="/word/header189.xml" ContentType="application/vnd.openxmlformats-officedocument.wordprocessingml.header+xml"/>
  <Override PartName="/word/header190.xml" ContentType="application/vnd.openxmlformats-officedocument.wordprocessingml.header+xml"/>
  <Override PartName="/word/footer189.xml" ContentType="application/vnd.openxmlformats-officedocument.wordprocessingml.footer+xml"/>
  <Override PartName="/word/footer190.xml" ContentType="application/vnd.openxmlformats-officedocument.wordprocessingml.footer+xml"/>
  <Override PartName="/word/header191.xml" ContentType="application/vnd.openxmlformats-officedocument.wordprocessingml.header+xml"/>
  <Override PartName="/word/header192.xml" ContentType="application/vnd.openxmlformats-officedocument.wordprocessingml.header+xml"/>
  <Override PartName="/word/footer191.xml" ContentType="application/vnd.openxmlformats-officedocument.wordprocessingml.footer+xml"/>
  <Override PartName="/word/footer192.xml" ContentType="application/vnd.openxmlformats-officedocument.wordprocessingml.footer+xml"/>
  <Override PartName="/word/header193.xml" ContentType="application/vnd.openxmlformats-officedocument.wordprocessingml.header+xml"/>
  <Override PartName="/word/header194.xml" ContentType="application/vnd.openxmlformats-officedocument.wordprocessingml.header+xml"/>
  <Override PartName="/word/footer193.xml" ContentType="application/vnd.openxmlformats-officedocument.wordprocessingml.footer+xml"/>
  <Override PartName="/word/footer194.xml" ContentType="application/vnd.openxmlformats-officedocument.wordprocessingml.footer+xml"/>
  <Override PartName="/word/header195.xml" ContentType="application/vnd.openxmlformats-officedocument.wordprocessingml.header+xml"/>
  <Override PartName="/word/footer195.xml" ContentType="application/vnd.openxmlformats-officedocument.wordprocessingml.footer+xml"/>
  <Override PartName="/word/header196.xml" ContentType="application/vnd.openxmlformats-officedocument.wordprocessingml.header+xml"/>
  <Override PartName="/word/header197.xml" ContentType="application/vnd.openxmlformats-officedocument.wordprocessingml.header+xml"/>
  <Override PartName="/word/footer196.xml" ContentType="application/vnd.openxmlformats-officedocument.wordprocessingml.footer+xml"/>
  <Override PartName="/word/footer197.xml" ContentType="application/vnd.openxmlformats-officedocument.wordprocessingml.footer+xml"/>
  <Override PartName="/word/header198.xml" ContentType="application/vnd.openxmlformats-officedocument.wordprocessingml.header+xml"/>
  <Override PartName="/word/footer198.xml" ContentType="application/vnd.openxmlformats-officedocument.wordprocessingml.footer+xml"/>
  <Override PartName="/word/header199.xml" ContentType="application/vnd.openxmlformats-officedocument.wordprocessingml.header+xml"/>
  <Override PartName="/word/header200.xml" ContentType="application/vnd.openxmlformats-officedocument.wordprocessingml.header+xml"/>
  <Override PartName="/word/footer199.xml" ContentType="application/vnd.openxmlformats-officedocument.wordprocessingml.footer+xml"/>
  <Override PartName="/word/footer200.xml" ContentType="application/vnd.openxmlformats-officedocument.wordprocessingml.footer+xml"/>
  <Override PartName="/word/header201.xml" ContentType="application/vnd.openxmlformats-officedocument.wordprocessingml.header+xml"/>
  <Override PartName="/word/header202.xml" ContentType="application/vnd.openxmlformats-officedocument.wordprocessingml.header+xml"/>
  <Override PartName="/word/footer201.xml" ContentType="application/vnd.openxmlformats-officedocument.wordprocessingml.footer+xml"/>
  <Override PartName="/word/footer202.xml" ContentType="application/vnd.openxmlformats-officedocument.wordprocessingml.footer+xml"/>
  <Override PartName="/word/header203.xml" ContentType="application/vnd.openxmlformats-officedocument.wordprocessingml.header+xml"/>
  <Override PartName="/word/footer203.xml" ContentType="application/vnd.openxmlformats-officedocument.wordprocessingml.footer+xml"/>
  <Override PartName="/word/header204.xml" ContentType="application/vnd.openxmlformats-officedocument.wordprocessingml.header+xml"/>
  <Override PartName="/word/header205.xml" ContentType="application/vnd.openxmlformats-officedocument.wordprocessingml.header+xml"/>
  <Override PartName="/word/footer204.xml" ContentType="application/vnd.openxmlformats-officedocument.wordprocessingml.footer+xml"/>
  <Override PartName="/word/footer205.xml" ContentType="application/vnd.openxmlformats-officedocument.wordprocessingml.footer+xml"/>
  <Override PartName="/word/header206.xml" ContentType="application/vnd.openxmlformats-officedocument.wordprocessingml.header+xml"/>
  <Override PartName="/word/header207.xml" ContentType="application/vnd.openxmlformats-officedocument.wordprocessingml.header+xml"/>
  <Override PartName="/word/footer206.xml" ContentType="application/vnd.openxmlformats-officedocument.wordprocessingml.footer+xml"/>
  <Override PartName="/word/footer207.xml" ContentType="application/vnd.openxmlformats-officedocument.wordprocessingml.footer+xml"/>
  <Override PartName="/word/header208.xml" ContentType="application/vnd.openxmlformats-officedocument.wordprocessingml.header+xml"/>
  <Override PartName="/word/header209.xml" ContentType="application/vnd.openxmlformats-officedocument.wordprocessingml.header+xml"/>
  <Override PartName="/word/footer208.xml" ContentType="application/vnd.openxmlformats-officedocument.wordprocessingml.footer+xml"/>
  <Override PartName="/word/footer209.xml" ContentType="application/vnd.openxmlformats-officedocument.wordprocessingml.footer+xml"/>
  <Override PartName="/word/header210.xml" ContentType="application/vnd.openxmlformats-officedocument.wordprocessingml.header+xml"/>
  <Override PartName="/word/footer210.xml" ContentType="application/vnd.openxmlformats-officedocument.wordprocessingml.footer+xml"/>
  <Override PartName="/word/header211.xml" ContentType="application/vnd.openxmlformats-officedocument.wordprocessingml.header+xml"/>
  <Override PartName="/word/header212.xml" ContentType="application/vnd.openxmlformats-officedocument.wordprocessingml.header+xml"/>
  <Override PartName="/word/footer211.xml" ContentType="application/vnd.openxmlformats-officedocument.wordprocessingml.footer+xml"/>
  <Override PartName="/word/footer2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D66F8" w14:textId="77777777" w:rsidR="00D03C17" w:rsidRDefault="00D03C17">
      <w:pPr>
        <w:pStyle w:val="Bodytext20"/>
        <w:numPr>
          <w:ilvl w:val="0"/>
          <w:numId w:val="78"/>
        </w:numPr>
        <w:tabs>
          <w:tab w:val="left" w:pos="286"/>
        </w:tabs>
        <w:ind w:left="300" w:hanging="300"/>
      </w:pPr>
      <w:r>
        <w:t>generen vapor; será mejor no consumir paté enlatado o al menudeo ni carne para untar</w:t>
      </w:r>
    </w:p>
    <w:p w14:paraId="197405F2" w14:textId="77777777" w:rsidR="00D03C17" w:rsidRDefault="00D03C17">
      <w:pPr>
        <w:pStyle w:val="Bodytext20"/>
        <w:numPr>
          <w:ilvl w:val="0"/>
          <w:numId w:val="78"/>
        </w:numPr>
        <w:pBdr>
          <w:bottom w:val="single" w:sz="4" w:space="0" w:color="auto"/>
        </w:pBdr>
        <w:tabs>
          <w:tab w:val="left" w:pos="286"/>
        </w:tabs>
        <w:spacing w:after="160"/>
        <w:ind w:left="300" w:hanging="300"/>
      </w:pPr>
      <w:bookmarkStart w:id="0" w:name="bookmark1026"/>
      <w:bookmarkEnd w:id="0"/>
      <w:r>
        <w:t>No se consumirá leche cruda o no pasteurizada que incluya la de cabra, productos lácteos o alimentos que contengan leche o productos no pasteurizados</w:t>
      </w:r>
    </w:p>
    <w:p w14:paraId="1314E431" w14:textId="77777777" w:rsidR="00D03C17" w:rsidRDefault="00D03C17">
      <w:pPr>
        <w:pStyle w:val="Bodytext20"/>
        <w:spacing w:after="380" w:line="233" w:lineRule="auto"/>
        <w:ind w:left="240" w:hanging="240"/>
      </w:pPr>
      <w:r>
        <w:rPr>
          <w:vertAlign w:val="superscript"/>
        </w:rPr>
        <w:t>1</w:t>
      </w:r>
      <w:r>
        <w:t xml:space="preserve"> Los pacientes de alto riesgo son los que muestran inmunodeficiencia por enfermedades o tratamientos, y embarazadas.</w:t>
      </w:r>
    </w:p>
    <w:p w14:paraId="2382E606" w14:textId="77777777" w:rsidR="00D03C17" w:rsidRDefault="00D03C17">
      <w:pPr>
        <w:pStyle w:val="Bodytext70"/>
        <w:spacing w:after="0"/>
      </w:pPr>
      <w:r>
        <w:t>Lyme, enfermedad</w:t>
      </w:r>
    </w:p>
    <w:p w14:paraId="6FBF2CD3" w14:textId="77777777" w:rsidR="00D03C17" w:rsidRDefault="00D03C17">
      <w:pPr>
        <w:pStyle w:val="Bodytext80"/>
        <w:spacing w:line="226" w:lineRule="auto"/>
        <w:rPr>
          <w:sz w:val="20"/>
          <w:szCs w:val="20"/>
        </w:rPr>
      </w:pPr>
      <w:r>
        <w:rPr>
          <w:b/>
          <w:bCs/>
          <w:w w:val="70"/>
          <w:sz w:val="20"/>
          <w:szCs w:val="20"/>
        </w:rPr>
        <w:t xml:space="preserve">(Infección por </w:t>
      </w:r>
      <w:r>
        <w:rPr>
          <w:b/>
          <w:bCs/>
          <w:i/>
          <w:iCs/>
          <w:sz w:val="15"/>
          <w:szCs w:val="15"/>
        </w:rPr>
        <w:t>Borrelia burgdorferi</w:t>
      </w:r>
      <w:r>
        <w:rPr>
          <w:b/>
          <w:bCs/>
          <w:i/>
          <w:iCs/>
          <w:w w:val="70"/>
          <w:sz w:val="20"/>
          <w:szCs w:val="20"/>
        </w:rPr>
        <w:t>)</w:t>
      </w:r>
    </w:p>
    <w:p w14:paraId="142780C8" w14:textId="77777777" w:rsidR="00D03C17" w:rsidRDefault="00D03C17">
      <w:pPr>
        <w:pStyle w:val="BodyText"/>
        <w:spacing w:line="276" w:lineRule="auto"/>
        <w:ind w:firstLine="0"/>
      </w:pPr>
      <w:r>
        <w:rPr>
          <w:b/>
          <w:bCs/>
        </w:rPr>
        <w:t>M</w:t>
      </w:r>
      <w:r>
        <w:rPr>
          <w:b/>
          <w:bCs/>
          <w:sz w:val="13"/>
          <w:szCs w:val="13"/>
        </w:rPr>
        <w:t>ANIFESTACIONES CLÍNICAS</w:t>
      </w:r>
      <w:r>
        <w:rPr>
          <w:b/>
          <w:bCs/>
        </w:rPr>
        <w:t xml:space="preserve">: </w:t>
      </w:r>
      <w:r>
        <w:t xml:space="preserve">El cuadro clínico de la enfermedad mencionada se divide en tres etapas: localizada temprana, diseminada temprana y tardía. La primera forma (localizada temprana) se caracteriza por la aparición de una erupción peculiar llamada </w:t>
      </w:r>
      <w:r>
        <w:rPr>
          <w:rFonts w:ascii="Times New Roman" w:eastAsia="Times New Roman" w:hAnsi="Times New Roman" w:cs="Times New Roman"/>
          <w:i/>
          <w:iCs/>
          <w:sz w:val="16"/>
          <w:szCs w:val="16"/>
        </w:rPr>
        <w:t>eritema migrans</w:t>
      </w:r>
      <w:r>
        <w:t xml:space="preserve"> en el sitio de una picadura reciente de una garrapata. El eritema mencionado comienza en la forma de una mácula o pápula rojizas que suelen expandirse con el paso de días o semanas hasta formar una gran lesión eritematosa anular de 5 cm de diámetro o más (mediana, 15 cm), a veces con una zona “clara” parcial en el centro. El eritema migrans localizado muestra una variación enorme en su tamaño y forma y puede tener en el centro áreas vesiculares o necróticas. Junto con el eritema suele surgir fiebre, malestar general, cefalea, rigidez leve del cuello, mialgia y artralgia. En personas no tratadas, los síntomas concomitantes pueden ser intermitentes y variar en un lapso de semanas.</w:t>
      </w:r>
    </w:p>
    <w:p w14:paraId="4A84424F" w14:textId="77777777" w:rsidR="00D03C17" w:rsidRDefault="00D03C17">
      <w:pPr>
        <w:pStyle w:val="BodyText"/>
        <w:spacing w:line="276" w:lineRule="auto"/>
        <w:ind w:firstLine="360"/>
      </w:pPr>
      <w:r>
        <w:t xml:space="preserve">La manifestación más común de la forma diseminada temprana es el </w:t>
      </w:r>
      <w:r>
        <w:rPr>
          <w:rFonts w:ascii="Times New Roman" w:eastAsia="Times New Roman" w:hAnsi="Times New Roman" w:cs="Times New Roman"/>
          <w:i/>
          <w:iCs/>
          <w:sz w:val="16"/>
          <w:szCs w:val="16"/>
        </w:rPr>
        <w:t>eritema migrans</w:t>
      </w:r>
      <w:r>
        <w:t xml:space="preserve"> múltiple, que suele aparecer tres a cinco semanas después de la picadura de una garrapata infectada y que incluye lesiones eritematosas anulares secundarias semejantes a la lesión primaria, pero más pequeñas. Estas lesiones traducen espiroquetemia con diseminación cutánea. Otras manifestaciones frecuentes de la variante diseminada temprana (que aparece con erupción o sin ella) son las parálisis de pares craneales (en particular del par craneal VII), meningitis y conjuntivitis. En la etapa diseminada temprana es frecuente observar síntomas sistémicos, artralgias, mialgias, cefalea y fatiga. Rara vez se detecta en niños carditis, que suele caracterizarse por grados diversos de bloqueo cardiaco.</w:t>
      </w:r>
    </w:p>
    <w:p w14:paraId="4EF0BFBE" w14:textId="77777777" w:rsidR="00D03C17" w:rsidRDefault="00D03C17">
      <w:pPr>
        <w:pStyle w:val="BodyText"/>
        <w:ind w:firstLine="360"/>
        <w:sectPr w:rsidR="00D03C17" w:rsidSect="00D03C17">
          <w:headerReference w:type="even" r:id="rId7"/>
          <w:headerReference w:type="default" r:id="rId8"/>
          <w:footerReference w:type="even" r:id="rId9"/>
          <w:footerReference w:type="default" r:id="rId10"/>
          <w:footnotePr>
            <w:numFmt w:val="chicago"/>
          </w:footnotePr>
          <w:type w:val="continuous"/>
          <w:pgSz w:w="8501" w:h="13022"/>
          <w:pgMar w:top="710" w:right="796" w:bottom="428" w:left="783" w:header="0" w:footer="0" w:gutter="0"/>
          <w:cols w:space="720"/>
          <w:noEndnote/>
          <w:docGrid w:linePitch="360"/>
          <w15:footnoteColumns w:val="1"/>
        </w:sectPr>
      </w:pPr>
      <w:r>
        <w:t xml:space="preserve">La enfermedad tardía se caracteriza más a menudo por artritis recurrente, por lo común oligoarticular, y que ataca grandes articulaciones, en particular la rodilla. La artritis puede aparecer sin el antecedente de que se hayan sucedido anteriormente las etapas de la enfermedad (incluido el eritema migrans). En raras ocasiones en la forma </w:t>
      </w:r>
    </w:p>
    <w:p w14:paraId="04F8BD36" w14:textId="77777777" w:rsidR="00D03C17" w:rsidRDefault="00D03C17">
      <w:pPr>
        <w:pStyle w:val="BodyText"/>
        <w:ind w:firstLine="0"/>
      </w:pPr>
      <w:r>
        <w:t>tardía de la enfermedad aparecen manifestaciones del sistema nervioso central; esta forma es poco común en niños tratados con antimicrobianos desde la etapa incipiente de la enfermedad.</w:t>
      </w:r>
    </w:p>
    <w:p w14:paraId="557F6448" w14:textId="77777777" w:rsidR="00D03C17" w:rsidRDefault="00D03C17">
      <w:pPr>
        <w:pStyle w:val="BodyText"/>
        <w:ind w:firstLine="360"/>
      </w:pPr>
      <w:r>
        <w:t xml:space="preserve">Se observa infección congénita con otras espiroquetas, por lo que habrá que preocuparse de que una embarazada infectada transmita a su feto </w:t>
      </w:r>
      <w:r>
        <w:rPr>
          <w:rFonts w:ascii="Times New Roman" w:eastAsia="Times New Roman" w:hAnsi="Times New Roman" w:cs="Times New Roman"/>
          <w:i/>
          <w:iCs/>
          <w:sz w:val="16"/>
          <w:szCs w:val="16"/>
        </w:rPr>
        <w:t xml:space="preserve">Borrelia burgdorferi. </w:t>
      </w:r>
      <w:r>
        <w:t xml:space="preserve">No se ha corroborado de manera concluyente alguna relación causal entre la enfermedad de Lyme de la gestante y anormalidades del embarazo o enfermedad congénita causada por </w:t>
      </w:r>
      <w:r>
        <w:rPr>
          <w:rFonts w:ascii="Times New Roman" w:eastAsia="Times New Roman" w:hAnsi="Times New Roman" w:cs="Times New Roman"/>
          <w:i/>
          <w:iCs/>
          <w:sz w:val="16"/>
          <w:szCs w:val="16"/>
        </w:rPr>
        <w:t>B. burgdorferi.</w:t>
      </w:r>
      <w:r>
        <w:t xml:space="preserve"> Tampoco hay datos de que la enfermedad mencionada pueda transmitirse por la leche materna.</w:t>
      </w:r>
    </w:p>
    <w:p w14:paraId="133709AE" w14:textId="77777777" w:rsidR="00D03C17" w:rsidRDefault="00D03C17">
      <w:pPr>
        <w:pStyle w:val="BodyText"/>
        <w:ind w:firstLine="0"/>
        <w:rPr>
          <w:sz w:val="16"/>
          <w:szCs w:val="16"/>
        </w:rPr>
      </w:pPr>
      <w:r>
        <w:rPr>
          <w:b/>
          <w:bCs/>
        </w:rPr>
        <w:t>C</w:t>
      </w:r>
      <w:r>
        <w:rPr>
          <w:b/>
          <w:bCs/>
          <w:sz w:val="13"/>
          <w:szCs w:val="13"/>
        </w:rPr>
        <w:t>AUSA</w:t>
      </w:r>
      <w:r>
        <w:rPr>
          <w:b/>
          <w:bCs/>
        </w:rPr>
        <w:t xml:space="preserve">: </w:t>
      </w:r>
      <w:r>
        <w:t xml:space="preserve">La infección es causada por la espiroqueta </w:t>
      </w:r>
      <w:r>
        <w:rPr>
          <w:rFonts w:ascii="Times New Roman" w:eastAsia="Times New Roman" w:hAnsi="Times New Roman" w:cs="Times New Roman"/>
          <w:i/>
          <w:iCs/>
          <w:sz w:val="16"/>
          <w:szCs w:val="16"/>
        </w:rPr>
        <w:t>B. burgdorferi.</w:t>
      </w:r>
    </w:p>
    <w:p w14:paraId="417B24CA" w14:textId="77777777" w:rsidR="00D03C17" w:rsidRDefault="00D03C17">
      <w:pPr>
        <w:pStyle w:val="BodyText"/>
        <w:ind w:firstLine="0"/>
      </w:pPr>
      <w:r>
        <w:rPr>
          <w:b/>
          <w:bCs/>
        </w:rPr>
        <w:t>A</w:t>
      </w:r>
      <w:r>
        <w:rPr>
          <w:b/>
          <w:bCs/>
          <w:sz w:val="13"/>
          <w:szCs w:val="13"/>
        </w:rPr>
        <w:t>SPECTOS EPIDEMIOLÓGICOS</w:t>
      </w:r>
      <w:r>
        <w:rPr>
          <w:b/>
          <w:bCs/>
        </w:rPr>
        <w:t xml:space="preserve">: </w:t>
      </w:r>
      <w:r>
        <w:t xml:space="preserve">En Estados Unidos la enfermedad de Lyme surge más bien en tres regiones diferentes. Casi todos los casos son notificados en la porción noreste, desde el sureste de Maine hasta la región noreste de Virginia. La enfermedad afecta, aunque menos a menudo, a zonas como la porción superior del medio oeste, en particular los estados de Wisconsin y Minnesota, y con menor frecuencia la costa occidental, en particular el norte de California. La aparición de los casos en Estados Unidos guarda relación con la distribución y frecuencia de las garrapatas vectoras infectadas: </w:t>
      </w:r>
      <w:r>
        <w:rPr>
          <w:rFonts w:ascii="Times New Roman" w:eastAsia="Times New Roman" w:hAnsi="Times New Roman" w:cs="Times New Roman"/>
          <w:i/>
          <w:iCs/>
          <w:sz w:val="16"/>
          <w:szCs w:val="16"/>
        </w:rPr>
        <w:t>Ixodes scapularis</w:t>
      </w:r>
      <w:r>
        <w:t xml:space="preserve"> en la zona Oriental y del Medio Oeste, e </w:t>
      </w:r>
      <w:r>
        <w:rPr>
          <w:rFonts w:ascii="Times New Roman" w:eastAsia="Times New Roman" w:hAnsi="Times New Roman" w:cs="Times New Roman"/>
          <w:i/>
          <w:iCs/>
          <w:sz w:val="16"/>
          <w:szCs w:val="16"/>
        </w:rPr>
        <w:t xml:space="preserve">Ixodespacficus </w:t>
      </w:r>
      <w:r>
        <w:t>en el Oeste. Los casos notificados de estados sin riesgos conocidos de enzootias han provenido de regiones endémicas o quizá diagnósticos equivocados, que se han basado en resultados serológicos positivos falsos. Se han señalado zonas endémicas de la enfermedad de Lyme en Canadá, Europa, estados que componían la antigua Unión Soviética, China y Japón. El ataque en su mayor parte se produce entre abril y octubre y puede afectar personas de cualquier edad, pero en Estados Unidos la incidencia es máxima en niños de cinco a nueve años y en adultos de 45 a 54 años.</w:t>
      </w:r>
    </w:p>
    <w:p w14:paraId="2C3F2549" w14:textId="77777777" w:rsidR="00D03C17" w:rsidRDefault="00D03C17">
      <w:pPr>
        <w:pStyle w:val="BodyText"/>
        <w:ind w:firstLine="360"/>
      </w:pPr>
      <w:r>
        <w:t>El periodo de incubación que va desde la picadura de la garrapata hasta la aparición del eritema migrans varía de tres a 31 días, y en forma típica es de siete a 14 días. Las manifestaciones tardías aparecen meses o años después.</w:t>
      </w:r>
    </w:p>
    <w:p w14:paraId="0D863B70" w14:textId="77777777" w:rsidR="00D03C17" w:rsidRDefault="00D03C17">
      <w:pPr>
        <w:pStyle w:val="BodyText"/>
        <w:ind w:firstLine="0"/>
      </w:pPr>
      <w:r>
        <w:rPr>
          <w:b/>
          <w:bCs/>
        </w:rPr>
        <w:t>M</w:t>
      </w:r>
      <w:r>
        <w:rPr>
          <w:b/>
          <w:bCs/>
          <w:sz w:val="13"/>
          <w:szCs w:val="13"/>
        </w:rPr>
        <w:t>ÉTODOS DE LABORATORIO</w:t>
      </w:r>
      <w:r>
        <w:rPr>
          <w:b/>
          <w:bCs/>
        </w:rPr>
        <w:t xml:space="preserve">: </w:t>
      </w:r>
      <w:r>
        <w:t xml:space="preserve">El diagnóstico sobre bases clínicas se hace mejor en las etapas incipientes de la enfermedad, al identificar el eritema migrans, que es la erupción característica. En cultivos de la muestra de biopsia obtenida del perímetro de la lesión se suele identificar el microorganismo, pero no se dispone en los laboratorios comerciales de medios especiales para practicar cultivo de especies de </w:t>
      </w:r>
      <w:r>
        <w:rPr>
          <w:rFonts w:ascii="Times New Roman" w:eastAsia="Times New Roman" w:hAnsi="Times New Roman" w:cs="Times New Roman"/>
          <w:i/>
          <w:iCs/>
          <w:sz w:val="16"/>
          <w:szCs w:val="16"/>
        </w:rPr>
        <w:t>Borrelia,</w:t>
      </w:r>
      <w:r>
        <w:t xml:space="preserve"> y no se recomiendan. El diagnóstico en personas que posiblemente tengan la enfermedad de Lyme en etapa ulterior es difícil y debe basarse en signos clínicos y datos de estudios serológicos quizá realizados en un laboratorio especializado.</w:t>
      </w:r>
    </w:p>
    <w:p w14:paraId="71A2E9F6" w14:textId="77777777" w:rsidR="00D03C17" w:rsidRDefault="00D03C17">
      <w:pPr>
        <w:pStyle w:val="BodyText"/>
        <w:ind w:firstLine="360"/>
      </w:pPr>
      <w:r>
        <w:t xml:space="preserve">La concentración del anticuerpo específico (inmunoglobulina IgM) suele alcanzar su máximo entre la tercera y la sexta semanas después de comenzar la infección; el anticuerpo IgG específico aumenta lentamente en su título y por lo común alcanza su punto máximo semanas a meses después. En forma típica el eritema migrans localizado surge una a dos semanas después de la picadura de la garrapata; por esa razón, en muchos de los pacientes que muestran tal signo cutáneo no se detectarán anticuerpos contra </w:t>
      </w:r>
      <w:r>
        <w:rPr>
          <w:rFonts w:ascii="Times New Roman" w:eastAsia="Times New Roman" w:hAnsi="Times New Roman" w:cs="Times New Roman"/>
          <w:i/>
          <w:iCs/>
          <w:sz w:val="16"/>
          <w:szCs w:val="16"/>
        </w:rPr>
        <w:t>B. burgdorferi.</w:t>
      </w:r>
      <w:r>
        <w:t xml:space="preserve"> Por lo tanto, no es recomendable practicar de manera sistemática estudios serológicos en busca de la enfermedad de Lyme en niños con los signos típicos. Algunos sujetos tratados desde fecha temprana con antimicrobianos nunca producirán anticuerpos contra </w:t>
      </w:r>
      <w:r>
        <w:rPr>
          <w:rFonts w:ascii="Times New Roman" w:eastAsia="Times New Roman" w:hAnsi="Times New Roman" w:cs="Times New Roman"/>
          <w:i/>
          <w:iCs/>
          <w:sz w:val="16"/>
          <w:szCs w:val="16"/>
        </w:rPr>
        <w:t>B. burgdorferi</w:t>
      </w:r>
      <w:r>
        <w:t>. Sin embargo, sí los tendrán casi todos los niños con enfermedad diseminada temprana y prácticamente todos los que muestran la enfermedad tardía. Como ocurre con otras infecciones, una vez que aparecen los anticuerpos persisten durante años a pesar de que la enfermedad haya curado. En consecuencia, será mejor no utilizar métodos para detectar anticuerpos y evaluar los buenos resultados del tratamiento. Los resultados de los estudios serológicos para diagnosticar enfermedad de Lyme deben interpretarse prestando consideración cuidadosa a la situación clínica y la calidad de los estudios de laboratorio. Los médicos que no cuentan con laboratorios de buena calidad en la zona en que trabajan deben dirigirse al departamento sanitario estatal en busca de información sobre laboratorios especializados.</w:t>
      </w:r>
    </w:p>
    <w:p w14:paraId="11F67E01" w14:textId="77777777" w:rsidR="00D03C17" w:rsidRDefault="00D03C17">
      <w:pPr>
        <w:pStyle w:val="BodyText"/>
        <w:spacing w:line="276" w:lineRule="auto"/>
        <w:ind w:firstLine="380"/>
      </w:pPr>
      <w:r>
        <w:t xml:space="preserve">El inmunoanálisis enzimático </w:t>
      </w:r>
      <w:r>
        <w:rPr>
          <w:rFonts w:ascii="Times New Roman" w:eastAsia="Times New Roman" w:hAnsi="Times New Roman" w:cs="Times New Roman"/>
          <w:i/>
          <w:iCs/>
          <w:sz w:val="16"/>
          <w:szCs w:val="16"/>
        </w:rPr>
        <w:t>(enzyme immunoassay, EIA)</w:t>
      </w:r>
      <w:r>
        <w:t xml:space="preserve"> es la técnica más utilizada para detectar anticuerpos contra </w:t>
      </w:r>
      <w:r>
        <w:rPr>
          <w:rFonts w:ascii="Times New Roman" w:eastAsia="Times New Roman" w:hAnsi="Times New Roman" w:cs="Times New Roman"/>
          <w:i/>
          <w:iCs/>
          <w:sz w:val="16"/>
          <w:szCs w:val="16"/>
        </w:rPr>
        <w:t>B. burgdorferi.</w:t>
      </w:r>
      <w:r>
        <w:t xml:space="preserve"> Dicha técnica y el método de anticuerpos por inmunofluorescencia </w:t>
      </w:r>
      <w:r>
        <w:rPr>
          <w:rFonts w:ascii="Times New Roman" w:eastAsia="Times New Roman" w:hAnsi="Times New Roman" w:cs="Times New Roman"/>
          <w:i/>
          <w:iCs/>
          <w:sz w:val="16"/>
          <w:szCs w:val="16"/>
        </w:rPr>
        <w:t>(immunofluorescence antibody, IFA)</w:t>
      </w:r>
      <w:r>
        <w:t xml:space="preserve"> pueden producir resultados positivos falsos por la presencia de anticuerpos con reactividad cruzada en sujetos con otras espiroquetosis (como sífilis, leptospirosis, fiebre recurrente), algunas infecciones víricas (varicela y virus de Epstein-Barr) y enfermedades autoinmunitarias (como el lupus eritematoso sistémico). Los anticuerpos contra </w:t>
      </w:r>
      <w:r>
        <w:rPr>
          <w:rFonts w:ascii="Times New Roman" w:eastAsia="Times New Roman" w:hAnsi="Times New Roman" w:cs="Times New Roman"/>
          <w:i/>
          <w:iCs/>
          <w:sz w:val="16"/>
          <w:szCs w:val="16"/>
        </w:rPr>
        <w:t>B. burgdorferi</w:t>
      </w:r>
      <w:r>
        <w:t xml:space="preserve"> muestran reacción cruzada con otras espiroquetas, incluida </w:t>
      </w:r>
      <w:r>
        <w:rPr>
          <w:rFonts w:ascii="Times New Roman" w:eastAsia="Times New Roman" w:hAnsi="Times New Roman" w:cs="Times New Roman"/>
          <w:i/>
          <w:iCs/>
          <w:sz w:val="16"/>
          <w:szCs w:val="16"/>
        </w:rPr>
        <w:t>Treponema pallidum</w:t>
      </w:r>
      <w:r>
        <w:t xml:space="preserve">, pero los niños con enfermedad de Lyme no tienen resultados positivos en estudios para detectar treponemas no sifilíticos (como serían el método </w:t>
      </w:r>
      <w:r>
        <w:rPr>
          <w:rFonts w:ascii="Times New Roman" w:eastAsia="Times New Roman" w:hAnsi="Times New Roman" w:cs="Times New Roman"/>
          <w:i/>
          <w:iCs/>
          <w:sz w:val="16"/>
          <w:szCs w:val="16"/>
        </w:rPr>
        <w:t>Veneral Disease Research Laboratories [VDRL]</w:t>
      </w:r>
      <w:r>
        <w:t xml:space="preserve"> o el de reagina plasmática rápida </w:t>
      </w:r>
      <w:r>
        <w:rPr>
          <w:rFonts w:ascii="Times New Roman" w:eastAsia="Times New Roman" w:hAnsi="Times New Roman" w:cs="Times New Roman"/>
          <w:i/>
          <w:iCs/>
          <w:sz w:val="16"/>
          <w:szCs w:val="16"/>
        </w:rPr>
        <w:t>[rapid plasma reagin, RPR])</w:t>
      </w:r>
      <w:r>
        <w:t xml:space="preserve">. Además, los anticuerpos dirigidos contra espiroquetas de la flora normal de la cavidad bucal pueden mostrar reacción cruzada con los antígenos de </w:t>
      </w:r>
      <w:r>
        <w:rPr>
          <w:rFonts w:ascii="Times New Roman" w:eastAsia="Times New Roman" w:hAnsi="Times New Roman" w:cs="Times New Roman"/>
          <w:i/>
          <w:iCs/>
          <w:sz w:val="16"/>
          <w:szCs w:val="16"/>
        </w:rPr>
        <w:t>B. burgdorferi</w:t>
      </w:r>
      <w:r>
        <w:t xml:space="preserve"> y originar un resultado positivo falso.</w:t>
      </w:r>
    </w:p>
    <w:p w14:paraId="384C94C0" w14:textId="77777777" w:rsidR="00D03C17" w:rsidRDefault="00D03C17">
      <w:pPr>
        <w:pStyle w:val="BodyText"/>
        <w:ind w:firstLine="380"/>
      </w:pPr>
      <w:r>
        <w:t xml:space="preserve">En la actualidad el método de inmunotransferencia (mancha Western) es útil para corroborar resultados positivos o equívocos de los métodos EIA o IFA, y en consecuencia, se recomienda una estrategia a base de dos pruebas para el diagnóstico serológico de la infección por B. burgdorferi. Las muestras séricas que han generado resultados positivos o equívocos después de usar EIA o IFA sensibles deben ser sometidas a la prueba de inmunotransferencia (Western) estandarizada para identificar anticuerpos contra proteínas que son específicas de </w:t>
      </w:r>
      <w:r>
        <w:rPr>
          <w:rFonts w:ascii="Times New Roman" w:eastAsia="Times New Roman" w:hAnsi="Times New Roman" w:cs="Times New Roman"/>
          <w:i/>
          <w:iCs/>
          <w:sz w:val="16"/>
          <w:szCs w:val="16"/>
        </w:rPr>
        <w:t>B. burgdorferi</w:t>
      </w:r>
      <w:r>
        <w:t>; las muestras de suero que generan resultados negativos después de usar EIA o IFA sensibles no necesitan de la práctica de inmunotransferencia. Si el niño en quien se sospecha enfermedad incipiente tiene resultados negativos en sus estudios serológicos, la prueba de la infección se obtiene mejor al estudiar muestras de suero de fase aguda y de convalecencia.</w:t>
      </w:r>
    </w:p>
    <w:p w14:paraId="6CF35FEA" w14:textId="77777777" w:rsidR="00D03C17" w:rsidRDefault="00D03C17">
      <w:pPr>
        <w:pStyle w:val="BodyText"/>
        <w:ind w:firstLine="380"/>
      </w:pPr>
      <w:r>
        <w:t>El ataque sospechado del sistema nervioso central con enfermedad de Lyme se confirma al demostrar la producción intrarraquídea de anticuerpos contra B. burgdorferi. Sin embargo, la interpretación de los datos de pruebas de anticuerpos en líquido cefalorraquídeo es compleja y los médicos deben solicitar la orientación de un especialista experto en el tratamiento de pacientes de enfermedad de Lyme para auxiliarlos en la interpretación de los resultados.</w:t>
      </w:r>
    </w:p>
    <w:p w14:paraId="4FB38FDD" w14:textId="77777777" w:rsidR="00D03C17" w:rsidRDefault="00D03C17">
      <w:pPr>
        <w:pStyle w:val="BodyText"/>
        <w:ind w:firstLine="380"/>
      </w:pPr>
      <w:r>
        <w:t>No se recomienda la práctica generalizada de realizar métodos serológicos en pacientes con síntomas inespecíficos como fatiga o artralgias que tienen poca probabilidad de presentar enfermedad de Lyme. Casi todos los resultados positivos de estudios serológicos en dichos pacientes son positivos falsos. Los niños con enfermedad aguda de Lyme casi siempre tienen signos objetivos de infección (como eritema migrans, parálisis de nervio facial, artritis). Los signos específicos casi siempre son acompañados de síntomas inespecíficos, pero muy pocas veces constituyen prueba única de la enfermedad de Lyme.</w:t>
      </w:r>
    </w:p>
    <w:p w14:paraId="36A2F4DE" w14:textId="77777777" w:rsidR="00D03C17" w:rsidRDefault="00D03C17">
      <w:pPr>
        <w:pStyle w:val="BodyText"/>
        <w:ind w:firstLine="380"/>
      </w:pPr>
      <w:r>
        <w:t>Están en fase de perfeccionamiento nuevos métodos diagnósticos más sensibles y específicos, como la reacción en cadena de polimerasa, con los cuales se podrá identificar la presencia de cantidades mínimas de DNA de espiroquetas. Sin embargo, los médicos tendrán cautela al interpretar los resultados de estos estudios de investigación hasta que se haya probado su utilidad clínica.</w:t>
      </w:r>
    </w:p>
    <w:p w14:paraId="2498AB7D" w14:textId="77777777" w:rsidR="00D03C17" w:rsidRDefault="00D03C17">
      <w:pPr>
        <w:pStyle w:val="BodyText"/>
        <w:ind w:firstLine="360"/>
      </w:pPr>
      <w:r>
        <w:t xml:space="preserve">Las personas que reciben la vacuna hecha de la proteína A de la superficie externa </w:t>
      </w:r>
      <w:r>
        <w:rPr>
          <w:i/>
          <w:iCs/>
        </w:rPr>
        <w:t>(</w:t>
      </w:r>
      <w:r>
        <w:rPr>
          <w:rFonts w:ascii="Times New Roman" w:eastAsia="Times New Roman" w:hAnsi="Times New Roman" w:cs="Times New Roman"/>
          <w:i/>
          <w:iCs/>
          <w:sz w:val="16"/>
          <w:szCs w:val="16"/>
        </w:rPr>
        <w:t>outer surface protein A</w:t>
      </w:r>
      <w:r>
        <w:rPr>
          <w:i/>
          <w:iCs/>
        </w:rPr>
        <w:t>,</w:t>
      </w:r>
      <w:r>
        <w:t xml:space="preserve"> OspA) por biotecnología producen un resultado positivo en la prueba EIA porque se utiliza el microorganismo completo </w:t>
      </w:r>
      <w:r>
        <w:rPr>
          <w:rFonts w:ascii="Times New Roman" w:eastAsia="Times New Roman" w:hAnsi="Times New Roman" w:cs="Times New Roman"/>
          <w:i/>
          <w:iCs/>
          <w:sz w:val="16"/>
          <w:szCs w:val="16"/>
        </w:rPr>
        <w:t>(B. burgdorferi)</w:t>
      </w:r>
      <w:r>
        <w:t xml:space="preserve"> como antígeno. La prueba de inmunotransferencia </w:t>
      </w:r>
      <w:r>
        <w:rPr>
          <w:rFonts w:ascii="Times New Roman" w:eastAsia="Times New Roman" w:hAnsi="Times New Roman" w:cs="Times New Roman"/>
          <w:i/>
          <w:iCs/>
          <w:sz w:val="16"/>
          <w:szCs w:val="16"/>
        </w:rPr>
        <w:t>(Western)</w:t>
      </w:r>
      <w:r>
        <w:t xml:space="preserve"> permite identificar anticuerpos no dirigidos contra OspA, y el anticuerpo contra dicha proteína no constituye uno de los criterios para calificar de positivo el resultado de un estudio de inmunotransferencia. Por la razón comentada, es esencial un método de inmunotransferencia para valorar la reactividad de anticuerpos que no sean dirigidos contra OspA para confirmar o descartar el diagnóstico de enfermedad de Lyme en niños que han recibido la vacuna OspA obtenida por biotecnología.</w:t>
      </w:r>
    </w:p>
    <w:p w14:paraId="0FF78ECA" w14:textId="77777777" w:rsidR="00D03C17" w:rsidRDefault="00D03C17">
      <w:pPr>
        <w:pStyle w:val="BodyText"/>
        <w:spacing w:line="257" w:lineRule="auto"/>
        <w:ind w:firstLine="0"/>
      </w:pPr>
      <w:r>
        <w:rPr>
          <w:b/>
          <w:bCs/>
          <w:smallCaps/>
          <w:sz w:val="20"/>
          <w:szCs w:val="20"/>
        </w:rPr>
        <w:t>T</w:t>
      </w:r>
      <w:r>
        <w:rPr>
          <w:b/>
          <w:bCs/>
          <w:smallCaps/>
          <w:sz w:val="16"/>
          <w:szCs w:val="16"/>
        </w:rPr>
        <w:t>ratamiento</w:t>
      </w:r>
      <w:r>
        <w:rPr>
          <w:b/>
          <w:bCs/>
          <w:smallCaps/>
          <w:sz w:val="20"/>
          <w:szCs w:val="20"/>
        </w:rPr>
        <w:t>:</w:t>
      </w:r>
      <w:r>
        <w:t xml:space="preserve"> Véase cuadro 3-40.</w:t>
      </w:r>
    </w:p>
    <w:p w14:paraId="272D8D96" w14:textId="77777777" w:rsidR="00D03C17" w:rsidRDefault="00D03C17">
      <w:pPr>
        <w:pStyle w:val="BodyText"/>
        <w:spacing w:line="276" w:lineRule="auto"/>
        <w:ind w:firstLine="360"/>
      </w:pPr>
      <w:r>
        <w:rPr>
          <w:rFonts w:ascii="Arial" w:eastAsia="Arial" w:hAnsi="Arial" w:cs="Arial"/>
          <w:b/>
          <w:bCs/>
          <w:i/>
          <w:iCs/>
          <w:sz w:val="15"/>
          <w:szCs w:val="15"/>
        </w:rPr>
        <w:t>Enfermedad localizada temprana.</w:t>
      </w:r>
      <w:r>
        <w:t xml:space="preserve"> La doxiciclina es el fármaco más indicado en niños de ocho años y mayores, si bien en los que tienen menos de esa edad se recomienda amoxicilina. En el caso de pacientes alérgicos a la penicilina, otros fármacos a los que puede recurrirse son cefuroxima axetilo y eritromicina, aunque esta última pudiera ser menos eficaz. Casi todos los expertos dan tratamiento durante 14 a 21 días a los niños con enfermedad de Lyme incipiente, pero son escasos los datos sobre la duración óptima del tratamiento.</w:t>
      </w:r>
    </w:p>
    <w:p w14:paraId="199D81CC" w14:textId="77777777" w:rsidR="00D03C17" w:rsidRDefault="00D03C17">
      <w:pPr>
        <w:pStyle w:val="BodyText"/>
        <w:ind w:firstLine="360"/>
      </w:pPr>
      <w:r>
        <w:t>El tratamiento del eritema migrans casi siempre evita que la enfermedad de Lyme siga su evolución a etapas ulteriores. La respuesta clínica al tratamiento suele ser lenta y los signos y los síntomas persisten durante semanas, incluso en pacientes tratados satisfactoriamente, aunque el eritema migrans suele mostrar resolución en unos días después de haber iniciado el tratamiento.</w:t>
      </w:r>
    </w:p>
    <w:p w14:paraId="4A891B77" w14:textId="77777777" w:rsidR="00D03C17" w:rsidRDefault="00D03C17">
      <w:pPr>
        <w:pStyle w:val="BodyText"/>
        <w:ind w:firstLine="360"/>
      </w:pPr>
      <w:r>
        <w:t>Enfermedad diseminada temprana y tardía. Se recomienda usar antimicrobianos ingeribles para tratar el eritema migrans múltiple y la artritis de Lyme no complicada. Muchos expertos recomiendan también los agentes ingeribles para tratar la parálisis del nervio facial y evitar mayores secuelas. Algunos expertos recomiendan la punción lumbar si se sospecha ataque del sistema nervioso central. Si se identifica pleocitosis en líquido cefalorraquídeo, conviene la administración parenteral de antimicrobianos. La artritis recurrente o persistente y la infección del sistema nervioso central deben ser tratadas con antimicrobianos parenterales. La carditis por lo común se trata con fármacos parenterales, si bien algunos expertos podrían tratar la forma leve de tal inflamación con doxiciclina o amoxicilina ingeribles. No se ha definido con exactitud la duración óptima del tratamiento en el caso de manifestaciones de la enfermedad diseminada temprana o tardía, pero no hay datos de que los niños con alguna de las manifestaciones de la enfermedad se beneficien de ciclos duraderos a base de antimicrobianos ingeribles o parenterales. Por tal razón, la duración máxima de un solo ciclo de tratamiento es de cuatro semanas.</w:t>
      </w:r>
    </w:p>
    <w:p w14:paraId="08EF9274" w14:textId="77777777" w:rsidR="00D03C17" w:rsidRDefault="00D03C17">
      <w:pPr>
        <w:pStyle w:val="BodyText"/>
        <w:ind w:firstLine="360"/>
      </w:pPr>
      <w:r>
        <w:t>La reacción de Jarisch-Herxheimer (reacción febril aguda acompañada de cefalea, mialgias y agravamiento del cuadro clínico, que dura menos de 24 h) surge a veces en forma transitoria cuando se inicia el tratamiento. Pueden ser beneficiosos los antiinflamatorios no esteroideos y habrá que continuar con el uso del agente antimicrobiano.</w:t>
      </w:r>
    </w:p>
    <w:p w14:paraId="69D22708" w14:textId="77777777" w:rsidR="00D03C17" w:rsidRDefault="00D03C17">
      <w:pPr>
        <w:pStyle w:val="BodyText"/>
        <w:spacing w:line="298" w:lineRule="auto"/>
        <w:ind w:firstLine="360"/>
      </w:pPr>
      <w:r>
        <w:rPr>
          <w:rFonts w:ascii="Arial" w:eastAsia="Arial" w:hAnsi="Arial" w:cs="Arial"/>
          <w:b/>
          <w:bCs/>
          <w:i/>
          <w:iCs/>
          <w:sz w:val="15"/>
          <w:szCs w:val="15"/>
        </w:rPr>
        <w:t>Embarazo.</w:t>
      </w:r>
      <w:r>
        <w:t xml:space="preserve"> Están contraindicadas las tetraciclinas en la gestación; por lo demás, la terapia es la misma recomendada para mujeres no embarazadas.</w:t>
      </w:r>
    </w:p>
    <w:p w14:paraId="3E305544" w14:textId="77777777" w:rsidR="00D03C17" w:rsidRDefault="00D03C17">
      <w:pPr>
        <w:pStyle w:val="BodyText"/>
        <w:ind w:firstLine="0"/>
      </w:pPr>
      <w:r>
        <w:rPr>
          <w:b/>
          <w:bCs/>
        </w:rPr>
        <w:t>A</w:t>
      </w:r>
      <w:r>
        <w:rPr>
          <w:b/>
          <w:bCs/>
          <w:sz w:val="13"/>
          <w:szCs w:val="13"/>
        </w:rPr>
        <w:t xml:space="preserve">ISLAMIENTO </w:t>
      </w:r>
      <w:r>
        <w:rPr>
          <w:b/>
          <w:bCs/>
          <w:smallCaps/>
          <w:sz w:val="16"/>
          <w:szCs w:val="16"/>
        </w:rPr>
        <w:t>del paciente hospitalizado</w:t>
      </w:r>
      <w:r>
        <w:rPr>
          <w:b/>
          <w:bCs/>
          <w:smallCaps/>
          <w:sz w:val="20"/>
          <w:szCs w:val="20"/>
        </w:rPr>
        <w:t>:</w:t>
      </w:r>
      <w:r>
        <w:t xml:space="preserve"> Se recomiendan las precauciones estándar.</w:t>
      </w: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2587"/>
        <w:gridCol w:w="4334"/>
      </w:tblGrid>
      <w:tr w:rsidR="00D03C17" w14:paraId="4DB84DC2" w14:textId="77777777">
        <w:tblPrEx>
          <w:tblCellMar>
            <w:top w:w="0" w:type="dxa"/>
            <w:bottom w:w="0" w:type="dxa"/>
          </w:tblCellMar>
        </w:tblPrEx>
        <w:trPr>
          <w:trHeight w:hRule="exact" w:val="869"/>
          <w:jc w:val="center"/>
        </w:trPr>
        <w:tc>
          <w:tcPr>
            <w:tcW w:w="6921" w:type="dxa"/>
            <w:gridSpan w:val="2"/>
            <w:tcBorders>
              <w:top w:val="single" w:sz="4" w:space="0" w:color="auto"/>
            </w:tcBorders>
            <w:shd w:val="clear" w:color="auto" w:fill="FFFFFF"/>
            <w:vAlign w:val="bottom"/>
          </w:tcPr>
          <w:p w14:paraId="5F43F91A" w14:textId="77777777" w:rsidR="00D03C17" w:rsidRDefault="00D03C17">
            <w:pPr>
              <w:pStyle w:val="Other0"/>
              <w:spacing w:line="211" w:lineRule="auto"/>
              <w:ind w:firstLine="0"/>
              <w:jc w:val="center"/>
              <w:rPr>
                <w:sz w:val="26"/>
                <w:szCs w:val="26"/>
              </w:rPr>
            </w:pPr>
            <w:r>
              <w:rPr>
                <w:rFonts w:ascii="Arial" w:eastAsia="Arial" w:hAnsi="Arial" w:cs="Arial"/>
                <w:w w:val="70"/>
                <w:sz w:val="26"/>
                <w:szCs w:val="26"/>
              </w:rPr>
              <w:t xml:space="preserve">Cuadro 3-40. </w:t>
            </w:r>
            <w:r>
              <w:rPr>
                <w:rFonts w:ascii="Arial" w:eastAsia="Arial" w:hAnsi="Arial" w:cs="Arial"/>
                <w:b/>
                <w:bCs/>
                <w:w w:val="70"/>
                <w:sz w:val="26"/>
                <w:szCs w:val="26"/>
              </w:rPr>
              <w:t>Tratamiento recomendado de la enfermedad de Lyme en niños</w:t>
            </w:r>
          </w:p>
        </w:tc>
      </w:tr>
      <w:tr w:rsidR="00D03C17" w14:paraId="2924CDF8" w14:textId="77777777">
        <w:tblPrEx>
          <w:tblCellMar>
            <w:top w:w="0" w:type="dxa"/>
            <w:bottom w:w="0" w:type="dxa"/>
          </w:tblCellMar>
        </w:tblPrEx>
        <w:trPr>
          <w:trHeight w:hRule="exact" w:val="264"/>
          <w:jc w:val="center"/>
        </w:trPr>
        <w:tc>
          <w:tcPr>
            <w:tcW w:w="2587" w:type="dxa"/>
            <w:shd w:val="clear" w:color="auto" w:fill="231F20"/>
          </w:tcPr>
          <w:p w14:paraId="328BFA39" w14:textId="77777777" w:rsidR="00D03C17" w:rsidRDefault="00D03C17">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ICategoría de la enfermedad</w:t>
            </w:r>
          </w:p>
        </w:tc>
        <w:tc>
          <w:tcPr>
            <w:tcW w:w="4334" w:type="dxa"/>
            <w:shd w:val="clear" w:color="auto" w:fill="231F20"/>
          </w:tcPr>
          <w:p w14:paraId="3F0B2204" w14:textId="77777777" w:rsidR="00D03C17" w:rsidRDefault="00D03C17">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320"/>
              <w:rPr>
                <w:sz w:val="8"/>
                <w:szCs w:val="8"/>
              </w:rPr>
            </w:pPr>
            <w:r>
              <w:rPr>
                <w:rFonts w:ascii="Arial" w:eastAsia="Arial" w:hAnsi="Arial" w:cs="Arial"/>
                <w:b/>
                <w:bCs/>
                <w:color w:val="FFFFFF"/>
                <w:w w:val="70"/>
                <w:sz w:val="24"/>
                <w:szCs w:val="24"/>
              </w:rPr>
              <w:t>Fármacos y dosis</w:t>
            </w:r>
            <w:r>
              <w:rPr>
                <w:rFonts w:ascii="Times New Roman" w:eastAsia="Times New Roman" w:hAnsi="Times New Roman" w:cs="Times New Roman"/>
                <w:color w:val="FFFFFF"/>
                <w:sz w:val="8"/>
                <w:szCs w:val="8"/>
                <w:vertAlign w:val="superscript"/>
              </w:rPr>
              <w:t>1</w:t>
            </w:r>
          </w:p>
        </w:tc>
      </w:tr>
      <w:tr w:rsidR="00D03C17" w14:paraId="3AC7A7E4" w14:textId="77777777">
        <w:tblPrEx>
          <w:tblCellMar>
            <w:top w:w="0" w:type="dxa"/>
            <w:bottom w:w="0" w:type="dxa"/>
          </w:tblCellMar>
        </w:tblPrEx>
        <w:trPr>
          <w:trHeight w:hRule="exact" w:val="302"/>
          <w:jc w:val="center"/>
        </w:trPr>
        <w:tc>
          <w:tcPr>
            <w:tcW w:w="2587" w:type="dxa"/>
            <w:shd w:val="clear" w:color="auto" w:fill="FFFFFF"/>
            <w:vAlign w:val="bottom"/>
          </w:tcPr>
          <w:p w14:paraId="03FE66C2"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Enfermedad localizada temprana</w:t>
            </w:r>
            <w:r>
              <w:rPr>
                <w:rFonts w:ascii="Times New Roman" w:eastAsia="Times New Roman" w:hAnsi="Times New Roman" w:cs="Times New Roman"/>
                <w:sz w:val="16"/>
                <w:szCs w:val="16"/>
                <w:vertAlign w:val="superscript"/>
              </w:rPr>
              <w:t>1</w:t>
            </w:r>
          </w:p>
        </w:tc>
        <w:tc>
          <w:tcPr>
            <w:tcW w:w="4334" w:type="dxa"/>
            <w:shd w:val="clear" w:color="auto" w:fill="FFFFFF"/>
          </w:tcPr>
          <w:p w14:paraId="51B8D4C7" w14:textId="77777777" w:rsidR="00D03C17" w:rsidRDefault="00D03C17">
            <w:pPr>
              <w:rPr>
                <w:sz w:val="10"/>
                <w:szCs w:val="10"/>
              </w:rPr>
            </w:pPr>
          </w:p>
        </w:tc>
      </w:tr>
      <w:tr w:rsidR="00D03C17" w14:paraId="56E9C5F5" w14:textId="77777777">
        <w:tblPrEx>
          <w:tblCellMar>
            <w:top w:w="0" w:type="dxa"/>
            <w:bottom w:w="0" w:type="dxa"/>
          </w:tblCellMar>
        </w:tblPrEx>
        <w:trPr>
          <w:trHeight w:hRule="exact" w:val="211"/>
          <w:jc w:val="center"/>
        </w:trPr>
        <w:tc>
          <w:tcPr>
            <w:tcW w:w="2587" w:type="dxa"/>
            <w:shd w:val="clear" w:color="auto" w:fill="FFFFFF"/>
            <w:vAlign w:val="bottom"/>
          </w:tcPr>
          <w:p w14:paraId="1880A841" w14:textId="77777777" w:rsidR="00D03C17" w:rsidRDefault="00D03C17">
            <w:pPr>
              <w:pStyle w:val="Other0"/>
              <w:spacing w:line="240" w:lineRule="auto"/>
              <w:ind w:firstLine="180"/>
              <w:rPr>
                <w:sz w:val="16"/>
                <w:szCs w:val="16"/>
              </w:rPr>
            </w:pPr>
            <w:r>
              <w:rPr>
                <w:rFonts w:ascii="Times New Roman" w:eastAsia="Times New Roman" w:hAnsi="Times New Roman" w:cs="Times New Roman"/>
                <w:sz w:val="16"/>
                <w:szCs w:val="16"/>
              </w:rPr>
              <w:t>Niños de 8 años o mayores</w:t>
            </w:r>
          </w:p>
        </w:tc>
        <w:tc>
          <w:tcPr>
            <w:tcW w:w="4334" w:type="dxa"/>
            <w:shd w:val="clear" w:color="auto" w:fill="FFFFFF"/>
            <w:vAlign w:val="bottom"/>
          </w:tcPr>
          <w:p w14:paraId="1AC37199" w14:textId="77777777" w:rsidR="00D03C17" w:rsidRDefault="00D03C17">
            <w:pPr>
              <w:pStyle w:val="Other0"/>
              <w:spacing w:line="240" w:lineRule="auto"/>
              <w:ind w:firstLine="320"/>
              <w:rPr>
                <w:sz w:val="16"/>
                <w:szCs w:val="16"/>
              </w:rPr>
            </w:pPr>
            <w:r>
              <w:rPr>
                <w:rFonts w:ascii="Times New Roman" w:eastAsia="Times New Roman" w:hAnsi="Times New Roman" w:cs="Times New Roman"/>
                <w:sz w:val="16"/>
                <w:szCs w:val="16"/>
              </w:rPr>
              <w:t>Doxiciclina ingerible, 100 mg, dos veces al día durante</w:t>
            </w:r>
          </w:p>
        </w:tc>
      </w:tr>
      <w:tr w:rsidR="00D03C17" w14:paraId="0DEFD0A8" w14:textId="77777777">
        <w:tblPrEx>
          <w:tblCellMar>
            <w:top w:w="0" w:type="dxa"/>
            <w:bottom w:w="0" w:type="dxa"/>
          </w:tblCellMar>
        </w:tblPrEx>
        <w:trPr>
          <w:trHeight w:hRule="exact" w:val="638"/>
          <w:jc w:val="center"/>
        </w:trPr>
        <w:tc>
          <w:tcPr>
            <w:tcW w:w="2587" w:type="dxa"/>
            <w:shd w:val="clear" w:color="auto" w:fill="FFFFFF"/>
          </w:tcPr>
          <w:p w14:paraId="615C3DDD" w14:textId="77777777" w:rsidR="00D03C17" w:rsidRDefault="00D03C17">
            <w:pPr>
              <w:pStyle w:val="Other0"/>
              <w:spacing w:line="240" w:lineRule="auto"/>
              <w:ind w:firstLine="180"/>
              <w:rPr>
                <w:sz w:val="16"/>
                <w:szCs w:val="16"/>
              </w:rPr>
            </w:pPr>
            <w:r>
              <w:rPr>
                <w:rFonts w:ascii="Times New Roman" w:eastAsia="Times New Roman" w:hAnsi="Times New Roman" w:cs="Times New Roman"/>
                <w:sz w:val="16"/>
                <w:szCs w:val="16"/>
              </w:rPr>
              <w:t>Todas las edades</w:t>
            </w:r>
          </w:p>
        </w:tc>
        <w:tc>
          <w:tcPr>
            <w:tcW w:w="4334" w:type="dxa"/>
            <w:shd w:val="clear" w:color="auto" w:fill="FFFFFF"/>
            <w:vAlign w:val="bottom"/>
          </w:tcPr>
          <w:p w14:paraId="2ABE3CC6" w14:textId="77777777" w:rsidR="00D03C17" w:rsidRDefault="00D03C17">
            <w:pPr>
              <w:pStyle w:val="Other0"/>
              <w:spacing w:line="283" w:lineRule="auto"/>
              <w:ind w:firstLine="440"/>
              <w:jc w:val="both"/>
              <w:rPr>
                <w:sz w:val="16"/>
                <w:szCs w:val="16"/>
              </w:rPr>
            </w:pPr>
            <w:r>
              <w:rPr>
                <w:rFonts w:ascii="Times New Roman" w:eastAsia="Times New Roman" w:hAnsi="Times New Roman" w:cs="Times New Roman"/>
                <w:sz w:val="16"/>
                <w:szCs w:val="16"/>
              </w:rPr>
              <w:t>14 a 21 días</w:t>
            </w:r>
          </w:p>
          <w:p w14:paraId="5F2E4A93" w14:textId="77777777" w:rsidR="00D03C17" w:rsidRDefault="00D03C17">
            <w:pPr>
              <w:pStyle w:val="Other0"/>
              <w:spacing w:line="283" w:lineRule="auto"/>
              <w:ind w:left="440" w:hanging="100"/>
              <w:rPr>
                <w:sz w:val="16"/>
                <w:szCs w:val="16"/>
              </w:rPr>
            </w:pPr>
            <w:r>
              <w:rPr>
                <w:rFonts w:ascii="Times New Roman" w:eastAsia="Times New Roman" w:hAnsi="Times New Roman" w:cs="Times New Roman"/>
                <w:sz w:val="16"/>
                <w:szCs w:val="16"/>
              </w:rPr>
              <w:t>Amoxicilina ingerible, 25-50 mg/kg de peso al día en dos dosis (dosis máxima, 2 g/día) durante 14 a 21 días</w:t>
            </w:r>
          </w:p>
        </w:tc>
      </w:tr>
      <w:tr w:rsidR="00D03C17" w14:paraId="0EDA901C" w14:textId="77777777">
        <w:tblPrEx>
          <w:tblCellMar>
            <w:top w:w="0" w:type="dxa"/>
            <w:bottom w:w="0" w:type="dxa"/>
          </w:tblCellMar>
        </w:tblPrEx>
        <w:trPr>
          <w:trHeight w:hRule="exact" w:val="437"/>
          <w:jc w:val="center"/>
        </w:trPr>
        <w:tc>
          <w:tcPr>
            <w:tcW w:w="2587" w:type="dxa"/>
            <w:shd w:val="clear" w:color="auto" w:fill="FFFFFF"/>
            <w:vAlign w:val="bottom"/>
          </w:tcPr>
          <w:p w14:paraId="44247C0C" w14:textId="77777777" w:rsidR="00D03C17" w:rsidRDefault="00D03C17">
            <w:pPr>
              <w:pStyle w:val="Other0"/>
              <w:spacing w:line="283" w:lineRule="auto"/>
              <w:ind w:left="180" w:hanging="180"/>
              <w:rPr>
                <w:sz w:val="16"/>
                <w:szCs w:val="16"/>
              </w:rPr>
            </w:pPr>
            <w:r>
              <w:rPr>
                <w:rFonts w:ascii="Times New Roman" w:eastAsia="Times New Roman" w:hAnsi="Times New Roman" w:cs="Times New Roman"/>
                <w:sz w:val="16"/>
                <w:szCs w:val="16"/>
              </w:rPr>
              <w:t>Enfermedad diseminada temprana y tardía</w:t>
            </w:r>
          </w:p>
        </w:tc>
        <w:tc>
          <w:tcPr>
            <w:tcW w:w="4334" w:type="dxa"/>
            <w:shd w:val="clear" w:color="auto" w:fill="FFFFFF"/>
          </w:tcPr>
          <w:p w14:paraId="46B7A8FB" w14:textId="77777777" w:rsidR="00D03C17" w:rsidRDefault="00D03C17">
            <w:pPr>
              <w:rPr>
                <w:sz w:val="10"/>
                <w:szCs w:val="10"/>
              </w:rPr>
            </w:pPr>
          </w:p>
        </w:tc>
      </w:tr>
      <w:tr w:rsidR="00D03C17" w14:paraId="695A05A7" w14:textId="77777777">
        <w:tblPrEx>
          <w:tblCellMar>
            <w:top w:w="0" w:type="dxa"/>
            <w:bottom w:w="0" w:type="dxa"/>
          </w:tblCellMar>
        </w:tblPrEx>
        <w:trPr>
          <w:trHeight w:hRule="exact" w:val="427"/>
          <w:jc w:val="center"/>
        </w:trPr>
        <w:tc>
          <w:tcPr>
            <w:tcW w:w="6921" w:type="dxa"/>
            <w:gridSpan w:val="2"/>
            <w:shd w:val="clear" w:color="auto" w:fill="FFFFFF"/>
            <w:vAlign w:val="bottom"/>
          </w:tcPr>
          <w:p w14:paraId="71D73D5D" w14:textId="77777777" w:rsidR="00D03C17" w:rsidRDefault="00D03C17">
            <w:pPr>
              <w:pStyle w:val="Other0"/>
              <w:spacing w:line="283" w:lineRule="auto"/>
              <w:ind w:firstLine="0"/>
              <w:jc w:val="center"/>
              <w:rPr>
                <w:sz w:val="16"/>
                <w:szCs w:val="16"/>
              </w:rPr>
            </w:pPr>
            <w:r>
              <w:rPr>
                <w:rFonts w:ascii="Times New Roman" w:eastAsia="Times New Roman" w:hAnsi="Times New Roman" w:cs="Times New Roman"/>
                <w:sz w:val="16"/>
                <w:szCs w:val="16"/>
              </w:rPr>
              <w:t>Eritema migratorio múltiple (migrans) Igual régimen oral que en la enfermedad temprana, pero durante 21 días</w:t>
            </w:r>
          </w:p>
        </w:tc>
      </w:tr>
      <w:tr w:rsidR="00D03C17" w14:paraId="5859F61E" w14:textId="77777777">
        <w:tblPrEx>
          <w:tblCellMar>
            <w:top w:w="0" w:type="dxa"/>
            <w:bottom w:w="0" w:type="dxa"/>
          </w:tblCellMar>
        </w:tblPrEx>
        <w:trPr>
          <w:trHeight w:hRule="exact" w:val="456"/>
          <w:jc w:val="center"/>
        </w:trPr>
        <w:tc>
          <w:tcPr>
            <w:tcW w:w="2587" w:type="dxa"/>
            <w:shd w:val="clear" w:color="auto" w:fill="FFFFFF"/>
          </w:tcPr>
          <w:p w14:paraId="3D97D506" w14:textId="77777777" w:rsidR="00D03C17" w:rsidRDefault="00D03C17">
            <w:pPr>
              <w:pStyle w:val="Other0"/>
              <w:spacing w:line="240" w:lineRule="auto"/>
              <w:ind w:firstLine="180"/>
              <w:rPr>
                <w:sz w:val="16"/>
                <w:szCs w:val="16"/>
              </w:rPr>
            </w:pPr>
            <w:r>
              <w:rPr>
                <w:rFonts w:ascii="Times New Roman" w:eastAsia="Times New Roman" w:hAnsi="Times New Roman" w:cs="Times New Roman"/>
                <w:sz w:val="16"/>
                <w:szCs w:val="16"/>
              </w:rPr>
              <w:t>Parálisis facial aislada</w:t>
            </w:r>
          </w:p>
        </w:tc>
        <w:tc>
          <w:tcPr>
            <w:tcW w:w="4334" w:type="dxa"/>
            <w:shd w:val="clear" w:color="auto" w:fill="FFFFFF"/>
            <w:vAlign w:val="bottom"/>
          </w:tcPr>
          <w:p w14:paraId="04D41C9A" w14:textId="77777777" w:rsidR="00D03C17" w:rsidRDefault="00D03C17">
            <w:pPr>
              <w:pStyle w:val="Other0"/>
              <w:spacing w:line="288" w:lineRule="auto"/>
              <w:ind w:left="440" w:hanging="100"/>
              <w:rPr>
                <w:sz w:val="16"/>
                <w:szCs w:val="16"/>
              </w:rPr>
            </w:pPr>
            <w:r>
              <w:rPr>
                <w:rFonts w:ascii="Times New Roman" w:eastAsia="Times New Roman" w:hAnsi="Times New Roman" w:cs="Times New Roman"/>
                <w:sz w:val="16"/>
                <w:szCs w:val="16"/>
              </w:rPr>
              <w:t>Igual régimen oral que en la enfermedad temprana, pero por 21-28 días</w:t>
            </w:r>
            <w:r>
              <w:rPr>
                <w:rFonts w:ascii="Times New Roman" w:eastAsia="Times New Roman" w:hAnsi="Times New Roman" w:cs="Times New Roman"/>
                <w:sz w:val="16"/>
                <w:szCs w:val="16"/>
                <w:vertAlign w:val="superscript"/>
              </w:rPr>
              <w:t>2,3</w:t>
            </w:r>
          </w:p>
        </w:tc>
      </w:tr>
      <w:tr w:rsidR="00D03C17" w14:paraId="7EDAA401" w14:textId="77777777">
        <w:tblPrEx>
          <w:tblCellMar>
            <w:top w:w="0" w:type="dxa"/>
            <w:bottom w:w="0" w:type="dxa"/>
          </w:tblCellMar>
        </w:tblPrEx>
        <w:trPr>
          <w:trHeight w:hRule="exact" w:val="418"/>
          <w:jc w:val="center"/>
        </w:trPr>
        <w:tc>
          <w:tcPr>
            <w:tcW w:w="2587" w:type="dxa"/>
            <w:shd w:val="clear" w:color="auto" w:fill="FFFFFF"/>
          </w:tcPr>
          <w:p w14:paraId="0E43C341" w14:textId="77777777" w:rsidR="00D03C17" w:rsidRDefault="00D03C17">
            <w:pPr>
              <w:pStyle w:val="Other0"/>
              <w:spacing w:line="240" w:lineRule="auto"/>
              <w:ind w:firstLine="180"/>
              <w:rPr>
                <w:sz w:val="16"/>
                <w:szCs w:val="16"/>
              </w:rPr>
            </w:pPr>
            <w:r>
              <w:rPr>
                <w:rFonts w:ascii="Times New Roman" w:eastAsia="Times New Roman" w:hAnsi="Times New Roman" w:cs="Times New Roman"/>
                <w:sz w:val="16"/>
                <w:szCs w:val="16"/>
              </w:rPr>
              <w:t>Artritis</w:t>
            </w:r>
          </w:p>
        </w:tc>
        <w:tc>
          <w:tcPr>
            <w:tcW w:w="4334" w:type="dxa"/>
            <w:shd w:val="clear" w:color="auto" w:fill="FFFFFF"/>
            <w:vAlign w:val="bottom"/>
          </w:tcPr>
          <w:p w14:paraId="58A64CBC" w14:textId="77777777" w:rsidR="00D03C17" w:rsidRDefault="00D03C17">
            <w:pPr>
              <w:pStyle w:val="Other0"/>
              <w:spacing w:line="283" w:lineRule="auto"/>
              <w:ind w:left="440" w:hanging="100"/>
              <w:rPr>
                <w:sz w:val="16"/>
                <w:szCs w:val="16"/>
              </w:rPr>
            </w:pPr>
            <w:r>
              <w:rPr>
                <w:rFonts w:ascii="Times New Roman" w:eastAsia="Times New Roman" w:hAnsi="Times New Roman" w:cs="Times New Roman"/>
                <w:sz w:val="16"/>
                <w:szCs w:val="16"/>
              </w:rPr>
              <w:t>Igual régimen oral que en la enfermedad temprana, pero durante 28 días</w:t>
            </w:r>
          </w:p>
        </w:tc>
      </w:tr>
      <w:tr w:rsidR="00D03C17" w14:paraId="386D7339" w14:textId="77777777">
        <w:tblPrEx>
          <w:tblCellMar>
            <w:top w:w="0" w:type="dxa"/>
            <w:bottom w:w="0" w:type="dxa"/>
          </w:tblCellMar>
        </w:tblPrEx>
        <w:trPr>
          <w:trHeight w:hRule="exact" w:val="1320"/>
          <w:jc w:val="center"/>
        </w:trPr>
        <w:tc>
          <w:tcPr>
            <w:tcW w:w="2587" w:type="dxa"/>
            <w:shd w:val="clear" w:color="auto" w:fill="FFFFFF"/>
          </w:tcPr>
          <w:p w14:paraId="24D2C728" w14:textId="77777777" w:rsidR="00D03C17" w:rsidRDefault="00D03C17">
            <w:pPr>
              <w:pStyle w:val="Other0"/>
              <w:spacing w:line="240" w:lineRule="auto"/>
              <w:ind w:firstLine="180"/>
              <w:rPr>
                <w:sz w:val="16"/>
                <w:szCs w:val="16"/>
              </w:rPr>
            </w:pPr>
            <w:r>
              <w:rPr>
                <w:rFonts w:ascii="Times New Roman" w:eastAsia="Times New Roman" w:hAnsi="Times New Roman" w:cs="Times New Roman"/>
                <w:sz w:val="16"/>
                <w:szCs w:val="16"/>
              </w:rPr>
              <w:t>Artritis persistente o recurrente</w:t>
            </w:r>
            <w:r>
              <w:rPr>
                <w:rFonts w:ascii="Times New Roman" w:eastAsia="Times New Roman" w:hAnsi="Times New Roman" w:cs="Times New Roman"/>
                <w:sz w:val="16"/>
                <w:szCs w:val="16"/>
                <w:vertAlign w:val="superscript"/>
              </w:rPr>
              <w:t>4</w:t>
            </w:r>
          </w:p>
        </w:tc>
        <w:tc>
          <w:tcPr>
            <w:tcW w:w="4334" w:type="dxa"/>
            <w:shd w:val="clear" w:color="auto" w:fill="FFFFFF"/>
            <w:vAlign w:val="bottom"/>
          </w:tcPr>
          <w:p w14:paraId="452F08B2" w14:textId="77777777" w:rsidR="00D03C17" w:rsidRDefault="00D03C17">
            <w:pPr>
              <w:pStyle w:val="Other0"/>
              <w:spacing w:line="283" w:lineRule="auto"/>
              <w:ind w:left="440" w:hanging="100"/>
              <w:rPr>
                <w:sz w:val="16"/>
                <w:szCs w:val="16"/>
              </w:rPr>
            </w:pPr>
            <w:r>
              <w:rPr>
                <w:rFonts w:ascii="Times New Roman" w:eastAsia="Times New Roman" w:hAnsi="Times New Roman" w:cs="Times New Roman"/>
                <w:sz w:val="16"/>
                <w:szCs w:val="16"/>
              </w:rPr>
              <w:t>Ceftriaxona sódica, 75-100 mg/kg, IV o IM, una vez al día (máximo, 2 g/día) durante 14 a 21 días; o penicilina, 300 000 U/kg al día, IV en fracciones cada 4 h (máximo 20 millones en U/día) durante 14 a 28 días O igual régimen oral que en la enfermedad temprana</w:t>
            </w:r>
          </w:p>
        </w:tc>
      </w:tr>
      <w:tr w:rsidR="00D03C17" w14:paraId="5EBFE8E4" w14:textId="77777777">
        <w:tblPrEx>
          <w:tblCellMar>
            <w:top w:w="0" w:type="dxa"/>
            <w:bottom w:w="0" w:type="dxa"/>
          </w:tblCellMar>
        </w:tblPrEx>
        <w:trPr>
          <w:trHeight w:hRule="exact" w:val="408"/>
          <w:jc w:val="center"/>
        </w:trPr>
        <w:tc>
          <w:tcPr>
            <w:tcW w:w="2587" w:type="dxa"/>
            <w:shd w:val="clear" w:color="auto" w:fill="FFFFFF"/>
          </w:tcPr>
          <w:p w14:paraId="59EA3463"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Carditis</w:t>
            </w:r>
          </w:p>
        </w:tc>
        <w:tc>
          <w:tcPr>
            <w:tcW w:w="4334" w:type="dxa"/>
            <w:shd w:val="clear" w:color="auto" w:fill="FFFFFF"/>
          </w:tcPr>
          <w:p w14:paraId="08E89C46" w14:textId="77777777" w:rsidR="00D03C17" w:rsidRDefault="00D03C17">
            <w:pPr>
              <w:pStyle w:val="Other0"/>
              <w:spacing w:line="283" w:lineRule="auto"/>
              <w:ind w:left="440" w:hanging="100"/>
              <w:rPr>
                <w:sz w:val="16"/>
                <w:szCs w:val="16"/>
              </w:rPr>
            </w:pPr>
            <w:r>
              <w:rPr>
                <w:rFonts w:ascii="Times New Roman" w:eastAsia="Times New Roman" w:hAnsi="Times New Roman" w:cs="Times New Roman"/>
                <w:sz w:val="16"/>
                <w:szCs w:val="16"/>
              </w:rPr>
              <w:t>Ceftriaxona o penicilina: véase artritis persistente o recurrente</w:t>
            </w:r>
          </w:p>
        </w:tc>
      </w:tr>
      <w:tr w:rsidR="00D03C17" w14:paraId="176BEC94" w14:textId="77777777">
        <w:tblPrEx>
          <w:tblCellMar>
            <w:top w:w="0" w:type="dxa"/>
            <w:bottom w:w="0" w:type="dxa"/>
          </w:tblCellMar>
        </w:tblPrEx>
        <w:trPr>
          <w:trHeight w:hRule="exact" w:val="542"/>
          <w:jc w:val="center"/>
        </w:trPr>
        <w:tc>
          <w:tcPr>
            <w:tcW w:w="2587" w:type="dxa"/>
            <w:tcBorders>
              <w:bottom w:val="single" w:sz="4" w:space="0" w:color="auto"/>
            </w:tcBorders>
            <w:shd w:val="clear" w:color="auto" w:fill="FFFFFF"/>
          </w:tcPr>
          <w:p w14:paraId="03566D44"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Meningitis o encefalitis</w:t>
            </w:r>
          </w:p>
        </w:tc>
        <w:tc>
          <w:tcPr>
            <w:tcW w:w="4334" w:type="dxa"/>
            <w:tcBorders>
              <w:bottom w:val="single" w:sz="4" w:space="0" w:color="auto"/>
            </w:tcBorders>
            <w:shd w:val="clear" w:color="auto" w:fill="FFFFFF"/>
          </w:tcPr>
          <w:p w14:paraId="25AA758A" w14:textId="77777777" w:rsidR="00D03C17" w:rsidRDefault="00D03C17">
            <w:pPr>
              <w:pStyle w:val="Other0"/>
              <w:spacing w:line="283" w:lineRule="auto"/>
              <w:ind w:left="440" w:hanging="100"/>
              <w:rPr>
                <w:sz w:val="16"/>
                <w:szCs w:val="16"/>
              </w:rPr>
            </w:pPr>
            <w:r>
              <w:rPr>
                <w:rFonts w:ascii="Times New Roman" w:eastAsia="Times New Roman" w:hAnsi="Times New Roman" w:cs="Times New Roman"/>
                <w:sz w:val="16"/>
                <w:szCs w:val="16"/>
              </w:rPr>
              <w:t>Ceftriaxona o penicilina: véase artritis persistente o recurrente, pero durante 30 a 60 días</w:t>
            </w:r>
          </w:p>
        </w:tc>
      </w:tr>
    </w:tbl>
    <w:p w14:paraId="225F9B25" w14:textId="77777777" w:rsidR="00D03C17" w:rsidRDefault="00D03C17">
      <w:pPr>
        <w:pStyle w:val="Tablecaption0"/>
        <w:spacing w:line="240" w:lineRule="auto"/>
        <w:ind w:left="82"/>
      </w:pPr>
      <w:r>
        <w:t>IV, intravenosa; IM, intramuscular.</w:t>
      </w:r>
    </w:p>
    <w:p w14:paraId="48CFA8D1" w14:textId="77777777" w:rsidR="00D03C17" w:rsidRDefault="00D03C17">
      <w:pPr>
        <w:pStyle w:val="Tablecaption0"/>
        <w:numPr>
          <w:ilvl w:val="0"/>
          <w:numId w:val="79"/>
        </w:numPr>
        <w:tabs>
          <w:tab w:val="left" w:pos="70"/>
        </w:tabs>
        <w:spacing w:line="240" w:lineRule="auto"/>
        <w:ind w:left="82"/>
      </w:pPr>
      <w:r>
        <w:t>Si el niño es alérgico a la penicilina, otros fármacos que pueden usarse son cefuroxima axetilo y eritromicina.</w:t>
      </w:r>
    </w:p>
    <w:p w14:paraId="618C339D" w14:textId="77777777" w:rsidR="00D03C17" w:rsidRDefault="00D03C17">
      <w:pPr>
        <w:pStyle w:val="Tablecaption0"/>
        <w:numPr>
          <w:ilvl w:val="0"/>
          <w:numId w:val="79"/>
        </w:numPr>
        <w:tabs>
          <w:tab w:val="left" w:pos="74"/>
        </w:tabs>
        <w:spacing w:line="240" w:lineRule="auto"/>
        <w:ind w:left="82"/>
      </w:pPr>
      <w:r>
        <w:t>No deben administrarse corticosteroides.</w:t>
      </w:r>
    </w:p>
    <w:p w14:paraId="5AA4F822" w14:textId="77777777" w:rsidR="00D03C17" w:rsidRDefault="00D03C17">
      <w:pPr>
        <w:pStyle w:val="Tablecaption0"/>
        <w:numPr>
          <w:ilvl w:val="0"/>
          <w:numId w:val="79"/>
        </w:numPr>
        <w:tabs>
          <w:tab w:val="left" w:pos="74"/>
        </w:tabs>
        <w:spacing w:line="240" w:lineRule="auto"/>
        <w:ind w:left="82"/>
      </w:pPr>
      <w:r>
        <w:t>El tratamiento no tiene ningún efecto en la resolución de la parálisis del nervio facial, y se le usa para evitar enfermedad tardía.</w:t>
      </w:r>
    </w:p>
    <w:p w14:paraId="05D011FD" w14:textId="77777777" w:rsidR="00D03C17" w:rsidRDefault="00D03C17">
      <w:pPr>
        <w:pStyle w:val="Tablecaption0"/>
        <w:numPr>
          <w:ilvl w:val="0"/>
          <w:numId w:val="79"/>
        </w:numPr>
        <w:tabs>
          <w:tab w:val="left" w:pos="79"/>
        </w:tabs>
        <w:spacing w:line="240" w:lineRule="auto"/>
        <w:ind w:left="82"/>
      </w:pPr>
      <w:r>
        <w:t>Se considera que la artritis no es persistente ni recurrente salvo que existan signos objetivos de sinovitis cuando menos dos meses después de emprender el tratamiento. Algunos expertos emprenden un segundo ciclo de un agente ingerible antes de utilizar un antimicrobiano intravenoso.</w:t>
      </w:r>
    </w:p>
    <w:p w14:paraId="1A4EBE06" w14:textId="77777777" w:rsidR="00D03C17" w:rsidRDefault="00D03C17">
      <w:pPr>
        <w:spacing w:after="399" w:line="1" w:lineRule="exact"/>
      </w:pPr>
    </w:p>
    <w:p w14:paraId="59DCBEF9" w14:textId="77777777" w:rsidR="00D03C17" w:rsidRDefault="00D03C17">
      <w:pPr>
        <w:pStyle w:val="Other0"/>
        <w:spacing w:line="257" w:lineRule="auto"/>
        <w:ind w:firstLine="0"/>
        <w:rPr>
          <w:sz w:val="20"/>
          <w:szCs w:val="20"/>
        </w:rPr>
      </w:pPr>
      <w:r>
        <w:rPr>
          <w:b/>
          <w:bCs/>
          <w:smallCaps/>
          <w:sz w:val="20"/>
          <w:szCs w:val="20"/>
        </w:rPr>
        <w:t>M</w:t>
      </w:r>
      <w:r>
        <w:rPr>
          <w:b/>
          <w:bCs/>
          <w:smallCaps/>
          <w:sz w:val="16"/>
          <w:szCs w:val="16"/>
        </w:rPr>
        <w:t>edidas preventivas</w:t>
      </w:r>
      <w:r>
        <w:rPr>
          <w:b/>
          <w:bCs/>
          <w:smallCaps/>
          <w:sz w:val="20"/>
          <w:szCs w:val="20"/>
        </w:rPr>
        <w:t>:</w:t>
      </w:r>
    </w:p>
    <w:p w14:paraId="04974BA6" w14:textId="77777777" w:rsidR="00D03C17" w:rsidRDefault="00D03C17">
      <w:pPr>
        <w:pStyle w:val="BodyText"/>
        <w:ind w:firstLine="0"/>
      </w:pPr>
      <w:r>
        <w:rPr>
          <w:rFonts w:ascii="Arial" w:eastAsia="Arial" w:hAnsi="Arial" w:cs="Arial"/>
          <w:b/>
          <w:bCs/>
          <w:i/>
          <w:iCs/>
          <w:sz w:val="15"/>
          <w:szCs w:val="15"/>
        </w:rPr>
        <w:t>Garrapatas.</w:t>
      </w:r>
      <w:r>
        <w:t xml:space="preserve"> Véase “Prevención de infecciones por garrapatas”, sección 2.</w:t>
      </w:r>
    </w:p>
    <w:p w14:paraId="3B3DD614" w14:textId="77777777" w:rsidR="00D03C17" w:rsidRDefault="00D03C17">
      <w:pPr>
        <w:pStyle w:val="BodyText"/>
        <w:ind w:firstLine="380"/>
        <w:sectPr w:rsidR="00D03C17" w:rsidSect="00D03C17">
          <w:headerReference w:type="even" r:id="rId11"/>
          <w:headerReference w:type="default" r:id="rId12"/>
          <w:footerReference w:type="even" r:id="rId13"/>
          <w:footerReference w:type="default" r:id="rId14"/>
          <w:footnotePr>
            <w:numFmt w:val="chicago"/>
          </w:footnotePr>
          <w:type w:val="continuous"/>
          <w:pgSz w:w="8501" w:h="13022"/>
          <w:pgMar w:top="710" w:right="796" w:bottom="428" w:left="783" w:header="0" w:footer="3" w:gutter="0"/>
          <w:cols w:space="720"/>
          <w:noEndnote/>
          <w:docGrid w:linePitch="360"/>
          <w15:footnoteColumns w:val="1"/>
        </w:sectPr>
      </w:pPr>
      <w:r>
        <w:rPr>
          <w:rFonts w:ascii="Arial" w:eastAsia="Arial" w:hAnsi="Arial" w:cs="Arial"/>
          <w:b/>
          <w:bCs/>
          <w:i/>
          <w:iCs/>
          <w:sz w:val="15"/>
          <w:szCs w:val="15"/>
        </w:rPr>
        <w:t>Quimioprofilaxia.</w:t>
      </w:r>
      <w:r>
        <w:t xml:space="preserve"> Muchas de las personas que solicitan la atención médica después de picadura de una garrapata, dicho artrópodo no transmitió la enfermedad de Lyme. El riesgo de infección por </w:t>
      </w:r>
      <w:r>
        <w:rPr>
          <w:rFonts w:ascii="Times New Roman" w:eastAsia="Times New Roman" w:hAnsi="Times New Roman" w:cs="Times New Roman"/>
          <w:i/>
          <w:iCs/>
          <w:sz w:val="16"/>
          <w:szCs w:val="16"/>
        </w:rPr>
        <w:t>B. burgdorferi</w:t>
      </w:r>
      <w:r>
        <w:t xml:space="preserve"> después de una picadura confirmada de garrapata del venado, incluso en zonas fuertemente endémicas, es lo suficientemente reducido al grado de que no conviene iniciar sistemáticamente el uso profiláctico de antimicrobianos en casi todos los individuos. Los estudios en animales indican que la transmisión de </w:t>
      </w:r>
      <w:r>
        <w:rPr>
          <w:rFonts w:ascii="Times New Roman" w:eastAsia="Times New Roman" w:hAnsi="Times New Roman" w:cs="Times New Roman"/>
          <w:i/>
          <w:iCs/>
          <w:sz w:val="16"/>
          <w:szCs w:val="16"/>
        </w:rPr>
        <w:t>B. burgdorferi</w:t>
      </w:r>
      <w:r>
        <w:t xml:space="preserve"> a partir de garrapatas infectadas por lo común obliga a que el artrópodo esté adherido 36 h o más. No conviene el análisis de las garrapatas para saber si están infectadas o no porque se desconoce el valor predictivo de tales estudios en el caso de la enfermedad en seres humanos. A pesar de que basta una sola dosis de 200 mg de tetraciclina para evitar el eritema migrans después que se ha adherido por más de 72 h una garrapata de venado en adultos que viven en áreas </w:t>
      </w:r>
    </w:p>
    <w:p w14:paraId="4E4A8EA3" w14:textId="77777777" w:rsidR="00D03C17" w:rsidRDefault="00D03C17">
      <w:pPr>
        <w:pStyle w:val="BodyText"/>
        <w:ind w:firstLine="0"/>
      </w:pPr>
      <w:r>
        <w:t>hiperendémicas, el régimen anterior puede ocasionar con mayor frecuencia efectos adversos y no es recomendable. No se ha probado la eficacia de la amoxicilina con fin profiláctico.</w:t>
      </w:r>
    </w:p>
    <w:p w14:paraId="1D4EE719" w14:textId="77777777" w:rsidR="00D03C17" w:rsidRDefault="00D03C17">
      <w:pPr>
        <w:pStyle w:val="BodyText"/>
        <w:spacing w:line="283" w:lineRule="auto"/>
        <w:ind w:firstLine="360"/>
      </w:pPr>
      <w:r>
        <w:rPr>
          <w:rFonts w:ascii="Arial" w:eastAsia="Arial" w:hAnsi="Arial" w:cs="Arial"/>
          <w:b/>
          <w:bCs/>
          <w:i/>
          <w:iCs/>
          <w:sz w:val="15"/>
          <w:szCs w:val="15"/>
        </w:rPr>
        <w:t>Donación de sangre.</w:t>
      </w:r>
      <w:r>
        <w:t xml:space="preserve"> Las personas con enfermedad activa no deben donar sangre porque en fase temprana de la enfermedad de Lyme surge la espiroquetría. Los pacientes que han recibido tratamiento para la enfermedad de Lyme pueden ser candidatos para donar sangre.</w:t>
      </w:r>
    </w:p>
    <w:p w14:paraId="7704626D" w14:textId="77777777" w:rsidR="00D03C17" w:rsidRDefault="00D03C17">
      <w:pPr>
        <w:pStyle w:val="BodyText"/>
        <w:spacing w:after="80" w:line="295" w:lineRule="auto"/>
        <w:ind w:firstLine="360"/>
      </w:pPr>
      <w:r>
        <w:rPr>
          <w:rFonts w:ascii="Arial" w:eastAsia="Arial" w:hAnsi="Arial" w:cs="Arial"/>
          <w:b/>
          <w:bCs/>
          <w:i/>
          <w:iCs/>
          <w:sz w:val="15"/>
          <w:szCs w:val="15"/>
        </w:rPr>
        <w:t>Vacunas.</w:t>
      </w:r>
      <w:r>
        <w:rPr>
          <w:rFonts w:ascii="Arial" w:eastAsia="Arial" w:hAnsi="Arial" w:cs="Arial"/>
          <w:b/>
          <w:bCs/>
          <w:i/>
          <w:iCs/>
          <w:sz w:val="15"/>
          <w:szCs w:val="15"/>
        </w:rPr>
        <w:footnoteReference w:id="1"/>
      </w:r>
      <w:r>
        <w:t xml:space="preserve"> El 21 de diciembre de 1998 en Estados Unidos la </w:t>
      </w:r>
      <w:r>
        <w:rPr>
          <w:rFonts w:ascii="Times New Roman" w:eastAsia="Times New Roman" w:hAnsi="Times New Roman" w:cs="Times New Roman"/>
          <w:i/>
          <w:iCs/>
          <w:sz w:val="16"/>
          <w:szCs w:val="16"/>
        </w:rPr>
        <w:t>Food and Drug Administration</w:t>
      </w:r>
      <w:r>
        <w:t xml:space="preserve"> (FDA) aprobó la distribución de una vacuna contra la enfermedad de Lyme para personas de 15 a 70 años, pero en los comienzos de 2002 fue retirada de los mercados ante su escasa demanda, y ya no se cuenta con ella.</w:t>
      </w:r>
    </w:p>
    <w:p w14:paraId="7E40E036" w14:textId="77777777" w:rsidR="00D03C17" w:rsidRDefault="00D03C17">
      <w:pPr>
        <w:pStyle w:val="Bodytext70"/>
        <w:spacing w:after="0"/>
      </w:pPr>
      <w:r>
        <w:t>Meningocócicas, infecciones</w:t>
      </w:r>
    </w:p>
    <w:p w14:paraId="19E6781F" w14:textId="77777777" w:rsidR="00D03C17" w:rsidRDefault="00D03C17">
      <w:pPr>
        <w:pStyle w:val="BodyText"/>
        <w:ind w:firstLine="0"/>
      </w:pPr>
      <w:r>
        <w:rPr>
          <w:b/>
          <w:bCs/>
          <w:smallCaps/>
          <w:sz w:val="20"/>
          <w:szCs w:val="20"/>
        </w:rPr>
        <w:t>M</w:t>
      </w:r>
      <w:r>
        <w:rPr>
          <w:b/>
          <w:bCs/>
          <w:smallCaps/>
          <w:sz w:val="16"/>
          <w:szCs w:val="16"/>
        </w:rPr>
        <w:t>anifestaciones clínicas</w:t>
      </w:r>
      <w:r>
        <w:rPr>
          <w:b/>
          <w:bCs/>
          <w:smallCaps/>
          <w:sz w:val="20"/>
          <w:szCs w:val="20"/>
        </w:rPr>
        <w:t>:</w:t>
      </w:r>
      <w:r>
        <w:t xml:space="preserve"> La infección invasora suele originar meningococcemia, meningitis o ambos cuadros. El trastorno suele comenzar en forma repentina en el caso de la meningococcemia, e incluye fiebre, escalofríos, malestar general, postración y una erupción que en comienzo puede ser macular, maculopapular o petequial. En casos fulminantes (síndrome de Waterhouse-Friderichsen), aparecen ulteriormente púrpura, coagulación intravascular diseminada, choque, coma y muerte en término de horas a pesar del tratamiento apropiado. Los signos y síntomas de la meningitis meningocócica son idénticos a los de la meningitis aguda causada por </w:t>
      </w:r>
      <w:r>
        <w:rPr>
          <w:rFonts w:ascii="Times New Roman" w:eastAsia="Times New Roman" w:hAnsi="Times New Roman" w:cs="Times New Roman"/>
          <w:i/>
          <w:iCs/>
          <w:sz w:val="16"/>
          <w:szCs w:val="16"/>
        </w:rPr>
        <w:t>Streptococcus pneumoniae</w:t>
      </w:r>
      <w:r>
        <w:t xml:space="preserve"> u otros patógenos que afectan las meninges. Entre las manifestaciones menos frecuentes están neumonía, bacteriemia febril oculta, conjuntivitis y meningococcemia crónica. Las infecciones invasoras por meningococos pueden complicarse por la aparición de artritis, miocarditis, pericarditis y endoftalmitis.</w:t>
      </w:r>
    </w:p>
    <w:p w14:paraId="399B0485" w14:textId="77777777" w:rsidR="00D03C17" w:rsidRDefault="00D03C17">
      <w:pPr>
        <w:pStyle w:val="BodyText"/>
        <w:ind w:firstLine="0"/>
      </w:pPr>
      <w:r>
        <w:rPr>
          <w:b/>
          <w:bCs/>
        </w:rPr>
        <w:t>C</w:t>
      </w:r>
      <w:r>
        <w:rPr>
          <w:b/>
          <w:bCs/>
          <w:sz w:val="13"/>
          <w:szCs w:val="13"/>
        </w:rPr>
        <w:t>AUSAS</w:t>
      </w:r>
      <w:r>
        <w:rPr>
          <w:b/>
          <w:bCs/>
        </w:rPr>
        <w:t xml:space="preserve">: </w:t>
      </w:r>
      <w:r>
        <w:rPr>
          <w:rFonts w:ascii="Times New Roman" w:eastAsia="Times New Roman" w:hAnsi="Times New Roman" w:cs="Times New Roman"/>
          <w:i/>
          <w:iCs/>
          <w:sz w:val="16"/>
          <w:szCs w:val="16"/>
        </w:rPr>
        <w:t>Neisseria meningitidis</w:t>
      </w:r>
      <w:r>
        <w:t xml:space="preserve"> es un diplococo gramnegativo que tiene como mínimo 13 serogrupos. Las cepas que pertenecen a los grupos A, B, C, Y y W-135, según los expertos son las que causan más a menudo enfermedad sistémica. En años recientes ha cambiado la distribución de los serogrupos de meningococos en Estados Unidos. De manera individual, los serogrupos B, C e Y causan en promedio 30% de los casos notificados, pero la distribución de dichos serogrupos puede variar en sitio y tiempo. El serogrupo A se ha vinculado a menudo con epidemias en otros países del mundo, en particular los subsaharianos. A nivel mundial, el serogrupo W-135 causa menos de 5% de los casos notificados. En el año 2000 se notificó la primera epidemia causada por el serogrupo W-135, en el grupo Hajj en Arabia Saudita; en el 2002, se señaló una epidemia por el serogrupo W-135 en países subsaharianos.</w:t>
      </w:r>
    </w:p>
    <w:p w14:paraId="0B093232" w14:textId="77777777" w:rsidR="00D03C17" w:rsidRDefault="00D03C17">
      <w:pPr>
        <w:pStyle w:val="BodyText"/>
        <w:ind w:firstLine="0"/>
      </w:pPr>
      <w:r>
        <w:rPr>
          <w:b/>
          <w:bCs/>
        </w:rPr>
        <w:t>A</w:t>
      </w:r>
      <w:r>
        <w:rPr>
          <w:b/>
          <w:bCs/>
          <w:sz w:val="13"/>
          <w:szCs w:val="13"/>
        </w:rPr>
        <w:t xml:space="preserve">SPECTOS </w:t>
      </w:r>
      <w:r>
        <w:rPr>
          <w:b/>
          <w:bCs/>
          <w:smallCaps/>
          <w:sz w:val="16"/>
          <w:szCs w:val="16"/>
        </w:rPr>
        <w:t>epidemiológicos</w:t>
      </w:r>
      <w:r>
        <w:rPr>
          <w:b/>
          <w:bCs/>
          <w:smallCaps/>
          <w:sz w:val="20"/>
          <w:szCs w:val="20"/>
        </w:rPr>
        <w:t>:</w:t>
      </w:r>
      <w:r>
        <w:t xml:space="preserve"> La colonización asintomática de las vías respiratorias altas establece un foco a partir del cual se propagan los microorganismos. La transmisión se hace en forma directa de una persona a otra a través de gotículas de secreciones de vías respiratorias. Desde que se comenzó la vacunación contra </w:t>
      </w:r>
      <w:r>
        <w:rPr>
          <w:rFonts w:ascii="Times New Roman" w:eastAsia="Times New Roman" w:hAnsi="Times New Roman" w:cs="Times New Roman"/>
          <w:i/>
          <w:iCs/>
          <w:sz w:val="16"/>
          <w:szCs w:val="16"/>
        </w:rPr>
        <w:t>Haemophilus influenzae</w:t>
      </w:r>
      <w:r>
        <w:t xml:space="preserve"> de tipo b en lactantes, </w:t>
      </w:r>
      <w:r>
        <w:rPr>
          <w:rFonts w:ascii="Times New Roman" w:eastAsia="Times New Roman" w:hAnsi="Times New Roman" w:cs="Times New Roman"/>
          <w:i/>
          <w:iCs/>
          <w:sz w:val="16"/>
          <w:szCs w:val="16"/>
        </w:rPr>
        <w:t>N. meningitidis</w:t>
      </w:r>
      <w:r>
        <w:t xml:space="preserve"> ha sido una de las dos causas principales de meningitis bacteriana en niños de corta edad y siguen siendo una causa importante de septicemia. El trastorno suele atacar a niños menores de cinco años, y la cifra de ataque máximo se observa entre los tres y los cinco meses. En promedio, la mitad de los casos</w:t>
      </w:r>
    </w:p>
    <w:p w14:paraId="7AD74D66" w14:textId="77777777" w:rsidR="00D03C17" w:rsidRDefault="00D03C17">
      <w:pPr>
        <w:pStyle w:val="BodyText"/>
        <w:numPr>
          <w:ilvl w:val="0"/>
          <w:numId w:val="80"/>
        </w:numPr>
        <w:tabs>
          <w:tab w:val="left" w:pos="336"/>
        </w:tabs>
        <w:ind w:left="360" w:hanging="360"/>
      </w:pPr>
      <w:bookmarkStart w:id="1" w:name="bookmark1027"/>
      <w:bookmarkEnd w:id="1"/>
      <w:r>
        <w:t>En áreas endémicas identificadas, puede ser útil un programa de erradicación de reservorios.</w:t>
      </w:r>
    </w:p>
    <w:p w14:paraId="30C14CD3" w14:textId="77777777" w:rsidR="00D03C17" w:rsidRDefault="00D03C17">
      <w:pPr>
        <w:pStyle w:val="BodyText"/>
        <w:numPr>
          <w:ilvl w:val="0"/>
          <w:numId w:val="80"/>
        </w:numPr>
        <w:tabs>
          <w:tab w:val="left" w:pos="336"/>
        </w:tabs>
        <w:ind w:left="360" w:hanging="360"/>
      </w:pPr>
      <w:bookmarkStart w:id="2" w:name="bookmark1028"/>
      <w:bookmarkEnd w:id="2"/>
      <w:r>
        <w:t>Para disminuir los peligros, por parte de personas con exposición ocupacional conviene utilizar ropas protectoras, botas y guantes.</w:t>
      </w:r>
    </w:p>
    <w:p w14:paraId="02ACFD6B" w14:textId="77777777" w:rsidR="00D03C17" w:rsidRDefault="00D03C17">
      <w:pPr>
        <w:pStyle w:val="BodyText"/>
        <w:numPr>
          <w:ilvl w:val="0"/>
          <w:numId w:val="80"/>
        </w:numPr>
        <w:tabs>
          <w:tab w:val="left" w:pos="336"/>
        </w:tabs>
        <w:spacing w:after="100"/>
        <w:ind w:left="360" w:hanging="360"/>
      </w:pPr>
      <w:bookmarkStart w:id="3" w:name="bookmark1029"/>
      <w:bookmarkEnd w:id="3"/>
      <w:r>
        <w:t>A veces se obtiene profilaxia eficaz con 200 mg de doxiciclina ingeridos una vez por semana (adultos) y cabe considerar su uso en grupos ocupacionales de alto riesgo, con exposición a corto plazo. Sin embargo, no se han definido las indicaciones para el uso profiláctico de dicho antibiótico, en niños.</w:t>
      </w:r>
    </w:p>
    <w:p w14:paraId="41829F47" w14:textId="77777777" w:rsidR="00D03C17" w:rsidRDefault="00D03C17">
      <w:pPr>
        <w:pStyle w:val="Bodytext70"/>
        <w:spacing w:after="0"/>
      </w:pPr>
      <w:r>
        <w:t>Linfática, filariasis</w:t>
      </w:r>
    </w:p>
    <w:p w14:paraId="4B25437B" w14:textId="77777777" w:rsidR="00D03C17" w:rsidRDefault="00D03C17">
      <w:pPr>
        <w:pStyle w:val="Other0"/>
        <w:spacing w:line="252" w:lineRule="auto"/>
        <w:ind w:firstLine="0"/>
        <w:rPr>
          <w:sz w:val="20"/>
          <w:szCs w:val="20"/>
        </w:rPr>
      </w:pPr>
      <w:r>
        <w:rPr>
          <w:rFonts w:ascii="Arial" w:eastAsia="Arial" w:hAnsi="Arial" w:cs="Arial"/>
          <w:b/>
          <w:bCs/>
          <w:w w:val="70"/>
          <w:sz w:val="20"/>
          <w:szCs w:val="20"/>
        </w:rPr>
        <w:t>(por W. bancrofti, B. malayi y B. timori)</w:t>
      </w:r>
    </w:p>
    <w:p w14:paraId="6F9AAA9C" w14:textId="77777777" w:rsidR="00D03C17" w:rsidRDefault="00D03C17">
      <w:pPr>
        <w:pStyle w:val="BodyText"/>
        <w:ind w:firstLine="0"/>
      </w:pPr>
      <w:r>
        <w:rPr>
          <w:b/>
          <w:bCs/>
        </w:rPr>
        <w:t>M</w:t>
      </w:r>
      <w:r>
        <w:rPr>
          <w:b/>
          <w:bCs/>
          <w:sz w:val="13"/>
          <w:szCs w:val="13"/>
        </w:rPr>
        <w:t>ANIFESTACIONES CLÍNICAS</w:t>
      </w:r>
      <w:r>
        <w:rPr>
          <w:b/>
          <w:bCs/>
        </w:rPr>
        <w:t xml:space="preserve">: </w:t>
      </w:r>
      <w:r>
        <w:t>Casi todas las filariasis son asintomáticas. En los comienzos de la infección, los síntomas suelen ser causados por una reacción inflamatoria aguda en los vasos linfáticos, desencadenada por la muerte de los vermes adultos. Junto con la inflamación aguda pueden surgir cefalea, mialgias y linfadenitis. La enfermedad aguda se manifiesta a veces a los tres meses del contagio. Sin embargo, el daño inicial a la red linfática por lo común permanece en estado subclínico durante años. Con el paso del tiempo surge linfadenopatía moderada que afecta principalmente los ganglios linfáticos inguinales. La inflamación que es consecuencia de la muerte del verme adulto dentro de los linfáticos de las extremidades y de los genitales ocasiona adenolinfangitis que de manera característica es retrógrada. En la filariasis de Bancroft también pueden aparecer epididimitis, orquitis y funiculitis, y puede acompañarse de fiebre, escalofrío y otros síntomas sistémicos inespecíficos. En los niños es rara la disfunción linfática con edema que evoluciona en forma crónica en las extremidades y genitales. En unas cuantas personas, la elefantiasis puede ser consecuencia de fibrosis causada por disfunción crónica de los conductos linfáticos e infecciones bacterianas secundarias y recurrentes. La quiluria a veces surge como manifestación de la filariasis de Bancroft. Entre las manifestaciones del síndrome eosinófilo pulmonar tropical están tos, fiebre, notable eosinofilia y altas concentraciones de inmunoglobulina E en suero.</w:t>
      </w:r>
    </w:p>
    <w:p w14:paraId="1B901637" w14:textId="77777777" w:rsidR="00D03C17" w:rsidRDefault="00D03C17">
      <w:pPr>
        <w:pStyle w:val="BodyText"/>
        <w:spacing w:line="290" w:lineRule="auto"/>
        <w:ind w:firstLine="0"/>
        <w:rPr>
          <w:sz w:val="16"/>
          <w:szCs w:val="16"/>
        </w:rPr>
      </w:pPr>
      <w:r>
        <w:rPr>
          <w:b/>
          <w:bCs/>
        </w:rPr>
        <w:t>C</w:t>
      </w:r>
      <w:r>
        <w:rPr>
          <w:b/>
          <w:bCs/>
          <w:sz w:val="13"/>
          <w:szCs w:val="13"/>
        </w:rPr>
        <w:t>AUSAS</w:t>
      </w:r>
      <w:r>
        <w:rPr>
          <w:b/>
          <w:bCs/>
        </w:rPr>
        <w:t xml:space="preserve">: </w:t>
      </w:r>
      <w:r>
        <w:t xml:space="preserve">La filariasis es causada por tres nematodos filarianos: </w:t>
      </w:r>
      <w:r>
        <w:rPr>
          <w:rFonts w:ascii="Times New Roman" w:eastAsia="Times New Roman" w:hAnsi="Times New Roman" w:cs="Times New Roman"/>
          <w:i/>
          <w:iCs/>
          <w:sz w:val="16"/>
          <w:szCs w:val="16"/>
        </w:rPr>
        <w:t>Wuchereria bancrofti, Brugia malayi</w:t>
      </w:r>
      <w:r>
        <w:t xml:space="preserve"> y </w:t>
      </w:r>
      <w:r>
        <w:rPr>
          <w:rFonts w:ascii="Times New Roman" w:eastAsia="Times New Roman" w:hAnsi="Times New Roman" w:cs="Times New Roman"/>
          <w:i/>
          <w:iCs/>
          <w:sz w:val="16"/>
          <w:szCs w:val="16"/>
        </w:rPr>
        <w:t>Brugia timori.</w:t>
      </w:r>
    </w:p>
    <w:p w14:paraId="01B0F30F" w14:textId="77777777" w:rsidR="00D03C17" w:rsidRDefault="00D03C17">
      <w:pPr>
        <w:pStyle w:val="BodyText"/>
        <w:spacing w:line="276" w:lineRule="auto"/>
        <w:ind w:firstLine="0"/>
      </w:pPr>
      <w:r>
        <w:rPr>
          <w:b/>
          <w:bCs/>
        </w:rPr>
        <w:t>A</w:t>
      </w:r>
      <w:r>
        <w:rPr>
          <w:b/>
          <w:bCs/>
          <w:sz w:val="13"/>
          <w:szCs w:val="13"/>
        </w:rPr>
        <w:t>SPECTOS EPIDEMIOLÓGICOS</w:t>
      </w:r>
      <w:r>
        <w:rPr>
          <w:b/>
          <w:bCs/>
        </w:rPr>
        <w:t xml:space="preserve">. </w:t>
      </w:r>
      <w:r>
        <w:t xml:space="preserve">El parásito es transmitido por la picadura de la especie infectada de algunos géneros de mosquitos como </w:t>
      </w:r>
      <w:r>
        <w:rPr>
          <w:rFonts w:ascii="Times New Roman" w:eastAsia="Times New Roman" w:hAnsi="Times New Roman" w:cs="Times New Roman"/>
          <w:i/>
          <w:iCs/>
          <w:sz w:val="16"/>
          <w:szCs w:val="16"/>
        </w:rPr>
        <w:t>Culex, Aedes, Anopheles</w:t>
      </w:r>
      <w:r>
        <w:t xml:space="preserve"> y </w:t>
      </w:r>
      <w:r>
        <w:rPr>
          <w:rFonts w:ascii="Times New Roman" w:eastAsia="Times New Roman" w:hAnsi="Times New Roman" w:cs="Times New Roman"/>
          <w:i/>
          <w:iCs/>
          <w:sz w:val="16"/>
          <w:szCs w:val="16"/>
        </w:rPr>
        <w:t>Mansonia</w:t>
      </w:r>
      <w:r>
        <w:rPr>
          <w:i/>
          <w:iCs/>
        </w:rPr>
        <w:t xml:space="preserve">. </w:t>
      </w:r>
      <w:r>
        <w:rPr>
          <w:rFonts w:ascii="Times New Roman" w:eastAsia="Times New Roman" w:hAnsi="Times New Roman" w:cs="Times New Roman"/>
          <w:i/>
          <w:iCs/>
          <w:sz w:val="16"/>
          <w:szCs w:val="16"/>
        </w:rPr>
        <w:t>Wuchereria bancrofti</w:t>
      </w:r>
      <w:r>
        <w:t xml:space="preserve"> está distribuida en Haití, la República Dominicana, Guayana, Brasil, países subsaharianos y del norte del África y en Asia, y abarca una amplia zona que va de la India al archipiélago indonesio y de ahí pasa al sur de China y Oceanía. Los seres humanos son el hospedador definitivo único del parásito. </w:t>
      </w:r>
      <w:r>
        <w:rPr>
          <w:rFonts w:ascii="Times New Roman" w:eastAsia="Times New Roman" w:hAnsi="Times New Roman" w:cs="Times New Roman"/>
          <w:i/>
          <w:iCs/>
          <w:sz w:val="16"/>
          <w:szCs w:val="16"/>
        </w:rPr>
        <w:t>Brugia malayi</w:t>
      </w:r>
      <w:r>
        <w:t xml:space="preserve"> aparece más bien en India y sureste asiático. </w:t>
      </w:r>
      <w:r>
        <w:rPr>
          <w:rFonts w:ascii="Times New Roman" w:eastAsia="Times New Roman" w:hAnsi="Times New Roman" w:cs="Times New Roman"/>
          <w:i/>
          <w:iCs/>
          <w:sz w:val="16"/>
          <w:szCs w:val="16"/>
        </w:rPr>
        <w:t xml:space="preserve">Brugia timori </w:t>
      </w:r>
      <w:r>
        <w:t>se limita a algunas islas de la porción oriental y del archipiélago indonesio. Los vermes adultos viven cinco a ocho años en promedio y es frecuente la reinfección, razón por la cual las microfilarias infectantes provenientes de los mosquitos pueden persistir decenios en la sangre de los pacientes; las microfilarias individuales pueden vivir incluso 1.5 años. El verme adulto no se transmite de una persona a otra ni por la sangre en transfusión, pero por este último mecanismo se pueden transmitir microfilarias.</w:t>
      </w:r>
    </w:p>
    <w:p w14:paraId="7C6926F7" w14:textId="77777777" w:rsidR="00D03C17" w:rsidRDefault="00D03C17">
      <w:pPr>
        <w:pStyle w:val="BodyText"/>
        <w:spacing w:after="60"/>
        <w:ind w:firstLine="360"/>
        <w:sectPr w:rsidR="00D03C17" w:rsidSect="00D03C17">
          <w:headerReference w:type="even" r:id="rId15"/>
          <w:headerReference w:type="default" r:id="rId16"/>
          <w:footerReference w:type="even" r:id="rId17"/>
          <w:footerReference w:type="default" r:id="rId18"/>
          <w:headerReference w:type="first" r:id="rId19"/>
          <w:footerReference w:type="first" r:id="rId20"/>
          <w:footnotePr>
            <w:numFmt w:val="chicago"/>
          </w:footnotePr>
          <w:pgSz w:w="8501" w:h="13022"/>
          <w:pgMar w:top="710" w:right="796" w:bottom="428" w:left="783" w:header="0" w:footer="3" w:gutter="0"/>
          <w:cols w:space="720"/>
          <w:noEndnote/>
          <w:titlePg/>
          <w:docGrid w:linePitch="360"/>
          <w15:footnoteColumns w:val="1"/>
        </w:sectPr>
      </w:pPr>
      <w:r>
        <w:t xml:space="preserve">No se ha definido con exactitud el </w:t>
      </w:r>
      <w:r>
        <w:rPr>
          <w:b/>
          <w:bCs/>
        </w:rPr>
        <w:t>periodo de incubación</w:t>
      </w:r>
      <w:r>
        <w:t>; el lapso que media desde el contagio hasta la aparición de microfilarias en la sangre puede ser de tres a 12 meses, según la especie del parásito.</w:t>
      </w:r>
    </w:p>
    <w:p w14:paraId="6908CB7D" w14:textId="77777777" w:rsidR="00D03C17" w:rsidRDefault="00D03C17">
      <w:pPr>
        <w:pStyle w:val="BodyText"/>
        <w:ind w:firstLine="0"/>
      </w:pPr>
      <w:r>
        <w:rPr>
          <w:b/>
          <w:bCs/>
        </w:rPr>
        <w:t>M</w:t>
      </w:r>
      <w:r>
        <w:rPr>
          <w:b/>
          <w:bCs/>
          <w:sz w:val="13"/>
          <w:szCs w:val="13"/>
        </w:rPr>
        <w:t>ÉTODOS DIAGNÓSTICOS</w:t>
      </w:r>
      <w:r>
        <w:rPr>
          <w:b/>
          <w:bCs/>
        </w:rPr>
        <w:t xml:space="preserve">: </w:t>
      </w:r>
      <w:r>
        <w:t xml:space="preserve">Las microfilarias se detectan por métodos microscópicos en frotis de sangre obtenida por la noche (de 10 de la noche a 4 de la mañana). Los vermes adultos o las microfilarias pueden identificarse en muestras de tejidos obtenidas para biopsia. Se cuenta con inmunoanálisis enzimáticos serológicos, pero la interpretación de sus resultados es difícil por las reacciones cruzadas de los anticuerpos contra filarias y los que surgen contra otro helmintos. En el comercio se cuenta con material de laboratorio para detectar el antígeno circulante de </w:t>
      </w:r>
      <w:r>
        <w:rPr>
          <w:rFonts w:ascii="Times New Roman" w:eastAsia="Times New Roman" w:hAnsi="Times New Roman" w:cs="Times New Roman"/>
          <w:i/>
          <w:iCs/>
          <w:sz w:val="16"/>
          <w:szCs w:val="16"/>
        </w:rPr>
        <w:t>W. bancrofti</w:t>
      </w:r>
      <w:r>
        <w:rPr>
          <w:i/>
          <w:iCs/>
        </w:rPr>
        <w:t>,</w:t>
      </w:r>
      <w:r>
        <w:t xml:space="preserve"> pero en Estados Unidos no ha sido aprobado por la FDA. La filariasis linfática debe ser diagnosticada sobre bases clínicas porque no se dispone siempre de métodos serológicos fidedignos, y en pacientes con elefantiasis ya desaparecieron las microfilarias.</w:t>
      </w:r>
    </w:p>
    <w:p w14:paraId="117371A0" w14:textId="77777777" w:rsidR="00D03C17" w:rsidRDefault="00D03C17">
      <w:pPr>
        <w:pStyle w:val="BodyText"/>
        <w:ind w:firstLine="0"/>
      </w:pPr>
      <w:r>
        <w:rPr>
          <w:b/>
          <w:bCs/>
        </w:rPr>
        <w:t>T</w:t>
      </w:r>
      <w:r>
        <w:rPr>
          <w:b/>
          <w:bCs/>
          <w:sz w:val="13"/>
          <w:szCs w:val="13"/>
        </w:rPr>
        <w:t>RATAMIENTO</w:t>
      </w:r>
      <w:r>
        <w:rPr>
          <w:b/>
          <w:bCs/>
        </w:rPr>
        <w:t xml:space="preserve">: </w:t>
      </w:r>
      <w:r>
        <w:t xml:space="preserve">El citrato de dietilcarbamazina </w:t>
      </w:r>
      <w:r>
        <w:rPr>
          <w:i/>
          <w:iCs/>
        </w:rPr>
        <w:t>(</w:t>
      </w:r>
      <w:r>
        <w:rPr>
          <w:rFonts w:ascii="Times New Roman" w:eastAsia="Times New Roman" w:hAnsi="Times New Roman" w:cs="Times New Roman"/>
          <w:i/>
          <w:iCs/>
          <w:sz w:val="16"/>
          <w:szCs w:val="16"/>
        </w:rPr>
        <w:t>diethylcarbamazine citrate</w:t>
      </w:r>
      <w:r>
        <w:rPr>
          <w:i/>
          <w:iCs/>
        </w:rPr>
        <w:t>,</w:t>
      </w:r>
      <w:r>
        <w:t xml:space="preserve"> DEC) es el medicamento más adecuado contra la filariasis linfática (véase “Fármacos antiparasitarios”, sección 4). La quimioterapia no modifica la fase tardía de la enfermedad crónica. La ivermectina es eficaz contra la microfilaria de </w:t>
      </w:r>
      <w:r>
        <w:rPr>
          <w:rFonts w:ascii="Times New Roman" w:eastAsia="Times New Roman" w:hAnsi="Times New Roman" w:cs="Times New Roman"/>
          <w:i/>
          <w:iCs/>
          <w:sz w:val="16"/>
          <w:szCs w:val="16"/>
        </w:rPr>
        <w:t>W. bancrofti,</w:t>
      </w:r>
      <w:r>
        <w:t xml:space="preserve"> pero no tiene ningún efecto en el parásito adulto. Ha sido más eficaz la combinación de albendazol-DEC en dosis únicas o de ivermectina-albendazol que uno de los fármacos solos, para suprimir la microfilaremia.</w:t>
      </w:r>
    </w:p>
    <w:p w14:paraId="14DABA3B" w14:textId="77777777" w:rsidR="00D03C17" w:rsidRDefault="00D03C17">
      <w:pPr>
        <w:pStyle w:val="BodyText"/>
        <w:ind w:firstLine="360"/>
      </w:pPr>
      <w:r>
        <w:t>La fisioterapia descongestiva compleja puede ser eficaz para tratar la elefantiasis. La quiluria proveniente de la vejiga mejora con la fulguración, en tanto que la que nace del riñón no puede ser corregida. Aspectos importantes del tratamiento son la identificación y el tratamiento rápidos de las infecciones sobreañadidas, en particular las infecciones por estreptococos y estafilococos, así como el tratamiento cuidadoso de infecciones intertriginosas y ungueales.</w:t>
      </w:r>
    </w:p>
    <w:p w14:paraId="26271844" w14:textId="77777777" w:rsidR="00D03C17" w:rsidRDefault="00D03C17">
      <w:pPr>
        <w:pStyle w:val="BodyText"/>
        <w:spacing w:line="262" w:lineRule="auto"/>
        <w:ind w:firstLine="0"/>
      </w:pPr>
      <w:r>
        <w:rPr>
          <w:b/>
          <w:bCs/>
          <w:smallCaps/>
          <w:sz w:val="20"/>
          <w:szCs w:val="20"/>
        </w:rPr>
        <w:t>A</w:t>
      </w:r>
      <w:r>
        <w:rPr>
          <w:b/>
          <w:bCs/>
          <w:smallCaps/>
          <w:sz w:val="16"/>
          <w:szCs w:val="16"/>
        </w:rPr>
        <w:t>islamiento del paciente hospitalizado</w:t>
      </w:r>
      <w:r>
        <w:rPr>
          <w:b/>
          <w:bCs/>
          <w:smallCaps/>
          <w:sz w:val="20"/>
          <w:szCs w:val="20"/>
        </w:rPr>
        <w:t>:</w:t>
      </w:r>
      <w:r>
        <w:t xml:space="preserve"> Se recomienda seguir las precauciones estándar.</w:t>
      </w:r>
    </w:p>
    <w:p w14:paraId="44DAB056" w14:textId="77777777" w:rsidR="00D03C17" w:rsidRDefault="00D03C17">
      <w:pPr>
        <w:pStyle w:val="BodyText"/>
        <w:spacing w:after="100"/>
        <w:ind w:firstLine="0"/>
      </w:pPr>
      <w:r>
        <w:rPr>
          <w:b/>
          <w:bCs/>
        </w:rPr>
        <w:t>M</w:t>
      </w:r>
      <w:r>
        <w:rPr>
          <w:b/>
          <w:bCs/>
          <w:sz w:val="13"/>
          <w:szCs w:val="13"/>
        </w:rPr>
        <w:t>EDIDAS PREVENTIVAS</w:t>
      </w:r>
      <w:r>
        <w:rPr>
          <w:b/>
          <w:bCs/>
        </w:rPr>
        <w:t xml:space="preserve">: </w:t>
      </w:r>
      <w:r>
        <w:t>Las medidas que han sido instituidas se basan en DEC de una sola dosis, a nivel comunitario y anual (o combinaciones de DEC e ivermectina o albendazol e ivermectina) para disminuir el peligro de transmisión en zonas de alto riesgo.</w:t>
      </w:r>
    </w:p>
    <w:p w14:paraId="14AB9F99" w14:textId="77777777" w:rsidR="00D03C17" w:rsidRDefault="00D03C17">
      <w:pPr>
        <w:pStyle w:val="Bodytext70"/>
        <w:spacing w:after="0"/>
      </w:pPr>
      <w:r>
        <w:t>Linfocítica, coriomeningitis</w:t>
      </w:r>
    </w:p>
    <w:p w14:paraId="17166795" w14:textId="77777777" w:rsidR="00D03C17" w:rsidRDefault="00D03C17">
      <w:pPr>
        <w:pStyle w:val="BodyText"/>
        <w:ind w:firstLine="0"/>
      </w:pPr>
      <w:r>
        <w:rPr>
          <w:b/>
          <w:bCs/>
        </w:rPr>
        <w:t>M</w:t>
      </w:r>
      <w:r>
        <w:rPr>
          <w:b/>
          <w:bCs/>
          <w:sz w:val="13"/>
          <w:szCs w:val="13"/>
        </w:rPr>
        <w:t>ANIFESTACIONES CLÍNICAS</w:t>
      </w:r>
      <w:r>
        <w:rPr>
          <w:b/>
          <w:bCs/>
        </w:rPr>
        <w:t xml:space="preserve">: </w:t>
      </w:r>
      <w:r>
        <w:t xml:space="preserve">La infección posnatal es asintomática en cerca de 33% de los casos. El cuadro sintomático puede incluir un estado leve o grave similar a influenza que incluya fiebre, malestar general, mialgias, dolor retroorbitario, fotofobia, anorexia y náuseas. La fiebre suele durar una a tres semanas y pocas veces hay erupciones. Es frecuente que la fiebre siga un curso bifásico. Incluso la mitad de los sujetos sintomáticos terminarán por mostrar manifestaciones neurológicas que varían desde la meningitis aséptica hasta la encefalitis grave. A veces surgen artralgias o artritis, síntomas de vías respiratorias, orquitis y leucopenia. La culminación común es la recuperación sin secuelas. La infección en el embarazo se ha vinculado con aborto espontáneo. La infección congénita puede causar hidrocefalia, coriorretinitis, calcificaciones intracraneales, microcefalia y retardo psíquico. A veces es difícil diferenciar la coriomeningitis linfocítica congénita de la infección congénita atribuible a virus citomegálico </w:t>
      </w:r>
      <w:r>
        <w:rPr>
          <w:i/>
          <w:iCs/>
        </w:rPr>
        <w:t>(</w:t>
      </w:r>
      <w:r>
        <w:rPr>
          <w:rFonts w:ascii="Times New Roman" w:eastAsia="Times New Roman" w:hAnsi="Times New Roman" w:cs="Times New Roman"/>
          <w:i/>
          <w:iCs/>
          <w:sz w:val="16"/>
          <w:szCs w:val="16"/>
        </w:rPr>
        <w:t>cytomegalovirus</w:t>
      </w:r>
      <w:r>
        <w:rPr>
          <w:i/>
          <w:iCs/>
        </w:rPr>
        <w:t>,</w:t>
      </w:r>
      <w:r>
        <w:t xml:space="preserve"> CMV), toxoplasmosis o rubéola.</w:t>
      </w:r>
    </w:p>
    <w:p w14:paraId="51907F0B" w14:textId="77777777" w:rsidR="00D03C17" w:rsidRDefault="00D03C17">
      <w:pPr>
        <w:pStyle w:val="BodyText"/>
        <w:spacing w:line="266" w:lineRule="auto"/>
        <w:ind w:firstLine="0"/>
      </w:pPr>
      <w:r>
        <w:rPr>
          <w:b/>
          <w:bCs/>
        </w:rPr>
        <w:t>C</w:t>
      </w:r>
      <w:r>
        <w:rPr>
          <w:b/>
          <w:bCs/>
          <w:sz w:val="13"/>
          <w:szCs w:val="13"/>
        </w:rPr>
        <w:t>AUSA</w:t>
      </w:r>
      <w:r>
        <w:rPr>
          <w:b/>
          <w:bCs/>
        </w:rPr>
        <w:t xml:space="preserve">: </w:t>
      </w:r>
      <w:r>
        <w:t xml:space="preserve">La partícula que origina la coriomeningitis linfocítica es un arenavirus. </w:t>
      </w:r>
      <w:r>
        <w:rPr>
          <w:b/>
          <w:bCs/>
          <w:smallCaps/>
          <w:sz w:val="20"/>
          <w:szCs w:val="20"/>
        </w:rPr>
        <w:t>A</w:t>
      </w:r>
      <w:r>
        <w:rPr>
          <w:b/>
          <w:bCs/>
          <w:smallCaps/>
          <w:sz w:val="16"/>
          <w:szCs w:val="16"/>
        </w:rPr>
        <w:t>spectos</w:t>
      </w:r>
      <w:r>
        <w:rPr>
          <w:b/>
          <w:bCs/>
          <w:sz w:val="13"/>
          <w:szCs w:val="13"/>
        </w:rPr>
        <w:t xml:space="preserve"> EPIDEMIOLÓGICOS</w:t>
      </w:r>
      <w:r>
        <w:rPr>
          <w:b/>
          <w:bCs/>
        </w:rPr>
        <w:t xml:space="preserve">: </w:t>
      </w:r>
      <w:r>
        <w:t>La coriomeningitis linfocítica es una infección crónica que ataca a ratones caseros y cricetos que se crían como mascotas, que a menudo están infectados pero no tienen síntomas y que por la orina y otras excretas propagan a largo</w:t>
      </w:r>
    </w:p>
    <w:p w14:paraId="2F66A084" w14:textId="77777777" w:rsidR="00D03C17" w:rsidRDefault="00D03C17">
      <w:pPr>
        <w:pStyle w:val="BodyText"/>
        <w:ind w:firstLine="0"/>
      </w:pPr>
      <w:r>
        <w:rPr>
          <w:b/>
          <w:bCs/>
        </w:rPr>
        <w:t>M</w:t>
      </w:r>
      <w:r>
        <w:rPr>
          <w:b/>
          <w:bCs/>
          <w:sz w:val="13"/>
          <w:szCs w:val="13"/>
        </w:rPr>
        <w:t>ÉTODOS DIAGNÓSTICOS</w:t>
      </w:r>
      <w:r>
        <w:rPr>
          <w:b/>
          <w:bCs/>
        </w:rPr>
        <w:t xml:space="preserve">: </w:t>
      </w:r>
      <w:r>
        <w:t xml:space="preserve">Las microfilarias se detectan por métodos microscópicos en frotis de sangre obtenida por la noche (de 10 de la noche a 4 de la mañana). Los vermes adultos o las microfilarias pueden identificarse en muestras de tejidos obtenidas para biopsia. Se cuenta con inmunoanálisis enzimáticos serológicos, pero la interpretación de sus resultados es difícil por las reacciones cruzadas de los anticuerpos contra filarias y los que surgen contra otro helmintos. En el comercio se cuenta con material de laboratorio para detectar el antígeno circulante de </w:t>
      </w:r>
      <w:r>
        <w:rPr>
          <w:rFonts w:ascii="Times New Roman" w:eastAsia="Times New Roman" w:hAnsi="Times New Roman" w:cs="Times New Roman"/>
          <w:i/>
          <w:iCs/>
          <w:sz w:val="16"/>
          <w:szCs w:val="16"/>
        </w:rPr>
        <w:t>W. bancrofti</w:t>
      </w:r>
      <w:r>
        <w:rPr>
          <w:i/>
          <w:iCs/>
        </w:rPr>
        <w:t>,</w:t>
      </w:r>
      <w:r>
        <w:t xml:space="preserve"> pero en Estados Unidos no ha sido aprobado por la FDA. La filariasis linfática debe ser diagnosticada sobre bases clínicas porque no se dispone siempre de métodos serológicos fidedignos, y en pacientes con elefantiasis ya desaparecieron las microfilarias.</w:t>
      </w:r>
    </w:p>
    <w:p w14:paraId="0F28A16D" w14:textId="77777777" w:rsidR="00D03C17" w:rsidRDefault="00D03C17">
      <w:pPr>
        <w:pStyle w:val="BodyText"/>
        <w:ind w:firstLine="0"/>
      </w:pPr>
      <w:r>
        <w:rPr>
          <w:b/>
          <w:bCs/>
        </w:rPr>
        <w:t>T</w:t>
      </w:r>
      <w:r>
        <w:rPr>
          <w:b/>
          <w:bCs/>
          <w:sz w:val="13"/>
          <w:szCs w:val="13"/>
        </w:rPr>
        <w:t>RATAMIENTO</w:t>
      </w:r>
      <w:r>
        <w:rPr>
          <w:b/>
          <w:bCs/>
        </w:rPr>
        <w:t xml:space="preserve">: </w:t>
      </w:r>
      <w:r>
        <w:t xml:space="preserve">El citrato de dietilcarbamazina </w:t>
      </w:r>
      <w:r>
        <w:rPr>
          <w:i/>
          <w:iCs/>
        </w:rPr>
        <w:t>(</w:t>
      </w:r>
      <w:r>
        <w:rPr>
          <w:rFonts w:ascii="Times New Roman" w:eastAsia="Times New Roman" w:hAnsi="Times New Roman" w:cs="Times New Roman"/>
          <w:i/>
          <w:iCs/>
          <w:sz w:val="16"/>
          <w:szCs w:val="16"/>
        </w:rPr>
        <w:t>diethylcarbamazine citrate</w:t>
      </w:r>
      <w:r>
        <w:rPr>
          <w:i/>
          <w:iCs/>
        </w:rPr>
        <w:t>,</w:t>
      </w:r>
      <w:r>
        <w:t xml:space="preserve"> DEC) es el medicamento más adecuado contra la filariasis linfática (véase “Fármacos antiparasitarios”, sección 4). La quimioterapia no modifica la fase tardía de la enfermedad crónica. La ivermectina es eficaz contra la microfilaria de </w:t>
      </w:r>
      <w:r>
        <w:rPr>
          <w:rFonts w:ascii="Times New Roman" w:eastAsia="Times New Roman" w:hAnsi="Times New Roman" w:cs="Times New Roman"/>
          <w:i/>
          <w:iCs/>
          <w:sz w:val="16"/>
          <w:szCs w:val="16"/>
        </w:rPr>
        <w:t>W. bancrofti,</w:t>
      </w:r>
      <w:r>
        <w:t xml:space="preserve"> pero no tiene ningún efecto en el parásito adulto. Ha sido más eficaz la combinación de albendazol-DEC en dosis únicas o de ivermectina-albendazol que uno de los fármacos solos, para suprimir la microfilaremia.</w:t>
      </w:r>
    </w:p>
    <w:p w14:paraId="24C5924A" w14:textId="77777777" w:rsidR="00D03C17" w:rsidRDefault="00D03C17">
      <w:pPr>
        <w:pStyle w:val="BodyText"/>
        <w:ind w:firstLine="360"/>
      </w:pPr>
      <w:r>
        <w:t>La fisioterapia descongestiva compleja puede ser eficaz para tratar la elefantiasis. La quiluria proveniente de la vejiga mejora con la fulguración, en tanto que la que nace del riñón no puede ser corregida. Aspectos importantes del tratamiento son la identificación y el tratamiento rápidos de las infecciones sobreañadidas, en particular las infecciones por estreptococos y estafilococos, así como el tratamiento cuidadoso de infecciones intertriginosas y ungueales.</w:t>
      </w:r>
    </w:p>
    <w:p w14:paraId="4A89E37E" w14:textId="77777777" w:rsidR="00D03C17" w:rsidRDefault="00D03C17">
      <w:pPr>
        <w:pStyle w:val="BodyText"/>
        <w:spacing w:line="262" w:lineRule="auto"/>
        <w:ind w:firstLine="0"/>
      </w:pPr>
      <w:r>
        <w:rPr>
          <w:b/>
          <w:bCs/>
          <w:smallCaps/>
          <w:sz w:val="20"/>
          <w:szCs w:val="20"/>
        </w:rPr>
        <w:t>A</w:t>
      </w:r>
      <w:r>
        <w:rPr>
          <w:b/>
          <w:bCs/>
          <w:smallCaps/>
          <w:sz w:val="16"/>
          <w:szCs w:val="16"/>
        </w:rPr>
        <w:t>islamiento del paciente hospitalizado</w:t>
      </w:r>
      <w:r>
        <w:rPr>
          <w:b/>
          <w:bCs/>
          <w:smallCaps/>
          <w:sz w:val="20"/>
          <w:szCs w:val="20"/>
        </w:rPr>
        <w:t>:</w:t>
      </w:r>
      <w:r>
        <w:t xml:space="preserve"> Se recomienda seguir las precauciones estándar.</w:t>
      </w:r>
    </w:p>
    <w:p w14:paraId="26E944F9" w14:textId="77777777" w:rsidR="00D03C17" w:rsidRDefault="00D03C17">
      <w:pPr>
        <w:pStyle w:val="BodyText"/>
        <w:spacing w:after="100"/>
        <w:ind w:firstLine="0"/>
      </w:pPr>
      <w:r>
        <w:rPr>
          <w:b/>
          <w:bCs/>
        </w:rPr>
        <w:t>M</w:t>
      </w:r>
      <w:r>
        <w:rPr>
          <w:b/>
          <w:bCs/>
          <w:sz w:val="13"/>
          <w:szCs w:val="13"/>
        </w:rPr>
        <w:t>EDIDAS PREVENTIVAS</w:t>
      </w:r>
      <w:r>
        <w:rPr>
          <w:b/>
          <w:bCs/>
        </w:rPr>
        <w:t xml:space="preserve">: </w:t>
      </w:r>
      <w:r>
        <w:t>Las medidas que han sido instituidas se basan en DEC de una sola dosis, a nivel comunitario y anual (o combinaciones de DEC e ivermectina o albendazol e ivermectina) para disminuir el peligro de transmisión en zonas de alto riesgo.</w:t>
      </w:r>
    </w:p>
    <w:p w14:paraId="5E07C305" w14:textId="77777777" w:rsidR="00D03C17" w:rsidRDefault="00D03C17">
      <w:pPr>
        <w:pStyle w:val="Bodytext70"/>
        <w:spacing w:after="0"/>
      </w:pPr>
      <w:r>
        <w:t>Linfocítica, coriomeningitis</w:t>
      </w:r>
    </w:p>
    <w:p w14:paraId="6AD18A5B" w14:textId="77777777" w:rsidR="00D03C17" w:rsidRDefault="00D03C17">
      <w:pPr>
        <w:pStyle w:val="BodyText"/>
        <w:ind w:firstLine="0"/>
      </w:pPr>
      <w:r>
        <w:rPr>
          <w:b/>
          <w:bCs/>
        </w:rPr>
        <w:t>M</w:t>
      </w:r>
      <w:r>
        <w:rPr>
          <w:b/>
          <w:bCs/>
          <w:sz w:val="13"/>
          <w:szCs w:val="13"/>
        </w:rPr>
        <w:t>ANIFESTACIONES CLÍNICAS</w:t>
      </w:r>
      <w:r>
        <w:rPr>
          <w:b/>
          <w:bCs/>
        </w:rPr>
        <w:t xml:space="preserve">: </w:t>
      </w:r>
      <w:r>
        <w:t xml:space="preserve">La infección posnatal es asintomática en cerca de 33% de los casos. El cuadro sintomático puede incluir un estado leve o grave similar a influenza que incluya fiebre, malestar general, mialgias, dolor retroorbitario, fotofobia, anorexia y náuseas. La fiebre suele durar una a tres semanas y pocas veces hay erupciones. Es frecuente que la fiebre siga un curso bifásico. Incluso la mitad de los sujetos sintomáticos terminarán por mostrar manifestaciones neurológicas que varían desde la meningitis aséptica hasta la encefalitis grave. A veces surgen artralgias o artritis, síntomas de vías respiratorias, orquitis y leucopenia. La culminación común es la recuperación sin secuelas. La infección en el embarazo se ha vinculado con aborto espontáneo. La infección congénita puede causar hidrocefalia, coriorretinitis, calcificaciones intracraneales, microcefalia y retardo psíquico. A veces es difícil diferenciar la coriomeningitis linfocítica congénita de la infección congénita atribuible a virus citomegálico </w:t>
      </w:r>
      <w:r>
        <w:rPr>
          <w:i/>
          <w:iCs/>
        </w:rPr>
        <w:t>(</w:t>
      </w:r>
      <w:r>
        <w:rPr>
          <w:rFonts w:ascii="Times New Roman" w:eastAsia="Times New Roman" w:hAnsi="Times New Roman" w:cs="Times New Roman"/>
          <w:i/>
          <w:iCs/>
          <w:sz w:val="16"/>
          <w:szCs w:val="16"/>
        </w:rPr>
        <w:t>cytomegalovirus</w:t>
      </w:r>
      <w:r>
        <w:rPr>
          <w:i/>
          <w:iCs/>
        </w:rPr>
        <w:t>,</w:t>
      </w:r>
      <w:r>
        <w:t xml:space="preserve"> CMV), toxoplasmosis o rubéola.</w:t>
      </w:r>
    </w:p>
    <w:p w14:paraId="03B5A259" w14:textId="77777777" w:rsidR="00D03C17" w:rsidRDefault="00D03C17">
      <w:pPr>
        <w:pStyle w:val="BodyText"/>
        <w:spacing w:line="266" w:lineRule="auto"/>
        <w:ind w:firstLine="0"/>
        <w:sectPr w:rsidR="00D03C17" w:rsidSect="00D03C17">
          <w:headerReference w:type="even" r:id="rId21"/>
          <w:headerReference w:type="default" r:id="rId22"/>
          <w:footerReference w:type="even" r:id="rId23"/>
          <w:footerReference w:type="default" r:id="rId24"/>
          <w:footnotePr>
            <w:numFmt w:val="chicago"/>
          </w:footnotePr>
          <w:type w:val="continuous"/>
          <w:pgSz w:w="8501" w:h="13022"/>
          <w:pgMar w:top="710" w:right="796" w:bottom="428" w:left="783" w:header="0" w:footer="0" w:gutter="0"/>
          <w:cols w:space="720"/>
          <w:noEndnote/>
          <w:docGrid w:linePitch="360"/>
          <w15:footnoteColumns w:val="1"/>
        </w:sectPr>
      </w:pPr>
      <w:r>
        <w:rPr>
          <w:b/>
          <w:bCs/>
        </w:rPr>
        <w:t>C</w:t>
      </w:r>
      <w:r>
        <w:rPr>
          <w:b/>
          <w:bCs/>
          <w:sz w:val="13"/>
          <w:szCs w:val="13"/>
        </w:rPr>
        <w:t>AUSA</w:t>
      </w:r>
      <w:r>
        <w:rPr>
          <w:b/>
          <w:bCs/>
        </w:rPr>
        <w:t xml:space="preserve">: </w:t>
      </w:r>
      <w:r>
        <w:t xml:space="preserve">La partícula que origina la coriomeningitis linfocítica es un arenavirus. </w:t>
      </w:r>
      <w:r>
        <w:rPr>
          <w:b/>
          <w:bCs/>
          <w:smallCaps/>
          <w:sz w:val="20"/>
          <w:szCs w:val="20"/>
        </w:rPr>
        <w:t>A</w:t>
      </w:r>
      <w:r>
        <w:rPr>
          <w:b/>
          <w:bCs/>
          <w:smallCaps/>
          <w:sz w:val="16"/>
          <w:szCs w:val="16"/>
        </w:rPr>
        <w:t>spectos</w:t>
      </w:r>
      <w:r>
        <w:rPr>
          <w:b/>
          <w:bCs/>
          <w:sz w:val="13"/>
          <w:szCs w:val="13"/>
        </w:rPr>
        <w:t xml:space="preserve"> EPIDEMIOLÓGICOS</w:t>
      </w:r>
      <w:r>
        <w:rPr>
          <w:b/>
          <w:bCs/>
        </w:rPr>
        <w:t xml:space="preserve">: </w:t>
      </w:r>
      <w:r>
        <w:t xml:space="preserve">La coriomeningitis linfocítica es una infección crónica que ataca a ratones caseros y cricetos que se crían como mascotas, que a menudo están infectados pero no tienen síntomas y que por la orina y otras excretas propagan a largo </w:t>
      </w:r>
    </w:p>
    <w:p w14:paraId="6A21E95A" w14:textId="77777777" w:rsidR="00D03C17" w:rsidRDefault="00D03C17">
      <w:pPr>
        <w:pStyle w:val="BodyText"/>
        <w:spacing w:line="266" w:lineRule="auto"/>
        <w:ind w:firstLine="0"/>
      </w:pPr>
      <w:r>
        <w:t>plazo el virus. Además, pueden mostrar infección crónica los ratones de laboratorio y los cricetos dorados “colonizados” y ser el punto de partida de la infección de seres humanos. Los seres humanos son infectados por recibir en aerosol o por ingerir polvo o alimento contaminado con el virus de orina, excrementos, sangre o secreciones nasofaríngeas de los roedores infectados. La enfermedad ataca con mayor frecuencia a adultos jóvenes. No se han señalado casos de contagio directo, es decir de una persona a otra, salvo el caso transplacentario del virus.</w:t>
      </w:r>
    </w:p>
    <w:p w14:paraId="3202044D" w14:textId="77777777" w:rsidR="00D03C17" w:rsidRDefault="00D03C17">
      <w:pPr>
        <w:pStyle w:val="BodyText"/>
        <w:ind w:firstLine="360"/>
      </w:pPr>
      <w:r>
        <w:t xml:space="preserve">El </w:t>
      </w:r>
      <w:r>
        <w:rPr>
          <w:b/>
          <w:bCs/>
        </w:rPr>
        <w:t xml:space="preserve">periodo de incubación </w:t>
      </w:r>
      <w:r>
        <w:t xml:space="preserve">suele ser de seis a 13 días y a veces llega a tres semanas. </w:t>
      </w:r>
      <w:r>
        <w:rPr>
          <w:b/>
          <w:bCs/>
        </w:rPr>
        <w:t>M</w:t>
      </w:r>
      <w:r>
        <w:rPr>
          <w:b/>
          <w:bCs/>
          <w:sz w:val="13"/>
          <w:szCs w:val="13"/>
        </w:rPr>
        <w:t>ÉTODOS DIAGNÓSTICOS</w:t>
      </w:r>
      <w:r>
        <w:rPr>
          <w:b/>
          <w:bCs/>
        </w:rPr>
        <w:t xml:space="preserve">: </w:t>
      </w:r>
      <w:r>
        <w:t xml:space="preserve">En niños con ataque del sistema nervioso central, la pleocitosis a base de mononucleares casi siempre rebasa los miles de células en el líquido cefalorraquídeo (LCR). También se observa hipoglucorraquia. El virus de la coriomeningitis linfocítica se aísla de sangre, LCR, orina y en raras ocasiones, secreciones nasofaríngeas. Habrá que estudiar las muestras de suero de fase aguda y de convalecencia en busca de incrementos en los títulos de anticuerpos por métodos de inmunofluorescencia o inmunoanálisis enzimático para demostrar la presencia de anticuerpos del tipo de la inmunoglobulina M específicos contra el virus o muestras de suero y de LCR que constituye una estrategia útil. La infección de los ratones atrapados en el interior o la cercanía de casas se identifica a veces al demostrar anticuerpos séricos o el antígeno vírico en frotis de hígado, por impresión. </w:t>
      </w:r>
      <w:r>
        <w:rPr>
          <w:b/>
          <w:bCs/>
          <w:smallCaps/>
          <w:sz w:val="20"/>
          <w:szCs w:val="20"/>
        </w:rPr>
        <w:t>T</w:t>
      </w:r>
      <w:r>
        <w:rPr>
          <w:b/>
          <w:bCs/>
          <w:smallCaps/>
          <w:sz w:val="16"/>
          <w:szCs w:val="16"/>
        </w:rPr>
        <w:t>ratamiento</w:t>
      </w:r>
      <w:r>
        <w:rPr>
          <w:b/>
          <w:bCs/>
          <w:smallCaps/>
          <w:sz w:val="20"/>
          <w:szCs w:val="20"/>
        </w:rPr>
        <w:t>:</w:t>
      </w:r>
      <w:r>
        <w:t xml:space="preserve"> De sostén.</w:t>
      </w:r>
    </w:p>
    <w:p w14:paraId="126BD950" w14:textId="77777777" w:rsidR="00D03C17" w:rsidRDefault="00D03C17">
      <w:pPr>
        <w:pStyle w:val="BodyText"/>
        <w:ind w:firstLine="0"/>
      </w:pPr>
      <w:r>
        <w:rPr>
          <w:b/>
          <w:bCs/>
        </w:rPr>
        <w:t>A</w:t>
      </w:r>
      <w:r>
        <w:rPr>
          <w:b/>
          <w:bCs/>
          <w:sz w:val="13"/>
          <w:szCs w:val="13"/>
        </w:rPr>
        <w:t>ISLAMIENTO DEL PACIENTE HOSPITALIZADO</w:t>
      </w:r>
      <w:r>
        <w:rPr>
          <w:b/>
          <w:bCs/>
        </w:rPr>
        <w:t xml:space="preserve">: </w:t>
      </w:r>
      <w:r>
        <w:t>Se recomienda cumplir las precauciones estándar.</w:t>
      </w:r>
    </w:p>
    <w:p w14:paraId="4E7C95A6" w14:textId="77777777" w:rsidR="00D03C17" w:rsidRDefault="00D03C17">
      <w:pPr>
        <w:pStyle w:val="BodyText"/>
        <w:spacing w:after="120"/>
        <w:ind w:firstLine="0"/>
      </w:pPr>
      <w:r>
        <w:rPr>
          <w:b/>
          <w:bCs/>
        </w:rPr>
        <w:t>M</w:t>
      </w:r>
      <w:r>
        <w:rPr>
          <w:b/>
          <w:bCs/>
          <w:sz w:val="13"/>
          <w:szCs w:val="13"/>
        </w:rPr>
        <w:t>EDIDAS PREVENTIVAS</w:t>
      </w:r>
      <w:r>
        <w:rPr>
          <w:b/>
          <w:bCs/>
        </w:rPr>
        <w:t xml:space="preserve">: </w:t>
      </w:r>
      <w:r>
        <w:t>La infección puede desterrarse si se evita la infectación por roedores en áreas de albergue de animales y almacenamiento de alimentos. Los roedores hospedadores excretan por largo tiempo el virus, y por ello se harán intentos de vigilar en busca de infección a las colonias de ratones y cricetos de laboratorio y de criaderos que los venden como mascotas,. Hay que considerar como punto de partida posible de la infección a los roedores que sirven de mascotas o a los ratones salvajes cerca del hogar del paciente. Es importante que las embarazadas no se expongan a los roedores ni a sus excretas en aerosol.</w:t>
      </w:r>
    </w:p>
    <w:p w14:paraId="1C85D501" w14:textId="77777777" w:rsidR="00D03C17" w:rsidRDefault="00D03C17">
      <w:pPr>
        <w:pStyle w:val="Bodytext70"/>
        <w:spacing w:after="0" w:line="214" w:lineRule="auto"/>
      </w:pPr>
      <w:r>
        <w:rPr>
          <w:shd w:val="clear" w:color="auto" w:fill="FFFFFF"/>
        </w:rPr>
        <w:t>Linforreticulosis (enfermedad por arañazo de gato)</w:t>
      </w:r>
    </w:p>
    <w:p w14:paraId="554936B8" w14:textId="77777777" w:rsidR="00D03C17" w:rsidRDefault="00D03C17">
      <w:pPr>
        <w:pStyle w:val="Bodytext80"/>
        <w:spacing w:line="214" w:lineRule="auto"/>
        <w:rPr>
          <w:sz w:val="15"/>
          <w:szCs w:val="15"/>
        </w:rPr>
      </w:pPr>
      <w:r>
        <w:rPr>
          <w:b/>
          <w:bCs/>
          <w:i/>
          <w:iCs/>
          <w:sz w:val="15"/>
          <w:szCs w:val="15"/>
        </w:rPr>
        <w:t>(Bartonella henselae)</w:t>
      </w:r>
    </w:p>
    <w:p w14:paraId="74C502E3" w14:textId="77777777" w:rsidR="00D03C17" w:rsidRDefault="00D03C17">
      <w:pPr>
        <w:pStyle w:val="BodyText"/>
        <w:spacing w:after="60"/>
        <w:ind w:firstLine="0"/>
        <w:sectPr w:rsidR="00D03C17" w:rsidSect="00D03C17">
          <w:headerReference w:type="even" r:id="rId25"/>
          <w:headerReference w:type="default" r:id="rId26"/>
          <w:footerReference w:type="even" r:id="rId27"/>
          <w:footerReference w:type="default" r:id="rId28"/>
          <w:footnotePr>
            <w:numFmt w:val="chicago"/>
          </w:footnotePr>
          <w:type w:val="continuous"/>
          <w:pgSz w:w="8501" w:h="13022"/>
          <w:pgMar w:top="710" w:right="796" w:bottom="428" w:left="783" w:header="0" w:footer="0" w:gutter="0"/>
          <w:cols w:space="720"/>
          <w:noEndnote/>
          <w:docGrid w:linePitch="360"/>
          <w15:footnoteColumns w:val="1"/>
        </w:sectPr>
      </w:pPr>
      <w:r>
        <w:rPr>
          <w:b/>
          <w:bCs/>
        </w:rPr>
        <w:t>M</w:t>
      </w:r>
      <w:r>
        <w:rPr>
          <w:b/>
          <w:bCs/>
          <w:sz w:val="13"/>
          <w:szCs w:val="13"/>
        </w:rPr>
        <w:t>ANIFESTACIONES CLÍNICAS</w:t>
      </w:r>
      <w:r>
        <w:rPr>
          <w:b/>
          <w:bCs/>
        </w:rPr>
        <w:t xml:space="preserve">: </w:t>
      </w:r>
      <w:r>
        <w:t xml:space="preserve">La manifestación predominante de la linforreticulosis benigna </w:t>
      </w:r>
      <w:r>
        <w:rPr>
          <w:i/>
          <w:iCs/>
        </w:rPr>
        <w:t>(</w:t>
      </w:r>
      <w:r>
        <w:rPr>
          <w:rFonts w:ascii="Times New Roman" w:eastAsia="Times New Roman" w:hAnsi="Times New Roman" w:cs="Times New Roman"/>
          <w:i/>
          <w:iCs/>
          <w:sz w:val="16"/>
          <w:szCs w:val="16"/>
        </w:rPr>
        <w:t>cat-scratch disease</w:t>
      </w:r>
      <w:r>
        <w:rPr>
          <w:i/>
          <w:iCs/>
        </w:rPr>
        <w:t>,</w:t>
      </w:r>
      <w:r>
        <w:t xml:space="preserve"> CSD) de una persona inmunocompetente es la linfadenopatía regional. En cerca de 30% de los enfermos se observan fiebre y síntomas sistémicos leves. En el sitio supuesto de inoculación bacteriana con frecuencia hay una pápula cutánea una a dos semanas antes de que surja la linfadenopatía. Esta última incluye ganglios que reciben drenaje del sitio de la inoculación, típicamente ganglios axilares, pero también puede haber ataque de ganglios cervicales, epitrocleares e inguinales. En forma típica la piel que está sobre los ganglios afectados es dolorosa al tacto, caliente, eritematosa e indurada. En 25 a 30% de personas con CSD los ganglios afectados muestran supuración espontánea. En ocasiones, la infección puede originar el síndrome oculoganglionar de Parinaud, en el cual la inoculación de la conjuntiva origina una adenopatía ipsolateral preauricular o submandibular. Entre las manifestaciones menos frecuentes de CSD están encefalitis, meningitis aséptica, fiebre de origen desconocido, neurorretinitis, lesiones osteolíticas, hepatitis, granulomas de hígado y bazo, neumonía, púrpura trombocitopénica y eritema nudoso.</w:t>
      </w:r>
    </w:p>
    <w:p w14:paraId="450CBAB2" w14:textId="77777777" w:rsidR="00D03C17" w:rsidRDefault="00D03C17">
      <w:pPr>
        <w:pStyle w:val="Bodytext70"/>
        <w:spacing w:after="0"/>
      </w:pPr>
      <w:r>
        <w:t>Paludismo</w:t>
      </w:r>
    </w:p>
    <w:p w14:paraId="14631ECD" w14:textId="77777777" w:rsidR="00D03C17" w:rsidRDefault="00D03C17">
      <w:pPr>
        <w:pStyle w:val="BodyText"/>
        <w:ind w:firstLine="0"/>
      </w:pPr>
      <w:r>
        <w:rPr>
          <w:b/>
          <w:bCs/>
        </w:rPr>
        <w:t>M</w:t>
      </w:r>
      <w:r>
        <w:rPr>
          <w:b/>
          <w:bCs/>
          <w:sz w:val="13"/>
          <w:szCs w:val="13"/>
        </w:rPr>
        <w:t>ANIFESTACIONES CLÍNICAS</w:t>
      </w:r>
      <w:r>
        <w:rPr>
          <w:b/>
          <w:bCs/>
        </w:rPr>
        <w:t xml:space="preserve">: </w:t>
      </w:r>
      <w:r>
        <w:t>Los síntomas clásicos del paludismo son fiebre alta, escalofríos, espasmos musculares, sudores y cefalea que pueden surgir en paroxismos. Si no se emprende el tratamiento apropiado, la fiebre y los paroxismos pueden surgir en un perfil cíclico. Con base en la especie del plasmodio infectante la fiebre surge cada 48 o 72 horas. Otras manifestaciones incluyen náuseas, vómitos, diarrea, tos, artralgias y dolor abdominal y dorsal. La anemia y la trombocitopenia son frecuentes y a veces hay palidez e ictericia causada por hemólisis. Puede haber hepatosplenomegalia.</w:t>
      </w:r>
    </w:p>
    <w:p w14:paraId="39A153AC" w14:textId="77777777" w:rsidR="00D03C17" w:rsidRDefault="00D03C17">
      <w:pPr>
        <w:pStyle w:val="BodyText"/>
        <w:ind w:firstLine="360"/>
      </w:pPr>
      <w:r>
        <w:t xml:space="preserve">La infección por </w:t>
      </w:r>
      <w:r>
        <w:rPr>
          <w:rFonts w:ascii="Times New Roman" w:eastAsia="Times New Roman" w:hAnsi="Times New Roman" w:cs="Times New Roman"/>
          <w:i/>
          <w:iCs/>
          <w:sz w:val="16"/>
          <w:szCs w:val="16"/>
        </w:rPr>
        <w:t>Plasmodium falciparum</w:t>
      </w:r>
      <w:r>
        <w:t xml:space="preserve"> puede ser letal y muy a menudo origina una enfermedad febril, inespecífica, similar a influenza sin signos de localización. Sin embargo, en el caso de enfermedad más grave, la infección por dicho plasmodio puede manifestarse por alguno de los síndromes clínicos que se indican a continuación: • </w:t>
      </w:r>
      <w:r>
        <w:rPr>
          <w:rFonts w:ascii="Times New Roman" w:eastAsia="Times New Roman" w:hAnsi="Times New Roman" w:cs="Times New Roman"/>
          <w:i/>
          <w:iCs/>
          <w:sz w:val="16"/>
          <w:szCs w:val="16"/>
        </w:rPr>
        <w:t>Paludismo encefálico</w:t>
      </w:r>
      <w:r>
        <w:t xml:space="preserve"> que puede incluir manifestaciones neurológicas variables como convulsiones, hipertensión intracraneal, confusión y evolución al estupor, coma y</w:t>
      </w:r>
    </w:p>
    <w:p w14:paraId="7D13C5F9" w14:textId="77777777" w:rsidR="00D03C17" w:rsidRDefault="00D03C17">
      <w:pPr>
        <w:pStyle w:val="BodyText"/>
        <w:spacing w:after="60"/>
        <w:ind w:firstLine="360"/>
      </w:pPr>
      <w:r>
        <w:t>muerte.</w:t>
      </w:r>
    </w:p>
    <w:p w14:paraId="7A9ECF26" w14:textId="77777777" w:rsidR="00D03C17" w:rsidRDefault="00D03C17">
      <w:pPr>
        <w:pStyle w:val="BodyText"/>
        <w:numPr>
          <w:ilvl w:val="0"/>
          <w:numId w:val="80"/>
        </w:numPr>
        <w:tabs>
          <w:tab w:val="left" w:pos="335"/>
        </w:tabs>
        <w:ind w:left="360" w:hanging="360"/>
      </w:pPr>
      <w:bookmarkStart w:id="4" w:name="bookmark1030"/>
      <w:bookmarkEnd w:id="4"/>
      <w:r>
        <w:rPr>
          <w:rFonts w:ascii="Times New Roman" w:eastAsia="Times New Roman" w:hAnsi="Times New Roman" w:cs="Times New Roman"/>
          <w:i/>
          <w:iCs/>
          <w:sz w:val="16"/>
          <w:szCs w:val="16"/>
        </w:rPr>
        <w:t>Hipoglucemia</w:t>
      </w:r>
      <w:r>
        <w:t xml:space="preserve"> que a veces acompaña a la administración de quinina y que obliga a corrección urgente.</w:t>
      </w:r>
    </w:p>
    <w:p w14:paraId="397DE203" w14:textId="77777777" w:rsidR="00D03C17" w:rsidRDefault="00D03C17">
      <w:pPr>
        <w:pStyle w:val="BodyText"/>
        <w:numPr>
          <w:ilvl w:val="0"/>
          <w:numId w:val="80"/>
        </w:numPr>
        <w:tabs>
          <w:tab w:val="left" w:pos="335"/>
        </w:tabs>
        <w:ind w:left="360" w:hanging="360"/>
      </w:pPr>
      <w:bookmarkStart w:id="5" w:name="bookmark1031"/>
      <w:bookmarkEnd w:id="5"/>
      <w:r>
        <w:rPr>
          <w:rFonts w:ascii="Times New Roman" w:eastAsia="Times New Roman" w:hAnsi="Times New Roman" w:cs="Times New Roman"/>
          <w:i/>
          <w:iCs/>
          <w:sz w:val="16"/>
          <w:szCs w:val="16"/>
        </w:rPr>
        <w:t>Edema pulmonar no cardiógeno</w:t>
      </w:r>
      <w:r>
        <w:rPr>
          <w:i/>
          <w:iCs/>
        </w:rPr>
        <w:t>,</w:t>
      </w:r>
      <w:r>
        <w:t xml:space="preserve"> difícil de tratar y que puede ser letal (raro en los niños).</w:t>
      </w:r>
    </w:p>
    <w:p w14:paraId="2D5454A6" w14:textId="77777777" w:rsidR="00D03C17" w:rsidRDefault="00D03C17">
      <w:pPr>
        <w:pStyle w:val="BodyText"/>
        <w:numPr>
          <w:ilvl w:val="0"/>
          <w:numId w:val="80"/>
        </w:numPr>
        <w:tabs>
          <w:tab w:val="left" w:pos="335"/>
        </w:tabs>
        <w:ind w:left="360" w:hanging="360"/>
      </w:pPr>
      <w:bookmarkStart w:id="6" w:name="bookmark1032"/>
      <w:bookmarkEnd w:id="6"/>
      <w:r>
        <w:rPr>
          <w:rFonts w:ascii="Times New Roman" w:eastAsia="Times New Roman" w:hAnsi="Times New Roman" w:cs="Times New Roman"/>
          <w:i/>
          <w:iCs/>
          <w:sz w:val="16"/>
          <w:szCs w:val="16"/>
        </w:rPr>
        <w:t>Insuficiencia renal</w:t>
      </w:r>
      <w:r>
        <w:t xml:space="preserve"> causada por necrosis tubular aguda (rara en niños menores de ocho años).</w:t>
      </w:r>
    </w:p>
    <w:p w14:paraId="174029B1" w14:textId="77777777" w:rsidR="00D03C17" w:rsidRDefault="00D03C17">
      <w:pPr>
        <w:pStyle w:val="Bodytext20"/>
        <w:numPr>
          <w:ilvl w:val="0"/>
          <w:numId w:val="80"/>
        </w:numPr>
        <w:tabs>
          <w:tab w:val="left" w:pos="335"/>
        </w:tabs>
        <w:spacing w:line="269" w:lineRule="auto"/>
        <w:rPr>
          <w:sz w:val="19"/>
          <w:szCs w:val="19"/>
        </w:rPr>
      </w:pPr>
      <w:bookmarkStart w:id="7" w:name="bookmark1033"/>
      <w:bookmarkEnd w:id="7"/>
      <w:r>
        <w:rPr>
          <w:i/>
          <w:iCs/>
        </w:rPr>
        <w:t>Insuficiencia respiratoria y acidosis metabólica</w:t>
      </w:r>
      <w:r>
        <w:rPr>
          <w:rFonts w:ascii="Garamond" w:eastAsia="Garamond" w:hAnsi="Garamond" w:cs="Garamond"/>
          <w:sz w:val="19"/>
          <w:szCs w:val="19"/>
        </w:rPr>
        <w:t xml:space="preserve"> sin edema pulmonar.</w:t>
      </w:r>
    </w:p>
    <w:p w14:paraId="138C266C" w14:textId="77777777" w:rsidR="00D03C17" w:rsidRDefault="00D03C17">
      <w:pPr>
        <w:pStyle w:val="BodyText"/>
        <w:numPr>
          <w:ilvl w:val="0"/>
          <w:numId w:val="80"/>
        </w:numPr>
        <w:tabs>
          <w:tab w:val="left" w:pos="335"/>
        </w:tabs>
        <w:ind w:firstLine="0"/>
      </w:pPr>
      <w:bookmarkStart w:id="8" w:name="bookmark1034"/>
      <w:bookmarkEnd w:id="8"/>
      <w:r>
        <w:rPr>
          <w:rFonts w:ascii="Times New Roman" w:eastAsia="Times New Roman" w:hAnsi="Times New Roman" w:cs="Times New Roman"/>
          <w:i/>
          <w:iCs/>
          <w:sz w:val="16"/>
          <w:szCs w:val="16"/>
        </w:rPr>
        <w:t>Anemia profunda</w:t>
      </w:r>
      <w:r>
        <w:t xml:space="preserve"> atribuible a la intensa parasitemia y a la hemólisis que origina.</w:t>
      </w:r>
    </w:p>
    <w:p w14:paraId="02AABCC7" w14:textId="77777777" w:rsidR="00D03C17" w:rsidRDefault="00D03C17">
      <w:pPr>
        <w:pStyle w:val="BodyText"/>
        <w:numPr>
          <w:ilvl w:val="0"/>
          <w:numId w:val="80"/>
        </w:numPr>
        <w:tabs>
          <w:tab w:val="left" w:pos="335"/>
        </w:tabs>
        <w:ind w:left="360" w:hanging="360"/>
      </w:pPr>
      <w:bookmarkStart w:id="9" w:name="bookmark1035"/>
      <w:bookmarkEnd w:id="9"/>
      <w:r>
        <w:rPr>
          <w:rFonts w:ascii="Times New Roman" w:eastAsia="Times New Roman" w:hAnsi="Times New Roman" w:cs="Times New Roman"/>
          <w:i/>
          <w:iCs/>
          <w:sz w:val="16"/>
          <w:szCs w:val="16"/>
        </w:rPr>
        <w:t>Colapso vascular y choque</w:t>
      </w:r>
      <w:r>
        <w:t xml:space="preserve"> que se acompañan de hipotermia e insuficiencia suprarrenal.</w:t>
      </w:r>
    </w:p>
    <w:p w14:paraId="6B18D2F7" w14:textId="77777777" w:rsidR="00D03C17" w:rsidRDefault="00D03C17">
      <w:pPr>
        <w:pStyle w:val="BodyText"/>
        <w:ind w:firstLine="360"/>
        <w:jc w:val="both"/>
      </w:pPr>
      <w:r>
        <w:t>Las personas con asplenia que se infectan de plasmodios están expuestas a un gran peligro de muerte.</w:t>
      </w:r>
    </w:p>
    <w:p w14:paraId="3262422C" w14:textId="77777777" w:rsidR="00D03C17" w:rsidRDefault="00D03C17">
      <w:pPr>
        <w:pStyle w:val="BodyText"/>
        <w:spacing w:line="290" w:lineRule="auto"/>
        <w:ind w:firstLine="360"/>
        <w:jc w:val="both"/>
      </w:pPr>
      <w:r>
        <w:t xml:space="preserve">Los síndromes que surgen predominantemente por la infección con </w:t>
      </w:r>
      <w:r>
        <w:rPr>
          <w:rFonts w:ascii="Times New Roman" w:eastAsia="Times New Roman" w:hAnsi="Times New Roman" w:cs="Times New Roman"/>
          <w:i/>
          <w:iCs/>
          <w:sz w:val="16"/>
          <w:szCs w:val="16"/>
        </w:rPr>
        <w:t>Plasmodium vivax</w:t>
      </w:r>
      <w:r>
        <w:t xml:space="preserve"> y </w:t>
      </w:r>
      <w:r>
        <w:rPr>
          <w:rFonts w:ascii="Times New Roman" w:eastAsia="Times New Roman" w:hAnsi="Times New Roman" w:cs="Times New Roman"/>
          <w:i/>
          <w:iCs/>
          <w:sz w:val="16"/>
          <w:szCs w:val="16"/>
        </w:rPr>
        <w:t>Plasmodium ovale</w:t>
      </w:r>
      <w:r>
        <w:t xml:space="preserve"> son:</w:t>
      </w:r>
    </w:p>
    <w:p w14:paraId="7E9166E0" w14:textId="77777777" w:rsidR="00D03C17" w:rsidRDefault="00D03C17">
      <w:pPr>
        <w:pStyle w:val="BodyText"/>
        <w:numPr>
          <w:ilvl w:val="0"/>
          <w:numId w:val="80"/>
        </w:numPr>
        <w:tabs>
          <w:tab w:val="left" w:pos="335"/>
        </w:tabs>
        <w:ind w:firstLine="0"/>
        <w:jc w:val="both"/>
      </w:pPr>
      <w:bookmarkStart w:id="10" w:name="bookmark1036"/>
      <w:bookmarkEnd w:id="10"/>
      <w:r>
        <w:t>Anemia atribuible a la parasitemia aguda.</w:t>
      </w:r>
    </w:p>
    <w:p w14:paraId="2B2497DC" w14:textId="77777777" w:rsidR="00D03C17" w:rsidRDefault="00D03C17">
      <w:pPr>
        <w:pStyle w:val="BodyText"/>
        <w:numPr>
          <w:ilvl w:val="0"/>
          <w:numId w:val="80"/>
        </w:numPr>
        <w:tabs>
          <w:tab w:val="left" w:pos="335"/>
        </w:tabs>
        <w:ind w:firstLine="0"/>
        <w:jc w:val="both"/>
      </w:pPr>
      <w:bookmarkStart w:id="11" w:name="bookmark1037"/>
      <w:bookmarkEnd w:id="11"/>
      <w:r>
        <w:t>Hiperesplenismo con peligro de que tardíamente se rompa el bazo.</w:t>
      </w:r>
    </w:p>
    <w:p w14:paraId="35E2AFC2" w14:textId="77777777" w:rsidR="00D03C17" w:rsidRDefault="00D03C17">
      <w:pPr>
        <w:pStyle w:val="BodyText"/>
        <w:numPr>
          <w:ilvl w:val="0"/>
          <w:numId w:val="80"/>
        </w:numPr>
        <w:tabs>
          <w:tab w:val="left" w:pos="335"/>
        </w:tabs>
        <w:ind w:left="360" w:hanging="360"/>
      </w:pPr>
      <w:bookmarkStart w:id="12" w:name="bookmark1038"/>
      <w:bookmarkEnd w:id="12"/>
      <w:r>
        <w:t>Recidiva incluso tres a cinco años después de la infección primaria, atribuible a la permanencia del plasmodio en forma latente en el hígado.</w:t>
      </w:r>
    </w:p>
    <w:p w14:paraId="547D8156" w14:textId="77777777" w:rsidR="00D03C17" w:rsidRDefault="00D03C17">
      <w:pPr>
        <w:pStyle w:val="BodyText"/>
        <w:ind w:firstLine="360"/>
        <w:jc w:val="both"/>
      </w:pPr>
      <w:r>
        <w:t xml:space="preserve">Los síndromes causados por infección por </w:t>
      </w:r>
      <w:r>
        <w:rPr>
          <w:rFonts w:ascii="Times New Roman" w:eastAsia="Times New Roman" w:hAnsi="Times New Roman" w:cs="Times New Roman"/>
          <w:i/>
          <w:iCs/>
          <w:sz w:val="16"/>
          <w:szCs w:val="16"/>
        </w:rPr>
        <w:t>Plasmodium malariae</w:t>
      </w:r>
      <w:r>
        <w:t xml:space="preserve"> incluyen:</w:t>
      </w:r>
    </w:p>
    <w:p w14:paraId="6DD7B49A" w14:textId="77777777" w:rsidR="00D03C17" w:rsidRDefault="00D03C17">
      <w:pPr>
        <w:pStyle w:val="BodyText"/>
        <w:numPr>
          <w:ilvl w:val="0"/>
          <w:numId w:val="80"/>
        </w:numPr>
        <w:tabs>
          <w:tab w:val="left" w:pos="335"/>
        </w:tabs>
        <w:ind w:firstLine="0"/>
        <w:jc w:val="both"/>
      </w:pPr>
      <w:bookmarkStart w:id="13" w:name="bookmark1039"/>
      <w:bookmarkEnd w:id="13"/>
      <w:r>
        <w:rPr>
          <w:rFonts w:ascii="Times New Roman" w:eastAsia="Times New Roman" w:hAnsi="Times New Roman" w:cs="Times New Roman"/>
          <w:i/>
          <w:iCs/>
          <w:sz w:val="16"/>
          <w:szCs w:val="16"/>
        </w:rPr>
        <w:t>Parasitemia asintomática crónica</w:t>
      </w:r>
      <w:r>
        <w:t xml:space="preserve"> incluso años después de la última exposición.</w:t>
      </w:r>
    </w:p>
    <w:p w14:paraId="07387B86" w14:textId="77777777" w:rsidR="00D03C17" w:rsidRDefault="00D03C17">
      <w:pPr>
        <w:pStyle w:val="BodyText"/>
        <w:numPr>
          <w:ilvl w:val="0"/>
          <w:numId w:val="80"/>
        </w:numPr>
        <w:tabs>
          <w:tab w:val="left" w:pos="335"/>
        </w:tabs>
        <w:ind w:firstLine="0"/>
        <w:jc w:val="both"/>
      </w:pPr>
      <w:bookmarkStart w:id="14" w:name="bookmark1040"/>
      <w:bookmarkEnd w:id="14"/>
      <w:r>
        <w:rPr>
          <w:rFonts w:ascii="Times New Roman" w:eastAsia="Times New Roman" w:hAnsi="Times New Roman" w:cs="Times New Roman"/>
          <w:i/>
          <w:iCs/>
          <w:sz w:val="16"/>
          <w:szCs w:val="16"/>
        </w:rPr>
        <w:t>Síndrome nefrótico</w:t>
      </w:r>
      <w:r>
        <w:t xml:space="preserve"> por depósito de complejos inmunitarios en el riñón.</w:t>
      </w:r>
    </w:p>
    <w:p w14:paraId="1CE775A9" w14:textId="77777777" w:rsidR="00D03C17" w:rsidRDefault="00D03C17">
      <w:pPr>
        <w:pStyle w:val="BodyText"/>
        <w:ind w:firstLine="360"/>
      </w:pPr>
      <w:r>
        <w:t xml:space="preserve">Rara vez surge </w:t>
      </w:r>
      <w:r>
        <w:rPr>
          <w:rFonts w:ascii="Times New Roman" w:eastAsia="Times New Roman" w:hAnsi="Times New Roman" w:cs="Times New Roman"/>
          <w:i/>
          <w:iCs/>
          <w:sz w:val="16"/>
          <w:szCs w:val="16"/>
        </w:rPr>
        <w:t>paludismo congénito</w:t>
      </w:r>
      <w:r>
        <w:t xml:space="preserve"> como consecuencia de la transmisión perinatal. Casi todos los casos de tipo congénito han sido provocados por </w:t>
      </w:r>
      <w:r>
        <w:rPr>
          <w:rFonts w:ascii="Times New Roman" w:eastAsia="Times New Roman" w:hAnsi="Times New Roman" w:cs="Times New Roman"/>
          <w:i/>
          <w:iCs/>
          <w:sz w:val="16"/>
          <w:szCs w:val="16"/>
        </w:rPr>
        <w:t>P. vivax</w:t>
      </w:r>
      <w:r>
        <w:t xml:space="preserve"> y </w:t>
      </w:r>
      <w:r>
        <w:rPr>
          <w:rFonts w:ascii="Times New Roman" w:eastAsia="Times New Roman" w:hAnsi="Times New Roman" w:cs="Times New Roman"/>
          <w:i/>
          <w:iCs/>
          <w:sz w:val="16"/>
          <w:szCs w:val="16"/>
        </w:rPr>
        <w:t>P. falciparum</w:t>
      </w:r>
      <w:r>
        <w:t xml:space="preserve">; </w:t>
      </w:r>
      <w:r>
        <w:rPr>
          <w:rFonts w:ascii="Times New Roman" w:eastAsia="Times New Roman" w:hAnsi="Times New Roman" w:cs="Times New Roman"/>
          <w:i/>
          <w:iCs/>
          <w:sz w:val="16"/>
          <w:szCs w:val="16"/>
        </w:rPr>
        <w:t>P malariae</w:t>
      </w:r>
      <w:r>
        <w:t xml:space="preserve"> y </w:t>
      </w:r>
      <w:r>
        <w:rPr>
          <w:rFonts w:ascii="Times New Roman" w:eastAsia="Times New Roman" w:hAnsi="Times New Roman" w:cs="Times New Roman"/>
          <w:i/>
          <w:iCs/>
          <w:sz w:val="16"/>
          <w:szCs w:val="16"/>
        </w:rPr>
        <w:t>P ovale</w:t>
      </w:r>
      <w:r>
        <w:t xml:space="preserve"> originan menos de 20% de los casos mencionados. Las manifestaciones pueden asemejarse a las de sepsis neonatal, que incluyen fiebre y síntomas inespecíficos, como inapetencia, irritabilidad y letargia.</w:t>
      </w:r>
    </w:p>
    <w:p w14:paraId="76998DC9" w14:textId="77777777" w:rsidR="00D03C17" w:rsidRDefault="00D03C17">
      <w:pPr>
        <w:pStyle w:val="BodyText"/>
        <w:ind w:firstLine="0"/>
        <w:rPr>
          <w:sz w:val="16"/>
          <w:szCs w:val="16"/>
        </w:rPr>
      </w:pPr>
      <w:r>
        <w:rPr>
          <w:b/>
          <w:bCs/>
        </w:rPr>
        <w:t>C</w:t>
      </w:r>
      <w:r>
        <w:rPr>
          <w:b/>
          <w:bCs/>
          <w:sz w:val="13"/>
          <w:szCs w:val="13"/>
        </w:rPr>
        <w:t>AUSA</w:t>
      </w:r>
      <w:r>
        <w:rPr>
          <w:b/>
          <w:bCs/>
        </w:rPr>
        <w:t xml:space="preserve">: </w:t>
      </w:r>
      <w:r>
        <w:t xml:space="preserve">El género </w:t>
      </w:r>
      <w:r>
        <w:rPr>
          <w:rFonts w:ascii="Times New Roman" w:eastAsia="Times New Roman" w:hAnsi="Times New Roman" w:cs="Times New Roman"/>
          <w:i/>
          <w:iCs/>
          <w:sz w:val="16"/>
          <w:szCs w:val="16"/>
        </w:rPr>
        <w:t>Plasmodium</w:t>
      </w:r>
      <w:r>
        <w:t xml:space="preserve"> incluye especies de parásitos intraeritrocíticos que infectan a animales, aves y reptiles de muy diverso tipo. Las cuatro especies que infectan a los seres humanos son </w:t>
      </w:r>
      <w:r>
        <w:rPr>
          <w:rFonts w:ascii="Times New Roman" w:eastAsia="Times New Roman" w:hAnsi="Times New Roman" w:cs="Times New Roman"/>
          <w:i/>
          <w:iCs/>
          <w:sz w:val="16"/>
          <w:szCs w:val="16"/>
        </w:rPr>
        <w:t>P. falciparum</w:t>
      </w:r>
      <w:r>
        <w:rPr>
          <w:i/>
          <w:iCs/>
        </w:rPr>
        <w:t xml:space="preserve">, </w:t>
      </w:r>
      <w:r>
        <w:rPr>
          <w:rFonts w:ascii="Times New Roman" w:eastAsia="Times New Roman" w:hAnsi="Times New Roman" w:cs="Times New Roman"/>
          <w:i/>
          <w:iCs/>
          <w:sz w:val="16"/>
          <w:szCs w:val="16"/>
        </w:rPr>
        <w:t>P vivax</w:t>
      </w:r>
      <w:r>
        <w:rPr>
          <w:i/>
          <w:iCs/>
        </w:rPr>
        <w:t xml:space="preserve">, </w:t>
      </w:r>
      <w:r>
        <w:rPr>
          <w:rFonts w:ascii="Times New Roman" w:eastAsia="Times New Roman" w:hAnsi="Times New Roman" w:cs="Times New Roman"/>
          <w:i/>
          <w:iCs/>
          <w:sz w:val="16"/>
          <w:szCs w:val="16"/>
        </w:rPr>
        <w:t>P ovale</w:t>
      </w:r>
      <w:r>
        <w:t xml:space="preserve"> y </w:t>
      </w:r>
      <w:r>
        <w:rPr>
          <w:rFonts w:ascii="Times New Roman" w:eastAsia="Times New Roman" w:hAnsi="Times New Roman" w:cs="Times New Roman"/>
          <w:i/>
          <w:iCs/>
          <w:sz w:val="16"/>
          <w:szCs w:val="16"/>
        </w:rPr>
        <w:t>P. malariae.</w:t>
      </w:r>
    </w:p>
    <w:p w14:paraId="7BE15D77" w14:textId="77777777" w:rsidR="00D03C17" w:rsidRDefault="00D03C17">
      <w:pPr>
        <w:pStyle w:val="BodyText"/>
        <w:spacing w:line="264" w:lineRule="auto"/>
        <w:ind w:firstLine="0"/>
      </w:pPr>
      <w:r>
        <w:rPr>
          <w:b/>
          <w:bCs/>
          <w:smallCaps/>
          <w:sz w:val="20"/>
          <w:szCs w:val="20"/>
        </w:rPr>
        <w:t>A</w:t>
      </w:r>
      <w:r>
        <w:rPr>
          <w:b/>
          <w:bCs/>
          <w:smallCaps/>
          <w:sz w:val="16"/>
          <w:szCs w:val="16"/>
        </w:rPr>
        <w:t>spectos</w:t>
      </w:r>
      <w:r>
        <w:rPr>
          <w:b/>
          <w:bCs/>
          <w:sz w:val="13"/>
          <w:szCs w:val="13"/>
        </w:rPr>
        <w:t xml:space="preserve"> EPIDEMIOLÓGICOS</w:t>
      </w:r>
      <w:r>
        <w:rPr>
          <w:b/>
          <w:bCs/>
        </w:rPr>
        <w:t xml:space="preserve">: </w:t>
      </w:r>
      <w:r>
        <w:t xml:space="preserve">El </w:t>
      </w:r>
      <w:r>
        <w:rPr>
          <w:rFonts w:ascii="Times New Roman" w:eastAsia="Times New Roman" w:hAnsi="Times New Roman" w:cs="Times New Roman"/>
          <w:i/>
          <w:iCs/>
          <w:sz w:val="16"/>
          <w:szCs w:val="16"/>
        </w:rPr>
        <w:t>paludismo o malaria</w:t>
      </w:r>
      <w:r>
        <w:t xml:space="preserve"> es endémico en las zonas tropicales de todo el planeta y se adquiere por la picadura de la hembra de la especie de mosquito </w:t>
      </w:r>
      <w:r>
        <w:rPr>
          <w:rFonts w:ascii="Times New Roman" w:eastAsia="Times New Roman" w:hAnsi="Times New Roman" w:cs="Times New Roman"/>
          <w:i/>
          <w:iCs/>
          <w:sz w:val="16"/>
          <w:szCs w:val="16"/>
        </w:rPr>
        <w:t>Anopheles</w:t>
      </w:r>
      <w:r>
        <w:t xml:space="preserve"> que se alimenta durante la noche. La mitad de la población mundial vive en zonas en que es fácil la transmisión. A nivel mundial se sabe que cada año hay 300 a 500 millones de casos y que mueren 1.5 a 2.7 millones de personas. Gran parte de los pacientes que fallecen son niños de corta edad. La infección palúdica conlleva riesgos sustanciales para las embarazadas y su feto, y puede ocasionar aborto espontáneo y muerte del producto. Quienes corren más peligro de contraer el paludismo son las personas que viajan a países subsaharianos, Papua Nueva Guinea, las islas Salomón y Vanuatu; el riesgo alcanza nivel intermedio en Haití y el subcontinente Indio, y es reducido en gran parte del sureste asiático y América Latina. La transmisión es posible en climas más templados que incluyen zonas de Estados Unidos donde prevalecen especies de </w:t>
      </w:r>
      <w:r>
        <w:rPr>
          <w:rFonts w:ascii="Times New Roman" w:eastAsia="Times New Roman" w:hAnsi="Times New Roman" w:cs="Times New Roman"/>
          <w:i/>
          <w:iCs/>
          <w:sz w:val="16"/>
          <w:szCs w:val="16"/>
        </w:rPr>
        <w:t>Anopheles</w:t>
      </w:r>
      <w:r>
        <w:rPr>
          <w:i/>
          <w:iCs/>
        </w:rPr>
        <w:t>.</w:t>
      </w:r>
      <w:r>
        <w:t xml:space="preserve"> Los mosquitos en aeroplanos que provienen de países de climas tropicales han sido el punto de partida de casos ocasionales en personas que trabajan o viven cerca de los aeropuertos internacionales. Sin embargo, prácticamente los 1 200 casos anuales notificados en Estados Unidos son consecuencia de infección adquirida en países extranjeros. Otros mecanismos menos frecuentes de transmisión del paludismo son el congénito, por sangre transfundida o por uso de agujas o jeringuillas contaminadas.</w:t>
      </w:r>
    </w:p>
    <w:p w14:paraId="0FCB8B67" w14:textId="77777777" w:rsidR="00D03C17" w:rsidRDefault="00D03C17">
      <w:pPr>
        <w:pStyle w:val="BodyText"/>
        <w:spacing w:line="276" w:lineRule="auto"/>
        <w:ind w:firstLine="360"/>
      </w:pPr>
      <w:r>
        <w:rPr>
          <w:rFonts w:ascii="Times New Roman" w:eastAsia="Times New Roman" w:hAnsi="Times New Roman" w:cs="Times New Roman"/>
          <w:i/>
          <w:iCs/>
          <w:sz w:val="16"/>
          <w:szCs w:val="16"/>
        </w:rPr>
        <w:t>Plasmodium vivax y P falciparum</w:t>
      </w:r>
      <w:r>
        <w:t xml:space="preserve"> son las especies más comunes a nivel mundial. El paludismo por </w:t>
      </w:r>
      <w:r>
        <w:rPr>
          <w:rFonts w:ascii="Times New Roman" w:eastAsia="Times New Roman" w:hAnsi="Times New Roman" w:cs="Times New Roman"/>
          <w:i/>
          <w:iCs/>
          <w:sz w:val="16"/>
          <w:szCs w:val="16"/>
        </w:rPr>
        <w:t>Plasmodium vivax</w:t>
      </w:r>
      <w:r>
        <w:t xml:space="preserve"> prevalece en el subcontinente indio y en América Central. La enfermedad por </w:t>
      </w:r>
      <w:r>
        <w:rPr>
          <w:rFonts w:ascii="Times New Roman" w:eastAsia="Times New Roman" w:hAnsi="Times New Roman" w:cs="Times New Roman"/>
          <w:i/>
          <w:iCs/>
          <w:sz w:val="16"/>
          <w:szCs w:val="16"/>
        </w:rPr>
        <w:t>P. falciparum</w:t>
      </w:r>
      <w:r>
        <w:t xml:space="preserve"> prevalece en África, Haití y Papua Nueva Guinea. El paludismo atribuible al ataque de </w:t>
      </w:r>
      <w:r>
        <w:rPr>
          <w:rFonts w:ascii="Times New Roman" w:eastAsia="Times New Roman" w:hAnsi="Times New Roman" w:cs="Times New Roman"/>
          <w:i/>
          <w:iCs/>
          <w:sz w:val="16"/>
          <w:szCs w:val="16"/>
        </w:rPr>
        <w:t>P. vivax</w:t>
      </w:r>
      <w:r>
        <w:t xml:space="preserve"> y </w:t>
      </w:r>
      <w:r>
        <w:rPr>
          <w:rFonts w:ascii="Times New Roman" w:eastAsia="Times New Roman" w:hAnsi="Times New Roman" w:cs="Times New Roman"/>
          <w:i/>
          <w:iCs/>
          <w:sz w:val="16"/>
          <w:szCs w:val="16"/>
        </w:rPr>
        <w:t>P falciparum</w:t>
      </w:r>
      <w:r>
        <w:t xml:space="preserve"> es común en el sur y el sureste de Asia, en Oceanía y en América del Sur. </w:t>
      </w:r>
      <w:r>
        <w:rPr>
          <w:rFonts w:ascii="Times New Roman" w:eastAsia="Times New Roman" w:hAnsi="Times New Roman" w:cs="Times New Roman"/>
          <w:i/>
          <w:iCs/>
          <w:sz w:val="16"/>
          <w:szCs w:val="16"/>
        </w:rPr>
        <w:t>Plasmodium malariae</w:t>
      </w:r>
      <w:r>
        <w:rPr>
          <w:i/>
          <w:iCs/>
        </w:rPr>
        <w:t>,</w:t>
      </w:r>
      <w:r>
        <w:t xml:space="preserve"> si bien mucho menos común, tiene una distribución amplia. El paludismo por </w:t>
      </w:r>
      <w:r>
        <w:rPr>
          <w:rFonts w:ascii="Times New Roman" w:eastAsia="Times New Roman" w:hAnsi="Times New Roman" w:cs="Times New Roman"/>
          <w:i/>
          <w:iCs/>
          <w:sz w:val="16"/>
          <w:szCs w:val="16"/>
        </w:rPr>
        <w:t xml:space="preserve">Plasmodium </w:t>
      </w:r>
      <w:r>
        <w:t>ovale aparece más a menudo en África Occidental, aunque se le ha señalado en otras áreas.</w:t>
      </w:r>
    </w:p>
    <w:p w14:paraId="0EAFBAEC" w14:textId="77777777" w:rsidR="00D03C17" w:rsidRDefault="00D03C17">
      <w:pPr>
        <w:pStyle w:val="BodyText"/>
        <w:spacing w:line="276" w:lineRule="auto"/>
        <w:ind w:firstLine="360"/>
      </w:pPr>
      <w:r>
        <w:t xml:space="preserve">En el caso del paludismo por </w:t>
      </w:r>
      <w:r>
        <w:rPr>
          <w:rFonts w:ascii="Times New Roman" w:eastAsia="Times New Roman" w:hAnsi="Times New Roman" w:cs="Times New Roman"/>
          <w:i/>
          <w:iCs/>
          <w:sz w:val="16"/>
          <w:szCs w:val="16"/>
        </w:rPr>
        <w:t>P. vivax</w:t>
      </w:r>
      <w:r>
        <w:t xml:space="preserve"> y </w:t>
      </w:r>
      <w:r>
        <w:rPr>
          <w:rFonts w:ascii="Times New Roman" w:eastAsia="Times New Roman" w:hAnsi="Times New Roman" w:cs="Times New Roman"/>
          <w:i/>
          <w:iCs/>
          <w:sz w:val="16"/>
          <w:szCs w:val="16"/>
        </w:rPr>
        <w:t>P. ovale</w:t>
      </w:r>
      <w:r>
        <w:t xml:space="preserve"> puede haber recaídas, por la etapa persistente de infección hepática (hipnozoítos). La infección por </w:t>
      </w:r>
      <w:r>
        <w:rPr>
          <w:rFonts w:ascii="Times New Roman" w:eastAsia="Times New Roman" w:hAnsi="Times New Roman" w:cs="Times New Roman"/>
          <w:i/>
          <w:iCs/>
          <w:sz w:val="16"/>
          <w:szCs w:val="16"/>
        </w:rPr>
        <w:t>P. falciparum</w:t>
      </w:r>
      <w:r>
        <w:t xml:space="preserve"> y </w:t>
      </w:r>
      <w:r>
        <w:rPr>
          <w:rFonts w:ascii="Times New Roman" w:eastAsia="Times New Roman" w:hAnsi="Times New Roman" w:cs="Times New Roman"/>
          <w:i/>
          <w:iCs/>
          <w:sz w:val="16"/>
          <w:szCs w:val="16"/>
        </w:rPr>
        <w:t>P malariae</w:t>
      </w:r>
      <w:r>
        <w:t xml:space="preserve"> se recrudece cuando una parasitemia persistente (reducido número de parásitos) hace que reaparezcan los síntomas de la enfermedad. En áreas hiperendémicas de África y Asia, la reinfección en personas con inmunidad parcial origina una prevalencia alta de parasitemia asintomática.</w:t>
      </w:r>
    </w:p>
    <w:p w14:paraId="06A2B4AC" w14:textId="77777777" w:rsidR="00D03C17" w:rsidRDefault="00D03C17">
      <w:pPr>
        <w:pStyle w:val="BodyText"/>
        <w:ind w:firstLine="360"/>
      </w:pPr>
      <w:r>
        <w:t xml:space="preserve">La propagación de cepas de </w:t>
      </w:r>
      <w:r>
        <w:rPr>
          <w:rFonts w:ascii="Times New Roman" w:eastAsia="Times New Roman" w:hAnsi="Times New Roman" w:cs="Times New Roman"/>
          <w:i/>
          <w:iCs/>
          <w:sz w:val="16"/>
          <w:szCs w:val="16"/>
        </w:rPr>
        <w:t>P. falciparum</w:t>
      </w:r>
      <w:r>
        <w:t xml:space="preserve"> resistentes a cloroquina en todo el mundo ha adquirido importancia cada vez mayor. En la actualidad se advierte resistencia a otros antipalúdicos en muchas zonas en que los fármacos se usan ampliamente. Se han señalado en Indonesia, Papua Nueva Guinea, Islas Salomón, Myanmar, India y Guyana cepas de </w:t>
      </w:r>
      <w:r>
        <w:rPr>
          <w:rFonts w:ascii="Times New Roman" w:eastAsia="Times New Roman" w:hAnsi="Times New Roman" w:cs="Times New Roman"/>
          <w:i/>
          <w:iCs/>
          <w:sz w:val="16"/>
          <w:szCs w:val="16"/>
        </w:rPr>
        <w:t>P vivax</w:t>
      </w:r>
      <w:r>
        <w:t xml:space="preserve"> resistente a cloroquina.</w:t>
      </w:r>
    </w:p>
    <w:p w14:paraId="2AF9E228" w14:textId="77777777" w:rsidR="00D03C17" w:rsidRDefault="00D03C17">
      <w:pPr>
        <w:pStyle w:val="BodyText"/>
        <w:ind w:firstLine="0"/>
      </w:pPr>
      <w:r>
        <w:rPr>
          <w:b/>
          <w:bCs/>
        </w:rPr>
        <w:t>M</w:t>
      </w:r>
      <w:r>
        <w:rPr>
          <w:b/>
          <w:bCs/>
          <w:sz w:val="13"/>
          <w:szCs w:val="13"/>
        </w:rPr>
        <w:t>ÉTODOS DIAGNÓSTICOS</w:t>
      </w:r>
      <w:r>
        <w:rPr>
          <w:b/>
          <w:bCs/>
        </w:rPr>
        <w:t xml:space="preserve">: </w:t>
      </w:r>
      <w:r>
        <w:t xml:space="preserve">El diagnóstico definitivo depende de identificar el parásito en extensiones teñidas de sangre. Hay que analizar las extensiones de gota gruesa y fina. La extensión de gota gruesa permite la concentración de la sangre para detectar los parásitos que pudieran estar en número reducido, en tanto que la gota fina es más útil para la identificación de especie y también para valorar el grado de parasitemia (el porcentaje de eritrocitos que tienen parásitos en su interior). Si los primeros frotis de sangre no señalan la presencia de especies de </w:t>
      </w:r>
      <w:r>
        <w:rPr>
          <w:rFonts w:ascii="Times New Roman" w:eastAsia="Times New Roman" w:hAnsi="Times New Roman" w:cs="Times New Roman"/>
          <w:i/>
          <w:iCs/>
          <w:sz w:val="16"/>
          <w:szCs w:val="16"/>
        </w:rPr>
        <w:t>Plasmodium</w:t>
      </w:r>
      <w:r>
        <w:t>, pero subsiste la posibilidad de paludismo, habrá que repetir el frotis cada 12 a 24 h en un lapso de 72 horas.</w:t>
      </w:r>
    </w:p>
    <w:p w14:paraId="4F65F0CC" w14:textId="77777777" w:rsidR="00D03C17" w:rsidRDefault="00D03C17">
      <w:pPr>
        <w:pStyle w:val="BodyText"/>
        <w:ind w:firstLine="360"/>
      </w:pPr>
      <w:r>
        <w:t>En áreas hiperendémicas, detectar paludismo en un frotis de sangre no constituye prueba concluyente de la enfermedad como causa de las manifestaciones clínicas, dado que a veces se sobreañaden otras infecciones a la parasitemia (corto número de parásitos) en niños con inmunidad parcial.</w:t>
      </w:r>
    </w:p>
    <w:p w14:paraId="14D39AE7" w14:textId="77777777" w:rsidR="00D03C17" w:rsidRDefault="00D03C17">
      <w:pPr>
        <w:pStyle w:val="BodyText"/>
        <w:ind w:firstLine="360"/>
      </w:pPr>
      <w:r>
        <w:t>La confirmación y la identificación de la especie de los plasmodios en el frotis de sangre es importante para orientar el tratamiento. Los métodos serológicos por lo común no son útiles, excepto en encuestas epidemiológicas. Las pruebas diagnósticas nuevas que están en fase de refinamiento, incluidas las de la reacción en cadena de polimerasa, sondas de DNA e identificación del RNA ribosómico del plasmodio, quizá permitan que en lo futuro el diagnóstico sea rápido y preciso.</w:t>
      </w:r>
    </w:p>
    <w:p w14:paraId="14EA4CC3" w14:textId="77777777" w:rsidR="00D03C17" w:rsidRDefault="00D03C17">
      <w:pPr>
        <w:pStyle w:val="BodyText"/>
        <w:ind w:firstLine="0"/>
      </w:pPr>
      <w:r>
        <w:rPr>
          <w:b/>
          <w:bCs/>
        </w:rPr>
        <w:t>T</w:t>
      </w:r>
      <w:r>
        <w:rPr>
          <w:b/>
          <w:bCs/>
          <w:sz w:val="13"/>
          <w:szCs w:val="13"/>
        </w:rPr>
        <w:t>RATAMIENTO</w:t>
      </w:r>
      <w:r>
        <w:rPr>
          <w:b/>
          <w:bCs/>
        </w:rPr>
        <w:t xml:space="preserve">: </w:t>
      </w:r>
      <w:r>
        <w:t xml:space="preserve">La quimioterapia antipalúdica se elige con base en la especie infectante, posible resistencia a fármacos y gravedad de la enfermedad (véase “Fármacos antiparasitarios”, sección 4). El paludismo grave se define como la parasitemia mayor de 5% de parásitos en eritrocitos, signos del sistema nervioso central o ataque de otro órgano terminal, choque, acidosis, hipoglucemia o todas estas manifestaciones juntas. Los niños con paludismo grave necesitan cuidados intensivos y tratamiento parenteral hasta que el número de parásitos disminuye a menos de 1% y el paciente tolera la terapia por vía oral. Puede estar justificada la exsanguinotransfusión si la parasitemia excede de 10% o si hay manifestaciones de complicaciones (ataque cerebral palúdico), con un número menor de parásitos. Están en estudio otras terapias coadyuvantes, como la quelación de hierro, pero no se recomiendan. El caso de sujetos con paludismo por </w:t>
      </w:r>
      <w:r>
        <w:rPr>
          <w:rFonts w:ascii="Times New Roman" w:eastAsia="Times New Roman" w:hAnsi="Times New Roman" w:cs="Times New Roman"/>
          <w:i/>
          <w:iCs/>
          <w:sz w:val="16"/>
          <w:szCs w:val="16"/>
        </w:rPr>
        <w:t>P falciparum</w:t>
      </w:r>
      <w:r>
        <w:rPr>
          <w:i/>
          <w:iCs/>
        </w:rPr>
        <w:t>,</w:t>
      </w:r>
      <w:r>
        <w:t xml:space="preserve"> conviene para vigilar el tratamiento y la práctica seriada de frotis de sangre para calcular la parasitemia porcentual. Están en fase de estudio en seres humanos nuevos antipalúdicos para combatir y evitar el paludismo.</w:t>
      </w:r>
    </w:p>
    <w:p w14:paraId="7B8F9B32" w14:textId="77777777" w:rsidR="00D03C17" w:rsidRDefault="00D03C17">
      <w:pPr>
        <w:pStyle w:val="BodyText"/>
        <w:spacing w:line="262" w:lineRule="auto"/>
        <w:ind w:firstLine="0"/>
      </w:pPr>
      <w:r>
        <w:rPr>
          <w:b/>
          <w:bCs/>
          <w:smallCaps/>
          <w:sz w:val="20"/>
          <w:szCs w:val="20"/>
        </w:rPr>
        <w:t>A</w:t>
      </w:r>
      <w:r>
        <w:rPr>
          <w:b/>
          <w:bCs/>
          <w:smallCaps/>
          <w:sz w:val="16"/>
          <w:szCs w:val="16"/>
        </w:rPr>
        <w:t>islamiento del paciente hospitalizado</w:t>
      </w:r>
      <w:r>
        <w:rPr>
          <w:b/>
          <w:bCs/>
          <w:smallCaps/>
          <w:sz w:val="20"/>
          <w:szCs w:val="20"/>
        </w:rPr>
        <w:t>:</w:t>
      </w:r>
      <w:r>
        <w:t xml:space="preserve"> Se recomienda seguir las precauciones estándar.</w:t>
      </w:r>
    </w:p>
    <w:p w14:paraId="4F41BC82" w14:textId="77777777" w:rsidR="00D03C17" w:rsidRDefault="00D03C17">
      <w:pPr>
        <w:pStyle w:val="BodyText"/>
        <w:ind w:firstLine="0"/>
      </w:pPr>
      <w:r>
        <w:rPr>
          <w:b/>
          <w:bCs/>
        </w:rPr>
        <w:t>M</w:t>
      </w:r>
      <w:r>
        <w:rPr>
          <w:b/>
          <w:bCs/>
          <w:sz w:val="13"/>
          <w:szCs w:val="13"/>
        </w:rPr>
        <w:t>EDIDAS PREVENTIVAS</w:t>
      </w:r>
      <w:r>
        <w:rPr>
          <w:b/>
          <w:bCs/>
        </w:rPr>
        <w:t xml:space="preserve">: </w:t>
      </w:r>
      <w:r>
        <w:t xml:space="preserve">Son eficaces medidas como las campañas contra las poblaciones de mosquitos de la especie </w:t>
      </w:r>
      <w:r>
        <w:rPr>
          <w:rFonts w:ascii="Times New Roman" w:eastAsia="Times New Roman" w:hAnsi="Times New Roman" w:cs="Times New Roman"/>
          <w:i/>
          <w:iCs/>
          <w:sz w:val="16"/>
          <w:szCs w:val="16"/>
        </w:rPr>
        <w:t>Anopheles</w:t>
      </w:r>
      <w:r>
        <w:rPr>
          <w:i/>
          <w:iCs/>
        </w:rPr>
        <w:t>,</w:t>
      </w:r>
      <w:r>
        <w:t xml:space="preserve"> el tratamiento de personas infectadas y la quimioprofilaxia de viajeros que van a zonas endémicas. Son beneficiosas las medidas para evitar el contacto con los mosquitos, en particular del atardecer al amanecer (porque la hembra de </w:t>
      </w:r>
      <w:r>
        <w:rPr>
          <w:rFonts w:ascii="Times New Roman" w:eastAsia="Times New Roman" w:hAnsi="Times New Roman" w:cs="Times New Roman"/>
          <w:i/>
          <w:iCs/>
          <w:sz w:val="16"/>
          <w:szCs w:val="16"/>
        </w:rPr>
        <w:t>Anopheles</w:t>
      </w:r>
      <w:r>
        <w:t xml:space="preserve"> acostumbra alimentarse por la noche con sangre) por medio de mosquiteros impregnados con insecticidas, repelentes que contengan dietiltoluamida (DEET) y ropas protectoras, y es necesario optimizar estas medidas. En Estados Unidos se puede obtener la información actualizada sobre peligros específicos de cada país, resistencia a fármacos y recomendaciones para viajeros, de los </w:t>
      </w:r>
      <w:r>
        <w:rPr>
          <w:rFonts w:ascii="Times New Roman" w:eastAsia="Times New Roman" w:hAnsi="Times New Roman" w:cs="Times New Roman"/>
          <w:i/>
          <w:iCs/>
          <w:sz w:val="16"/>
          <w:szCs w:val="16"/>
        </w:rPr>
        <w:t xml:space="preserve">Centers for Disease Control and Prevention </w:t>
      </w:r>
      <w:r>
        <w:t>(CDC) Malaria Hotline (770-488-7788).</w:t>
      </w:r>
    </w:p>
    <w:p w14:paraId="27E99E12" w14:textId="77777777" w:rsidR="00D03C17" w:rsidRDefault="00D03C17">
      <w:pPr>
        <w:pStyle w:val="BodyText"/>
        <w:spacing w:line="276" w:lineRule="auto"/>
        <w:ind w:firstLine="360"/>
      </w:pPr>
      <w:r>
        <w:rPr>
          <w:rFonts w:ascii="Arial" w:eastAsia="Arial" w:hAnsi="Arial" w:cs="Arial"/>
          <w:b/>
          <w:bCs/>
          <w:i/>
          <w:iCs/>
          <w:sz w:val="15"/>
          <w:szCs w:val="15"/>
        </w:rPr>
        <w:t>Quimioprofilaxia para viajeros que van a áreas endémicas.</w:t>
      </w:r>
      <w:r>
        <w:rPr>
          <w:rFonts w:ascii="Arial" w:eastAsia="Arial" w:hAnsi="Arial" w:cs="Arial"/>
          <w:b/>
          <w:bCs/>
          <w:i/>
          <w:iCs/>
          <w:sz w:val="15"/>
          <w:szCs w:val="15"/>
        </w:rPr>
        <w:footnoteReference w:id="2"/>
      </w:r>
      <w:r>
        <w:t xml:space="preserve"> El régimen quimioprofiláctico adecuado depende del peligro de que el viajero contraiga paludismo en las zonas que visitará y también el peligro de exposición a especies de </w:t>
      </w:r>
      <w:r>
        <w:rPr>
          <w:rFonts w:ascii="Times New Roman" w:eastAsia="Times New Roman" w:hAnsi="Times New Roman" w:cs="Times New Roman"/>
          <w:i/>
          <w:iCs/>
          <w:sz w:val="16"/>
          <w:szCs w:val="16"/>
        </w:rPr>
        <w:t xml:space="preserve">P. falciparum </w:t>
      </w:r>
      <w:r>
        <w:t>resistentes a cloroquina. Las indicaciones para la profilaxia en niños son idénticas a las que se aplican a adultos.</w:t>
      </w:r>
    </w:p>
    <w:p w14:paraId="4861E005" w14:textId="77777777" w:rsidR="00D03C17" w:rsidRDefault="00D03C17">
      <w:pPr>
        <w:pStyle w:val="BodyText"/>
        <w:ind w:firstLine="360"/>
      </w:pPr>
      <w:r>
        <w:t>La quimioprofilaxia debe comenzar una semana antes de que el viajero llegue a la zona endémica (excepto doxiciclina y atovacuona-proguanil, cuya administración se comenzará uno a dos días antes de la llegada al punto de destino), y así se contará con tiempo para obtener una concentración sanguínea adecuada del fármaco y para valorar cualquier reacción adversa a él.</w:t>
      </w:r>
    </w:p>
    <w:p w14:paraId="6DDC0498" w14:textId="77777777" w:rsidR="00D03C17" w:rsidRDefault="00D03C17">
      <w:pPr>
        <w:pStyle w:val="BodyText"/>
        <w:ind w:firstLine="360"/>
      </w:pPr>
      <w:r>
        <w:t>Los viajeros que acuden a zonas en que no se ha notificado la aparición de especies de plasmodio resistentes a cloroquina deben ingerir dicho fármaco una vez a la semana, y comenzarán una semana antes de exponerse, durante todo lo que dure la exposición y en un lapso de cuatro semanas después que hayan salido del área endémica.</w:t>
      </w:r>
    </w:p>
    <w:p w14:paraId="2CA920D3" w14:textId="77777777" w:rsidR="00D03C17" w:rsidRDefault="00D03C17">
      <w:pPr>
        <w:pStyle w:val="BodyText"/>
        <w:ind w:firstLine="360"/>
      </w:pPr>
      <w:r>
        <w:t xml:space="preserve">Las personas que viajarán a zonas en que existen especies de </w:t>
      </w:r>
      <w:r>
        <w:rPr>
          <w:rFonts w:ascii="Times New Roman" w:eastAsia="Times New Roman" w:hAnsi="Times New Roman" w:cs="Times New Roman"/>
          <w:i/>
          <w:iCs/>
          <w:sz w:val="16"/>
          <w:szCs w:val="16"/>
        </w:rPr>
        <w:t xml:space="preserve">P falciparum </w:t>
      </w:r>
      <w:r>
        <w:t>resistentes a cloroquina deben ingerir clorhidrato de mefloquina, doxiciclina y atovacuona-proguanil.</w:t>
      </w:r>
    </w:p>
    <w:p w14:paraId="6F5CFDD0" w14:textId="77777777" w:rsidR="00D03C17" w:rsidRDefault="00D03C17">
      <w:pPr>
        <w:pStyle w:val="BodyText"/>
        <w:numPr>
          <w:ilvl w:val="0"/>
          <w:numId w:val="80"/>
        </w:numPr>
        <w:tabs>
          <w:tab w:val="left" w:pos="341"/>
        </w:tabs>
        <w:ind w:left="360" w:hanging="360"/>
      </w:pPr>
      <w:bookmarkStart w:id="15" w:name="bookmark1041"/>
      <w:bookmarkEnd w:id="15"/>
      <w:r>
        <w:t xml:space="preserve">La mefloquina se ingerirá una vez por semana y se comenzará una semana antes del viaje para continuar con la administración semanal durante el tiempo del mismo y cuatro semanas después que ha concluido el recorrido (véase “Fármacos antiparasitarios”, sección 4). En Estados Unidos, la </w:t>
      </w:r>
      <w:r>
        <w:rPr>
          <w:rFonts w:ascii="Times New Roman" w:eastAsia="Times New Roman" w:hAnsi="Times New Roman" w:cs="Times New Roman"/>
          <w:i/>
          <w:iCs/>
          <w:sz w:val="16"/>
          <w:szCs w:val="16"/>
        </w:rPr>
        <w:t xml:space="preserve">Food and Drug Administration </w:t>
      </w:r>
      <w:r>
        <w:t>(FDA) no ha aprobado el uso de mefloquina para niños que pesan menos de 5 kg</w:t>
      </w:r>
    </w:p>
    <w:p w14:paraId="5D82197C" w14:textId="77777777" w:rsidR="00D03C17" w:rsidRDefault="00D03C17">
      <w:pPr>
        <w:pStyle w:val="BodyText"/>
        <w:ind w:left="360" w:firstLine="0"/>
      </w:pPr>
      <w:r>
        <w:t xml:space="preserve">o que tienen menos de seis meses. Sin embargo, recomendaciones recientes de la Organización Mundial de la Salud y los CDC sugieren que puede considerarse el uso de dicho antipalúdico en los niños, independientemente de las restricciones de peso o edad cuando es imposible evitar los viajes a zonas en que hay </w:t>
      </w:r>
      <w:r>
        <w:rPr>
          <w:rFonts w:ascii="Times New Roman" w:eastAsia="Times New Roman" w:hAnsi="Times New Roman" w:cs="Times New Roman"/>
          <w:i/>
          <w:iCs/>
          <w:sz w:val="16"/>
          <w:szCs w:val="16"/>
        </w:rPr>
        <w:t xml:space="preserve">P falciparum </w:t>
      </w:r>
      <w:r>
        <w:t>resistente a la cloroquina. Está contraindicada la administración de mefloquina en personas con hipersensibilidad sabida a dicha sustancia o individuos con depresión o antecedente de psicosis o convulsiones. Las indicaciones del fabricante advierten sobre el empleo concomitante de bloqueadores beta, pero la revisión de datos publicados sugiere que puede utilizarse mefloquina en personas que reciben conjuntamente bloqueadores beta, si no tienen arritmia primaria. No se recomienda el uso de la mefloquina por personas con anormalidades de conducción del corazón. También se tendrá gran cuidado en el caso de viajeros que realizan tareas que exigen coordinación motora fina y discriminación espacial. En caso de ser ineficaz la profilaxia con mefloquina, el niño debe ser vigilado con gran detenimiento en el caso de recibir quinidina o sulfato de quinina porque uno u otro pueden exacerbar los efectos adversos sabidos de la mefloquina.</w:t>
      </w:r>
    </w:p>
    <w:p w14:paraId="63188CE0" w14:textId="77777777" w:rsidR="00D03C17" w:rsidRDefault="00D03C17">
      <w:pPr>
        <w:pStyle w:val="BodyText"/>
        <w:numPr>
          <w:ilvl w:val="0"/>
          <w:numId w:val="80"/>
        </w:numPr>
        <w:tabs>
          <w:tab w:val="left" w:pos="341"/>
        </w:tabs>
        <w:ind w:left="360" w:hanging="360"/>
      </w:pPr>
      <w:bookmarkStart w:id="16" w:name="bookmark1042"/>
      <w:bookmarkEnd w:id="16"/>
      <w:r>
        <w:t>La administración diaria de doxiciclina se comienza uno a dos días antes de la exposición, todo el tiempo que ella dure y en un lapso de cuatro semanas después de haber salido del área endémica. Conviene advertir a los viajeros que reciben tal antibiótico de la necesidad de cumplir fielmente con la administración diaria, la conveniencia de ingerir el medicamento después de haber ingerido alimentos y los posibles efectos adversos como diarrea, fotosensibilidad y un mayor peligro de vaginitis moniliásica. Es mejor que las embarazadas y los niños menores de ocho años no consuman la doxiciclina por el peligro de las manchas en los dientes (véase “Antimicrobianos y fármacos similares”, sección 4).</w:t>
      </w:r>
    </w:p>
    <w:p w14:paraId="3FE15D9E" w14:textId="77777777" w:rsidR="00D03C17" w:rsidRDefault="00D03C17">
      <w:pPr>
        <w:pStyle w:val="BodyText"/>
        <w:numPr>
          <w:ilvl w:val="0"/>
          <w:numId w:val="80"/>
        </w:numPr>
        <w:tabs>
          <w:tab w:val="left" w:pos="341"/>
        </w:tabs>
        <w:ind w:left="360" w:hanging="360"/>
      </w:pPr>
      <w:bookmarkStart w:id="17" w:name="bookmark1043"/>
      <w:bookmarkEnd w:id="17"/>
      <w:r>
        <w:t>En Estados Unidos se ha aprobado el uso de atovacuona-proguanil para evitar y tratar el paludismo por P. falciparum resistente a cloroquina. El medicamento aprobado se ingiere diariamente y su uso comienza un día antes de la exposición, se continúa durante todo el tiempo que ésta dure y por un lapso de una semana de haber salido del área endémica. En Estados Unidos se cuenta con una presentación para niños pero no se ha aprobado para aquellos que pesen menos de 11 kg. La atovacuona-proguanil está contraindicada en embarazadas.</w:t>
      </w:r>
    </w:p>
    <w:p w14:paraId="43D153FC" w14:textId="77777777" w:rsidR="00D03C17" w:rsidRDefault="00D03C17">
      <w:pPr>
        <w:pStyle w:val="BodyText"/>
        <w:spacing w:line="276" w:lineRule="auto"/>
        <w:ind w:firstLine="360"/>
        <w:sectPr w:rsidR="00D03C17" w:rsidSect="00D03C17">
          <w:headerReference w:type="even" r:id="rId29"/>
          <w:headerReference w:type="default" r:id="rId30"/>
          <w:footerReference w:type="even" r:id="rId31"/>
          <w:footerReference w:type="default" r:id="rId32"/>
          <w:footnotePr>
            <w:numFmt w:val="chicago"/>
          </w:footnotePr>
          <w:pgSz w:w="8501" w:h="13022"/>
          <w:pgMar w:top="710" w:right="796" w:bottom="428" w:left="783" w:header="0" w:footer="3" w:gutter="0"/>
          <w:pgNumType w:start="515"/>
          <w:cols w:space="720"/>
          <w:noEndnote/>
          <w:docGrid w:linePitch="360"/>
          <w15:footnoteColumns w:val="1"/>
        </w:sectPr>
      </w:pPr>
      <w:r>
        <w:t xml:space="preserve">Los niños que no pueden recibir mefloquina y doxiciclina pueden ser tratados con atovacuona-proguanil. Es mejor que ellos no viajen a zonas en que hay especies de </w:t>
      </w:r>
      <w:r>
        <w:rPr>
          <w:rFonts w:ascii="Times New Roman" w:eastAsia="Times New Roman" w:hAnsi="Times New Roman" w:cs="Times New Roman"/>
          <w:i/>
          <w:iCs/>
          <w:sz w:val="16"/>
          <w:szCs w:val="16"/>
        </w:rPr>
        <w:t>P. falciparum</w:t>
      </w:r>
      <w:r>
        <w:t xml:space="preserve"> resistentes a cloroquina, salvo que reciban un fármaco muy eficaz como mefloquina, doxiciclina o atovacuona-proguanil.</w:t>
      </w:r>
    </w:p>
    <w:p w14:paraId="508FBF5D" w14:textId="77777777" w:rsidR="00D03C17" w:rsidRDefault="00D03C17">
      <w:pPr>
        <w:pStyle w:val="BodyText"/>
        <w:ind w:firstLine="360"/>
      </w:pPr>
      <w:r>
        <w:rPr>
          <w:rFonts w:ascii="Arial" w:eastAsia="Arial" w:hAnsi="Arial" w:cs="Arial"/>
          <w:b/>
          <w:bCs/>
          <w:i/>
          <w:iCs/>
          <w:sz w:val="15"/>
          <w:szCs w:val="15"/>
        </w:rPr>
        <w:t>Profilaxia durante el embarazo.</w:t>
      </w:r>
      <w:r>
        <w:t xml:space="preserve"> El paludismo que ataque a embarazadas puede ser más grave que el que afecte a mujeres no gestantes. La enfermedad puede agravar el peligro de resultados adversos del embarazo, como premadurez, aborto espontáneo y muerte del feto. Por las razones anteriores y por el hecho de que ningún régimen quimioprofiláctico es totalmente eficaz, las embarazadas o las mujeres con posibilidades de embarazarse no deben viajar a áreas en que podían contraer el paludismo. Las mujeres que acuden a zonas donde no se han señalado especies de </w:t>
      </w:r>
      <w:r>
        <w:rPr>
          <w:rFonts w:ascii="Times New Roman" w:eastAsia="Times New Roman" w:hAnsi="Times New Roman" w:cs="Times New Roman"/>
          <w:i/>
          <w:iCs/>
          <w:sz w:val="16"/>
          <w:szCs w:val="16"/>
        </w:rPr>
        <w:t xml:space="preserve">P falciparum </w:t>
      </w:r>
      <w:r>
        <w:t>resistentes a fármacos pueden recibir profilaxia con cloroquina. No se han demostrado efectos nocivos para el feto si dicho fármaco se administra en las dosis recomendadas para la profilaxia antipalúdica. Por lo tanto, el embarazo no constituye una contraindicación para dicha estrategia preventiva con cloroquina.</w:t>
      </w:r>
    </w:p>
    <w:p w14:paraId="35AD444D" w14:textId="77777777" w:rsidR="00D03C17" w:rsidRDefault="00D03C17">
      <w:pPr>
        <w:pStyle w:val="BodyText"/>
        <w:ind w:firstLine="360"/>
      </w:pPr>
      <w:r>
        <w:t xml:space="preserve">Según las instrucciones del fabricante no se recomienda utilizar la mefloquina en embarazadas. Sin embargo, la revisión de datos de estudios clínicos y notificaciones del uso inadvertido del medicamento en embarazadas sugiere que su consumo no ocasiona resultados adversos para el feto o el embarazo, como sería defectos congénitos, muerte del feto y abortos espontáneos, si se ingiere en dosis profilácticas durante toda la gestación. Por tal razón, la mefloquina es el medicamento más indicado para la profilaxia en embarazadas o mujeres que podrán embarazarse, si es inevitable la exposición a especies de </w:t>
      </w:r>
      <w:r>
        <w:rPr>
          <w:rFonts w:ascii="Times New Roman" w:eastAsia="Times New Roman" w:hAnsi="Times New Roman" w:cs="Times New Roman"/>
          <w:i/>
          <w:iCs/>
          <w:sz w:val="16"/>
          <w:szCs w:val="16"/>
        </w:rPr>
        <w:t>P falciparum</w:t>
      </w:r>
      <w:r>
        <w:t xml:space="preserve"> resistente a cloroquina.</w:t>
      </w:r>
    </w:p>
    <w:p w14:paraId="53221EEE" w14:textId="77777777" w:rsidR="00D03C17" w:rsidRDefault="00D03C17">
      <w:pPr>
        <w:pStyle w:val="BodyText"/>
        <w:ind w:firstLine="360"/>
      </w:pPr>
      <w:r>
        <w:t>Los viajeros que no puedan recibir mefloquina, doxiciclina o atovacuona-proguanil pueden recibir la combinación de cloroquina y azitromicina dihidratada, que es una mezcla inocua durante el embarazo. Sin embargo, los agentes mencionados son menos eficaces que la farmacoterapia habitual contra el paludismo persistente a cloroquina. Los viajeros deben considerar la posibilidad de portar consigo atovacuona-proguanil o sulfadoxina-pirimetamina (Fansidar, Roche Pharmaceuticals, Nutley, NJ) para utilizar como supuesto autotratamiento en caso de surgir un cuadro febril mientras reciben quimioprofilaxia con disminución sabida de la eficacia. En zonas del Sureste Asiático y la Cuenca Amazónica se ha sabido de casos de resistencia a la sulfadoxina-pirimetamina, por lo que no se les usará para combatir el paludismo adquirido en tales áreas. Los CDC también señalan a varios países del este de África en que hay especies de plasmodios resistentes a la sulfadoxina-pirimetamina (Kenia, Uganda, Malawi, África del Sur, Mozambique y Tanzania) en su página web (</w:t>
      </w:r>
      <w:hyperlink r:id="rId33" w:history="1">
        <w:r>
          <w:t>www.cdc.gov/travel</w:t>
        </w:r>
      </w:hyperlink>
      <w:r>
        <w:t>). Hay que señalar a los viajeros que el autotratamiento no sustituye el auxilio médico inmediato. Es importante no ingerir como medio profiláctico habitual la sulfadoxina-pirimetamina, y no la consumirán los pacientes con intolerancia identificada a uno u otro medicamentos o a otras sulfonamidas, o pequeños menores de dos meses de vida o embarazadas a término, salvo si las circunstancias sugieren que los posibles beneficios rebasan el posible peligro de hiperbilirrubinemia en el lactante.</w:t>
      </w:r>
    </w:p>
    <w:p w14:paraId="5F096BF2" w14:textId="77777777" w:rsidR="00D03C17" w:rsidRDefault="00D03C17">
      <w:pPr>
        <w:pStyle w:val="BodyText"/>
        <w:ind w:firstLine="360"/>
      </w:pPr>
      <w:r>
        <w:t>Se aconsejará a los viajeros que si surge cualquier fiebre o cuadro similar a influenza en término de 90 días de haber salido del área en que es endémico el paludismo, se necesitará valoración inmediata, incluida la práctica de extensiones de sangre, para descartar paludismo.</w:t>
      </w:r>
    </w:p>
    <w:p w14:paraId="077F1ACE" w14:textId="77777777" w:rsidR="00D03C17" w:rsidRDefault="00D03C17">
      <w:pPr>
        <w:pStyle w:val="BodyText"/>
        <w:ind w:firstLine="360"/>
      </w:pPr>
      <w:r>
        <w:rPr>
          <w:rFonts w:ascii="Arial" w:eastAsia="Arial" w:hAnsi="Arial" w:cs="Arial"/>
          <w:b/>
          <w:bCs/>
          <w:i/>
          <w:iCs/>
          <w:sz w:val="15"/>
          <w:szCs w:val="15"/>
        </w:rPr>
        <w:t>Prevención de recaídas.</w:t>
      </w:r>
      <w:r>
        <w:t xml:space="preserve"> Para evitar las recaídas de la infección por </w:t>
      </w:r>
      <w:r>
        <w:rPr>
          <w:rFonts w:ascii="Times New Roman" w:eastAsia="Times New Roman" w:hAnsi="Times New Roman" w:cs="Times New Roman"/>
          <w:i/>
          <w:iCs/>
          <w:sz w:val="16"/>
          <w:szCs w:val="16"/>
        </w:rPr>
        <w:t>P. vivax</w:t>
      </w:r>
      <w:r>
        <w:t xml:space="preserve"> o </w:t>
      </w:r>
      <w:r>
        <w:rPr>
          <w:rFonts w:ascii="Times New Roman" w:eastAsia="Times New Roman" w:hAnsi="Times New Roman" w:cs="Times New Roman"/>
          <w:i/>
          <w:iCs/>
          <w:sz w:val="16"/>
          <w:szCs w:val="16"/>
        </w:rPr>
        <w:t>P. ovale</w:t>
      </w:r>
      <w:r>
        <w:rPr>
          <w:i/>
          <w:iCs/>
        </w:rPr>
        <w:t xml:space="preserve">, </w:t>
      </w:r>
      <w:r>
        <w:t>una vez que la persona ha salido de las áreas en que ambas especies son endémicas habrá que pensar en el uso de fosfato de primaquina. El fármaco en cuestión causa hemólisis en personas con deficiencia de deshidrogenasa de glucosa-6-fosfato y por ello habrá que buscar en todos los pacientes dicha deficiencia antes de emprender la administración de primaquina.</w:t>
      </w:r>
    </w:p>
    <w:p w14:paraId="3233F5ED" w14:textId="77777777" w:rsidR="00D03C17" w:rsidRDefault="00D03C17">
      <w:pPr>
        <w:pStyle w:val="BodyText"/>
        <w:spacing w:after="100"/>
        <w:ind w:firstLine="360"/>
        <w:rPr>
          <w:sz w:val="16"/>
          <w:szCs w:val="16"/>
        </w:rPr>
      </w:pPr>
      <w:r>
        <w:rPr>
          <w:rFonts w:ascii="Arial" w:eastAsia="Arial" w:hAnsi="Arial" w:cs="Arial"/>
          <w:b/>
          <w:bCs/>
          <w:i/>
          <w:iCs/>
          <w:sz w:val="15"/>
          <w:szCs w:val="15"/>
        </w:rPr>
        <w:t>Medidas de protección personal.</w:t>
      </w:r>
      <w:r>
        <w:t xml:space="preserve"> Es importante recomendar a todas las personas que viajan a áreas en que es endémico el paludismo, el uso de medidas de protección personal como las siguientes: 1) durante el sueño utilizar mosquiteros impregnados con insecticidas; 2) permanecer en zonas perfectamente protegidas con malla fina de alambre; 3) usar ropas protectoras, y 4) utilizar repelentes que contengan dietiletiltoluamida (DEET). Para ser eficaces, los repelentes en cuestión necesitan ser aplicados frecuentemente. Ante la posibilidad de reacciones adversas, que incluyen encefalopatía tóxica, convulsiones y erupciones señaladas con el empleo de DEET en grandes concentraciones en niños, dicho repelente debe usarse conforme a las instrucciones del fabricante. Será importante recomendar a los viajeros, y en particular a los niños, que no usen productos con grandes concentraciones de DEET (más de 35%) aplicados directamente a la piel. El peligro de que surjan reacciones adversas graves es muy reducido si el repelente se usa con base en las instrucciones del fabricante, aprobadas por la </w:t>
      </w:r>
      <w:r>
        <w:rPr>
          <w:rFonts w:ascii="Times New Roman" w:eastAsia="Times New Roman" w:hAnsi="Times New Roman" w:cs="Times New Roman"/>
          <w:i/>
          <w:iCs/>
          <w:sz w:val="16"/>
          <w:szCs w:val="16"/>
        </w:rPr>
        <w:t>Food and Drug Administration.</w:t>
      </w:r>
    </w:p>
    <w:p w14:paraId="0E6E5B91" w14:textId="77777777" w:rsidR="00D03C17" w:rsidRDefault="00D03C17">
      <w:pPr>
        <w:pStyle w:val="Bodytext70"/>
        <w:spacing w:after="0"/>
      </w:pPr>
      <w:r>
        <w:t>Papiloma humano, virus</w:t>
      </w:r>
    </w:p>
    <w:p w14:paraId="3ABB94AE" w14:textId="77777777" w:rsidR="00D03C17" w:rsidRDefault="00D03C17">
      <w:pPr>
        <w:pStyle w:val="BodyText"/>
        <w:ind w:firstLine="0"/>
      </w:pPr>
      <w:r>
        <w:rPr>
          <w:b/>
          <w:bCs/>
        </w:rPr>
        <w:t>M</w:t>
      </w:r>
      <w:r>
        <w:rPr>
          <w:b/>
          <w:bCs/>
          <w:sz w:val="13"/>
          <w:szCs w:val="13"/>
        </w:rPr>
        <w:t>ANIFESTACIONES CLÍNICAS</w:t>
      </w:r>
      <w:r>
        <w:rPr>
          <w:b/>
          <w:bCs/>
        </w:rPr>
        <w:t xml:space="preserve">: </w:t>
      </w:r>
      <w:r>
        <w:t xml:space="preserve">Muchas de las infecciones por el virus de papiloma humano </w:t>
      </w:r>
      <w:r>
        <w:rPr>
          <w:i/>
          <w:iCs/>
        </w:rPr>
        <w:t>(</w:t>
      </w:r>
      <w:r>
        <w:rPr>
          <w:rFonts w:ascii="Times New Roman" w:eastAsia="Times New Roman" w:hAnsi="Times New Roman" w:cs="Times New Roman"/>
          <w:i/>
          <w:iCs/>
          <w:sz w:val="16"/>
          <w:szCs w:val="16"/>
        </w:rPr>
        <w:t>human papillomavirus</w:t>
      </w:r>
      <w:r>
        <w:rPr>
          <w:i/>
          <w:iCs/>
        </w:rPr>
        <w:t>,</w:t>
      </w:r>
      <w:r>
        <w:t xml:space="preserve"> HPV) no originan lesiones ni se manifiestan por signos clínicos. Sin embargo, los virus en cuestión producen tumores epiteliales (verrugas) de la piel y las mucosas y se acompañan de displasia anogenital y cáncer. Las verrugas cutáneas no congénitas incluyen las comunes en la piel, las que están en la planta del pie, las planas, las filiformes y la epidermodisplasia verruciforme. Las verrugas también aparecen en las mucosas incluidas las zonas anogenital, bucal, nasal y conjuntival, así como las vías respiratorias, en que aparece papilomatosis.</w:t>
      </w:r>
    </w:p>
    <w:p w14:paraId="4943AA3B" w14:textId="77777777" w:rsidR="00D03C17" w:rsidRDefault="00D03C17">
      <w:pPr>
        <w:pStyle w:val="BodyText"/>
        <w:ind w:firstLine="360"/>
      </w:pPr>
      <w:r>
        <w:t xml:space="preserve">Las </w:t>
      </w:r>
      <w:r>
        <w:rPr>
          <w:b/>
          <w:bCs/>
        </w:rPr>
        <w:t xml:space="preserve">verrugas comunes </w:t>
      </w:r>
      <w:r>
        <w:t>en la piel tienen forma redondeada y prolongaciones cónicas que dan a su superficie una imagen “irregular”. Por lo común son asintomáticas y múltiples y aparecen más bien en las manos y alrededor de las uñas o debajo de ellas. Al sufrir trombosis los vasos dérmicos finos aparecen puntos negros en las verrugas. Las verrugas en la planta del pie pueden ser dolorosas y se caracterizan por hiperqueratosis notable, a veces con puntos negros.</w:t>
      </w:r>
    </w:p>
    <w:p w14:paraId="43E67D2A" w14:textId="77777777" w:rsidR="00D03C17" w:rsidRDefault="00D03C17">
      <w:pPr>
        <w:pStyle w:val="BodyText"/>
        <w:ind w:firstLine="360"/>
      </w:pPr>
      <w:r>
        <w:t xml:space="preserve">Las </w:t>
      </w:r>
      <w:r>
        <w:rPr>
          <w:b/>
          <w:bCs/>
        </w:rPr>
        <w:t xml:space="preserve">verrugas planas o “juveniles” </w:t>
      </w:r>
      <w:r>
        <w:t>aparecen a menudo en la cara y las extremidades de niños y adolescentes. Por lo regular son pequeñas, múltiples y planas; rara vez presentan papilomatosis y casi no ocasionan dolor. Las verrugas filiformes aparecen en la cara y el cuello, y las cutáneas son benignas.</w:t>
      </w:r>
    </w:p>
    <w:p w14:paraId="7C5C8507" w14:textId="77777777" w:rsidR="00D03C17" w:rsidRDefault="00D03C17">
      <w:pPr>
        <w:pStyle w:val="BodyText"/>
        <w:ind w:firstLine="360"/>
      </w:pPr>
      <w:r>
        <w:t xml:space="preserve">Las verrugas anogenitales, llamadas también </w:t>
      </w:r>
      <w:r>
        <w:rPr>
          <w:b/>
          <w:bCs/>
        </w:rPr>
        <w:t>condilomas acuminados</w:t>
      </w:r>
      <w:r>
        <w:t>, son deformaciones del color de la piel con una superficie similar a la de una coliflor cuyo tamaño varía de milímetros a centímetros. En los varones aparecen a veces en el pene, en el escroto y en las zonas anal y perianal. En las mujeres pueden identificarse en la vulva o áreas perianales y con menor frecuencia en la vagina o en el cuello uterino. Las verrugas anogenitales suelen ser múltiples y atraen la atención por su aspecto. Por lo común no causan dolor, aunque a veces originan prurito, ardor, dolor local o hemorragia.</w:t>
      </w:r>
    </w:p>
    <w:p w14:paraId="04685668" w14:textId="77777777" w:rsidR="00D03C17" w:rsidRDefault="00D03C17">
      <w:pPr>
        <w:pStyle w:val="BodyText"/>
        <w:ind w:firstLine="360"/>
        <w:sectPr w:rsidR="00D03C17" w:rsidSect="00D03C17">
          <w:headerReference w:type="even" r:id="rId34"/>
          <w:headerReference w:type="default" r:id="rId35"/>
          <w:footerReference w:type="even" r:id="rId36"/>
          <w:footerReference w:type="default" r:id="rId37"/>
          <w:headerReference w:type="first" r:id="rId38"/>
          <w:footerReference w:type="first" r:id="rId39"/>
          <w:footnotePr>
            <w:numFmt w:val="chicago"/>
          </w:footnotePr>
          <w:pgSz w:w="8501" w:h="13022"/>
          <w:pgMar w:top="710" w:right="796" w:bottom="428" w:left="783" w:header="0" w:footer="3" w:gutter="0"/>
          <w:cols w:space="720"/>
          <w:noEndnote/>
          <w:titlePg/>
          <w:docGrid w:linePitch="360"/>
          <w15:footnoteColumns w:val="1"/>
        </w:sectPr>
      </w:pPr>
      <w:r>
        <w:t>La infección anogenital por HPV puede acompañarse de lesiones displásicas no manifiestas clínicamente en particular en el aparato genital de la mujer (cuello uterino o vagina). Se les puede resaltar si se aplica ácido acético en 3 a 5% a la superficie mucosa y se le examina por medio de un dispositivo de amplificación. Los tipos de HPV que se vinculan con tales displasias también guardan relación con cánceres en las vías anogenitales. Desde el punto de vista etiológica el virus de papiloma humano participa en 90% de los cánceres cervicouterinos y en una proporción sustancial de los cánceres de vulva, ano y pene.</w:t>
      </w:r>
    </w:p>
    <w:p w14:paraId="31C786CF" w14:textId="77777777" w:rsidR="00D03C17" w:rsidRDefault="00D03C17">
      <w:pPr>
        <w:pStyle w:val="BodyText"/>
        <w:spacing w:after="100"/>
        <w:ind w:firstLine="0"/>
      </w:pPr>
      <w:r>
        <w:t xml:space="preserve">microorganismos muestren réplica en el intestino para ser eficaz y no debe administrarse en caso de enfermedad de vías gastrointestinales. La proliferación de la cepa Ty21a </w:t>
      </w:r>
      <w:r>
        <w:rPr>
          <w:rFonts w:ascii="Times New Roman" w:eastAsia="Times New Roman" w:hAnsi="Times New Roman" w:cs="Times New Roman"/>
          <w:i/>
          <w:iCs/>
          <w:sz w:val="16"/>
          <w:szCs w:val="16"/>
        </w:rPr>
        <w:t>in vitro</w:t>
      </w:r>
      <w:r>
        <w:t xml:space="preserve"> puede ser inhibida por agentes antipalúdicos y por ello, las antiguas recomendaciones no aprobaban la administración simultánea de la vacuna y dichos agentes. Estudios ulteriores han señalado que la administración simultánea de los antipalúdicos clorhidrato de mefloquina o de cloroquina y la vacuna Ty21a origina una respuesta adecuada </w:t>
      </w:r>
      <w:r>
        <w:rPr>
          <w:rFonts w:ascii="Times New Roman" w:eastAsia="Times New Roman" w:hAnsi="Times New Roman" w:cs="Times New Roman"/>
          <w:i/>
          <w:iCs/>
          <w:sz w:val="16"/>
          <w:szCs w:val="16"/>
        </w:rPr>
        <w:t>in vivo</w:t>
      </w:r>
      <w:r>
        <w:t>. Sin embargo, será mejor no administrar simultáneamente clorhidrato de proguanilo, un antipalúdico, junto con la vacuna Ty21a, sino más bien administrarlo 10 días o más después de que el niño reciba la cuarta dosis de la vacuna Ty21a. También será mejor no administrar antimicrobianos durante siete días antes de administrar la primera dosis de la vacuna Ty21a y siete días después de la cuarta dosis de ella.</w:t>
      </w:r>
    </w:p>
    <w:p w14:paraId="4E8B816C" w14:textId="77777777" w:rsidR="00D03C17" w:rsidRDefault="00D03C17">
      <w:pPr>
        <w:pStyle w:val="Bodytext70"/>
        <w:spacing w:after="0"/>
      </w:pPr>
      <w:r>
        <w:t>Sarampión</w:t>
      </w:r>
    </w:p>
    <w:p w14:paraId="58F0FE59" w14:textId="77777777" w:rsidR="00D03C17" w:rsidRDefault="00D03C17">
      <w:pPr>
        <w:pStyle w:val="BodyText"/>
        <w:ind w:firstLine="0"/>
      </w:pPr>
      <w:r>
        <w:rPr>
          <w:b/>
          <w:bCs/>
        </w:rPr>
        <w:t>M</w:t>
      </w:r>
      <w:r>
        <w:rPr>
          <w:b/>
          <w:bCs/>
          <w:sz w:val="13"/>
          <w:szCs w:val="13"/>
        </w:rPr>
        <w:t>ANIFESTACIONES CLÍNICAS</w:t>
      </w:r>
      <w:r>
        <w:rPr>
          <w:b/>
          <w:bCs/>
        </w:rPr>
        <w:t xml:space="preserve">: </w:t>
      </w:r>
      <w:r>
        <w:t>El sarampión es una enfermedad aguda caracterizada por fiebre, tos, coriza, conjuntivitis, maculopápulas eritematosas y enantemas patognomónicos (manchas de Koplik). En niños de corta edad es frecuente que surjan complicaciones como otitis media, bronconeumonía, laringotraqueobronquitis (crup) y diarrea. En uno de cada 1 000 casos aparece encefalitis aguda que suele ocasionar daño encefálico permanente. Se sabe que uno a tres de cada 1 000 casos notificados en Estados Unidos mueren más bien como consecuencia de complicaciones respiratorias y neurológicas. Las tasas de letalidad aumentan en niños menores de cinco años y niños inmunodeficientes, que incluyen aquellos con leucemia, infección por virus de inmunodeficiencia humana (VIH) y desnutrición grave. A veces no aparecen en pacientes inmunodeficientes las maculopápulas características ni las enantemas.</w:t>
      </w:r>
    </w:p>
    <w:p w14:paraId="305A8EAD" w14:textId="77777777" w:rsidR="00D03C17" w:rsidRDefault="00D03C17">
      <w:pPr>
        <w:pStyle w:val="BodyText"/>
        <w:ind w:firstLine="360"/>
      </w:pPr>
      <w:r>
        <w:t xml:space="preserve">La panencefalitis esclerosante subaguda </w:t>
      </w:r>
      <w:r>
        <w:rPr>
          <w:i/>
          <w:iCs/>
        </w:rPr>
        <w:t>(</w:t>
      </w:r>
      <w:r>
        <w:rPr>
          <w:rFonts w:ascii="Times New Roman" w:eastAsia="Times New Roman" w:hAnsi="Times New Roman" w:cs="Times New Roman"/>
          <w:i/>
          <w:iCs/>
          <w:sz w:val="16"/>
          <w:szCs w:val="16"/>
        </w:rPr>
        <w:t>subacute sclerosing panencephalitis</w:t>
      </w:r>
      <w:r>
        <w:rPr>
          <w:i/>
          <w:iCs/>
        </w:rPr>
        <w:t>,</w:t>
      </w:r>
      <w:r>
        <w:t xml:space="preserve"> SSPE) es una rara degeneración del sistema nervioso central que se caracteriza por deterioro conductual e intelectual y convulsiones que aparecen años después de la infección original; es resultado de la persistencia de la infección por el virus del sarampión. La vacunación amplia contra la enfermedad ha hecho que prácticamente desaparezcan los casos de SSPE en Estados Unidos. </w:t>
      </w:r>
      <w:r>
        <w:rPr>
          <w:b/>
          <w:bCs/>
        </w:rPr>
        <w:t>C</w:t>
      </w:r>
      <w:r>
        <w:rPr>
          <w:b/>
          <w:bCs/>
          <w:sz w:val="13"/>
          <w:szCs w:val="13"/>
        </w:rPr>
        <w:t>AUSAS</w:t>
      </w:r>
      <w:r>
        <w:rPr>
          <w:b/>
          <w:bCs/>
        </w:rPr>
        <w:t xml:space="preserve">: </w:t>
      </w:r>
      <w:r>
        <w:t xml:space="preserve">La partícula que causa el sarampión es un virus de RNA con un serotipo; se le ha clasificado como miembro del género </w:t>
      </w:r>
      <w:r>
        <w:rPr>
          <w:rFonts w:ascii="Times New Roman" w:eastAsia="Times New Roman" w:hAnsi="Times New Roman" w:cs="Times New Roman"/>
          <w:i/>
          <w:iCs/>
          <w:sz w:val="16"/>
          <w:szCs w:val="16"/>
        </w:rPr>
        <w:t>Morbillivirus</w:t>
      </w:r>
      <w:r>
        <w:t xml:space="preserve"> en la familia Paramyxoviridae. </w:t>
      </w:r>
      <w:r>
        <w:rPr>
          <w:b/>
          <w:bCs/>
        </w:rPr>
        <w:t>A</w:t>
      </w:r>
      <w:r>
        <w:rPr>
          <w:b/>
          <w:bCs/>
          <w:sz w:val="13"/>
          <w:szCs w:val="13"/>
        </w:rPr>
        <w:t>SPECTOS EPIDEMIOLÓGICOS</w:t>
      </w:r>
      <w:r>
        <w:rPr>
          <w:b/>
          <w:bCs/>
        </w:rPr>
        <w:t xml:space="preserve">: </w:t>
      </w:r>
      <w:r>
        <w:t>Los hospedadores naturales únicos del virus del sarampión son los seres humanos. La infección se transmite por contacto directo con gotículas infectantes y, con menor frecuencia, por vía aerófora. En zonas templadas, la incidencia máxima del padecimiento suele observarse a finales del invierno y en la primavera. Antes de contar con la vacuna casi todos los casos de sarampión en Estados Unidos se producían en preescolares y escolares de corta edad, y pocas personas permanecían susceptibles a los 20 años. El programa de vacunación de niños y adolescentes en el país mencionado originó una disminución mayor de 99% en la incidencia notificada de sarampión desde que se aprobó por primera vez la vacuna antisarampionosa en 1963.</w:t>
      </w:r>
    </w:p>
    <w:p w14:paraId="1D203D5E" w14:textId="77777777" w:rsidR="00D03C17" w:rsidRDefault="00D03C17">
      <w:pPr>
        <w:pStyle w:val="BodyText"/>
        <w:ind w:firstLine="360"/>
      </w:pPr>
      <w:r>
        <w:t>De 1989 a 1991 aumentó la incidencia de la enfermedad en Estados Unidos por los bajos índices de vacunaciones en preescolares, particularmente en áreas urbanas. Desde 1992 ha sido pequeña la incidencia de la enfermedad en ese país (menos de 1 000 casos notificados al año) y pocas veces hay casos propios. Subsiste la aparición de la enfermedad por la importación del virus, de otros países. Se considera que un caso es importado si la erupción comienza en término de 18 días de haberse internado la persona a Estados Unidos y no se puede atribuir la enfermedad a transmisión local.</w:t>
      </w:r>
    </w:p>
    <w:p w14:paraId="78DF13AA" w14:textId="77777777" w:rsidR="00D03C17" w:rsidRDefault="00D03C17">
      <w:pPr>
        <w:pStyle w:val="BodyText"/>
        <w:ind w:firstLine="360"/>
      </w:pPr>
      <w:r>
        <w:t>La ineficacia de la vacuna surge incluso en 5% de personas que han recibido una sola dosis de la misma a los 12 meses de vida o más. A pesar de que en algunos casos pudiera depender de la inmunidad cada vez más débil después de la vacunación, al parecer muchos de los casos del trastorno en niños ya vacunados surgen en personas en que fue inadecuada la respuesta a la vacuna (ineficacia primaria).</w:t>
      </w:r>
    </w:p>
    <w:p w14:paraId="21025CC4" w14:textId="77777777" w:rsidR="00D03C17" w:rsidRDefault="00D03C17">
      <w:pPr>
        <w:pStyle w:val="BodyText"/>
        <w:ind w:firstLine="360"/>
      </w:pPr>
      <w:r>
        <w:t>Los pacientes son contagiosos uno a dos días antes de que comiencen los síntomas (tres a cinco días antes de la erupción), a cuatro días después de que surge esta última. Los enfermos inmunodeficientes tal vez muestren excreción duradera del virus en las secreciones de aparato respiratorio y pueden ser contagiosos durante todo el tiempo que dure su enfermedad. Los sujetos con la panencefalitis esclerosante subaguda no son contagiosos.</w:t>
      </w:r>
    </w:p>
    <w:p w14:paraId="72AD965A" w14:textId="77777777" w:rsidR="00D03C17" w:rsidRDefault="00D03C17">
      <w:pPr>
        <w:pStyle w:val="BodyText"/>
        <w:ind w:firstLine="360"/>
      </w:pPr>
      <w:r>
        <w:t xml:space="preserve">El </w:t>
      </w:r>
      <w:r>
        <w:rPr>
          <w:b/>
          <w:bCs/>
        </w:rPr>
        <w:t xml:space="preserve">periodo de incubación </w:t>
      </w:r>
      <w:r>
        <w:t>por lo común es de ocho a 12 días desde la exposición hasta el comienzo de los síntomas. En estudios hechos en familias el intervalo promedio desde que aparece la erupción en el caso original y los demás pacientes infectados es de 14 días, con límites de siete a 18 días. En SSPE, el periodo medio de incubación de 84 casos notificados entre 1976 y 1983 fue de 10.8 años.</w:t>
      </w:r>
    </w:p>
    <w:p w14:paraId="086E0205" w14:textId="77777777" w:rsidR="00D03C17" w:rsidRDefault="00D03C17">
      <w:pPr>
        <w:pStyle w:val="BodyText"/>
        <w:ind w:firstLine="0"/>
      </w:pPr>
      <w:r>
        <w:rPr>
          <w:b/>
          <w:bCs/>
        </w:rPr>
        <w:t>M</w:t>
      </w:r>
      <w:r>
        <w:rPr>
          <w:b/>
          <w:bCs/>
          <w:sz w:val="13"/>
          <w:szCs w:val="13"/>
        </w:rPr>
        <w:t>ÉTODOS DIAGNÓSTICOS</w:t>
      </w:r>
      <w:r>
        <w:rPr>
          <w:b/>
          <w:bCs/>
        </w:rPr>
        <w:t xml:space="preserve">: </w:t>
      </w:r>
      <w:r>
        <w:t xml:space="preserve">La infección por virus de sarampión puede diagnosticarse por el resultado positivo de un método serológico que detecte la inmunoglobulina M (IgM) antisarampionosa, por un incremento significativo de la concentración de IgG en pares de muestras de suero de fase aguda y de convalecencia por cualquier método serológico estándar o al identificar el virus de muestras clínicas como serían orina, sangre o secreciones nasofaríngeas. En Estados Unidos, el laboratorio de sanidad estatal o el </w:t>
      </w:r>
      <w:r>
        <w:rPr>
          <w:rFonts w:ascii="Times New Roman" w:eastAsia="Times New Roman" w:hAnsi="Times New Roman" w:cs="Times New Roman"/>
          <w:i/>
          <w:iCs/>
          <w:sz w:val="16"/>
          <w:szCs w:val="16"/>
        </w:rPr>
        <w:t>Centers for Diasease Control and Prevention Measles Laboratory</w:t>
      </w:r>
      <w:r>
        <w:t xml:space="preserve"> será el encargado de estudiar estas muestras en busca de virus. El método más sencillo para confirmar el diagnóstico de sarampión es la búsqueda de anticuerpo IgM en una sola muestra de suero obtenida en el primer encuentro con la persona en quien se sospecha la enfermedad. La sensibilidad de las cuantificaciones del IgM en el sarampión varía y puede disminuir en las primeras 72 h de haber comenzado la erupción. Si no se detecta la inmunoglobulina M contra sarampión y el niño tiene una erupción generalizada que ha durado más de 72 h, habrá que repetir la prueba para valorar dicha inmunoglobulina. Esta última es detectable durante un mes, como mínimo, de haber comenzado la erupción. Hay que buscar rubéola en las mismas muestras a todo niño con una erupción febril que en su suero no tiene IgM contra sarampión. La genotipificación de los virus aislados muestra identificación de los perfiles de importación y transmisión. Es necesario notificar inmediatamente todos los casos de sospecha de sarampión a los departamentos sanitarios locales y estatales sin esperar los resultados de los métodos diagnósticos.</w:t>
      </w:r>
    </w:p>
    <w:p w14:paraId="7F502F16" w14:textId="77777777" w:rsidR="00D03C17" w:rsidRDefault="00D03C17">
      <w:pPr>
        <w:pStyle w:val="BodyText"/>
        <w:ind w:firstLine="0"/>
      </w:pPr>
      <w:r>
        <w:rPr>
          <w:b/>
          <w:bCs/>
        </w:rPr>
        <w:t>T</w:t>
      </w:r>
      <w:r>
        <w:rPr>
          <w:b/>
          <w:bCs/>
          <w:sz w:val="13"/>
          <w:szCs w:val="13"/>
        </w:rPr>
        <w:t>RATAMIENTO</w:t>
      </w:r>
      <w:r>
        <w:rPr>
          <w:b/>
          <w:bCs/>
        </w:rPr>
        <w:t xml:space="preserve">: </w:t>
      </w:r>
      <w:r>
        <w:t xml:space="preserve">No se cuenta con un tratamiento antivírico específico. </w:t>
      </w:r>
      <w:r>
        <w:rPr>
          <w:rFonts w:ascii="Times New Roman" w:eastAsia="Times New Roman" w:hAnsi="Times New Roman" w:cs="Times New Roman"/>
          <w:i/>
          <w:iCs/>
          <w:sz w:val="16"/>
          <w:szCs w:val="16"/>
        </w:rPr>
        <w:t>In vitro</w:t>
      </w:r>
      <w:r>
        <w:t xml:space="preserve"> el virus del sarampión es susceptible a la ribavirina, que puede aplicarse por vías intravenosa y de aerosol para tratar a niños gravemente afectados e inmunodeficientes que padecen la enfermedad. Sin embargo, no se han realizado estudios comparativos, y en Estados Unidos la </w:t>
      </w:r>
      <w:r>
        <w:rPr>
          <w:rFonts w:ascii="Times New Roman" w:eastAsia="Times New Roman" w:hAnsi="Times New Roman" w:cs="Times New Roman"/>
          <w:i/>
          <w:iCs/>
          <w:sz w:val="16"/>
          <w:szCs w:val="16"/>
        </w:rPr>
        <w:t>Food and Drug Administration</w:t>
      </w:r>
      <w:r>
        <w:t xml:space="preserve"> no ha aprobado el uso de dicho antivírico para tratar el sarampión.</w:t>
      </w:r>
    </w:p>
    <w:p w14:paraId="422B64D0" w14:textId="77777777" w:rsidR="00D03C17" w:rsidRDefault="00D03C17">
      <w:pPr>
        <w:pStyle w:val="BodyText"/>
        <w:spacing w:line="302" w:lineRule="auto"/>
        <w:ind w:firstLine="360"/>
      </w:pPr>
      <w:r>
        <w:rPr>
          <w:rFonts w:ascii="Arial" w:eastAsia="Arial" w:hAnsi="Arial" w:cs="Arial"/>
          <w:b/>
          <w:bCs/>
          <w:i/>
          <w:iCs/>
          <w:sz w:val="15"/>
          <w:szCs w:val="15"/>
        </w:rPr>
        <w:t>Vitamina A.</w:t>
      </w:r>
      <w:r>
        <w:t xml:space="preserve"> La Organización Mundial de la Salud y el </w:t>
      </w:r>
      <w:r>
        <w:rPr>
          <w:rFonts w:ascii="Times New Roman" w:eastAsia="Times New Roman" w:hAnsi="Times New Roman" w:cs="Times New Roman"/>
          <w:i/>
          <w:iCs/>
          <w:sz w:val="16"/>
          <w:szCs w:val="16"/>
        </w:rPr>
        <w:t>United Nations International Children’s Emergency Fund</w:t>
      </w:r>
      <w:r>
        <w:t xml:space="preserve"> recomiendan administrar vitamina A a todo niño con el diagnóstico de sarampión en comunidades en que un problema reconocido es la hipovitaminosis A, o si el índice de letalidad por sarampión es de 1% o mayor. El tratamiento con la vitamina en niños con sarampión en países en desarrollo se ha vinculado con disminución de las cifras de morbilidad y mortalidad. En Estados Unidos la hipovitaminosis A no es un problema importante, pero en niños con sarampión grave se han detectado concentraciones séricas bajas de la vitamina. Por consiguiente, habrá que pensar en la suplementación con ella en los pacientes siguientes:</w:t>
      </w:r>
    </w:p>
    <w:p w14:paraId="15C7694A" w14:textId="77777777" w:rsidR="00D03C17" w:rsidRDefault="00D03C17">
      <w:pPr>
        <w:pStyle w:val="BodyText"/>
        <w:numPr>
          <w:ilvl w:val="0"/>
          <w:numId w:val="80"/>
        </w:numPr>
        <w:tabs>
          <w:tab w:val="left" w:pos="340"/>
        </w:tabs>
        <w:ind w:left="360" w:hanging="360"/>
      </w:pPr>
      <w:bookmarkStart w:id="18" w:name="bookmark1044"/>
      <w:bookmarkEnd w:id="18"/>
      <w:r>
        <w:t>Niños de seis meses a dos años hospitalizados por sarampión y sus complicaciones (laringotraqueobronquitis, neumonía y diarrea). Son escasos los datos de la inocuidad y la necesidad de la vitamina A suplementaria en niños menores de seis meses.</w:t>
      </w:r>
    </w:p>
    <w:p w14:paraId="1E1EFAAD" w14:textId="77777777" w:rsidR="00D03C17" w:rsidRDefault="00D03C17">
      <w:pPr>
        <w:pStyle w:val="BodyText"/>
        <w:numPr>
          <w:ilvl w:val="0"/>
          <w:numId w:val="80"/>
        </w:numPr>
        <w:tabs>
          <w:tab w:val="left" w:pos="340"/>
        </w:tabs>
        <w:ind w:left="360" w:hanging="360"/>
      </w:pPr>
      <w:bookmarkStart w:id="19" w:name="bookmark1045"/>
      <w:bookmarkEnd w:id="19"/>
      <w:r>
        <w:t>Los niños que tienen más de seis meses, que sufren sarampión y que no recibieron previamente la suplementación de la vitamina o que poseen alguno de los factores de riesgo siguientes: inmunodeficiencia, signos clínicos de hipovitaminosis A, menor absorción intestinal, malnutrición moderada grave y haber llegado recientemente como migrante de zonas en que se han observado índices altos de mortalidad atribuibles al sarampión. En Estados Unidos se cuenta con presentaciones parenteral y oral de la vitamina.</w:t>
      </w:r>
    </w:p>
    <w:p w14:paraId="25837A91" w14:textId="77777777" w:rsidR="00D03C17" w:rsidRDefault="00D03C17">
      <w:pPr>
        <w:pStyle w:val="BodyText"/>
        <w:ind w:firstLine="0"/>
      </w:pPr>
      <w:r>
        <w:t>La dosis recomendada, presentada en cápsulas es:</w:t>
      </w:r>
    </w:p>
    <w:p w14:paraId="4001DD99" w14:textId="77777777" w:rsidR="00D03C17" w:rsidRDefault="00D03C17">
      <w:pPr>
        <w:pStyle w:val="BodyText"/>
        <w:numPr>
          <w:ilvl w:val="0"/>
          <w:numId w:val="80"/>
        </w:numPr>
        <w:tabs>
          <w:tab w:val="left" w:pos="340"/>
        </w:tabs>
        <w:ind w:firstLine="0"/>
      </w:pPr>
      <w:bookmarkStart w:id="20" w:name="bookmark1046"/>
      <w:bookmarkEnd w:id="20"/>
      <w:r>
        <w:t>Dosis única de 200 000 UI ingeribles para niños de un año y mayores (100 000</w:t>
      </w:r>
    </w:p>
    <w:p w14:paraId="229F1704" w14:textId="77777777" w:rsidR="00D03C17" w:rsidRDefault="00D03C17">
      <w:pPr>
        <w:pStyle w:val="BodyText"/>
        <w:ind w:firstLine="360"/>
      </w:pPr>
      <w:r>
        <w:t>UI para niños de seis meses a un año).</w:t>
      </w:r>
    </w:p>
    <w:p w14:paraId="4C42C586" w14:textId="77777777" w:rsidR="00D03C17" w:rsidRDefault="00D03C17">
      <w:pPr>
        <w:pStyle w:val="BodyText"/>
        <w:numPr>
          <w:ilvl w:val="0"/>
          <w:numId w:val="80"/>
        </w:numPr>
        <w:tabs>
          <w:tab w:val="left" w:pos="340"/>
        </w:tabs>
        <w:ind w:left="360" w:hanging="360"/>
      </w:pPr>
      <w:bookmarkStart w:id="21" w:name="bookmark1047"/>
      <w:bookmarkEnd w:id="21"/>
      <w:r>
        <w:t>La dosis debe repetirse al día siguiente y cuatro semanas después en el caso de menores con signos oftalmológicos de hipovitaminosis A.</w:t>
      </w:r>
    </w:p>
    <w:p w14:paraId="38A0940D" w14:textId="77777777" w:rsidR="00D03C17" w:rsidRDefault="00D03C17">
      <w:pPr>
        <w:pStyle w:val="BodyText"/>
        <w:ind w:firstLine="0"/>
      </w:pPr>
      <w:r>
        <w:rPr>
          <w:b/>
          <w:bCs/>
        </w:rPr>
        <w:t>A</w:t>
      </w:r>
      <w:r>
        <w:rPr>
          <w:b/>
          <w:bCs/>
          <w:sz w:val="13"/>
          <w:szCs w:val="13"/>
        </w:rPr>
        <w:t xml:space="preserve">ISLAMIENTO </w:t>
      </w:r>
      <w:r>
        <w:rPr>
          <w:b/>
          <w:bCs/>
          <w:smallCaps/>
          <w:sz w:val="16"/>
          <w:szCs w:val="16"/>
        </w:rPr>
        <w:t>del</w:t>
      </w:r>
      <w:r>
        <w:rPr>
          <w:b/>
          <w:bCs/>
          <w:sz w:val="13"/>
          <w:szCs w:val="13"/>
        </w:rPr>
        <w:t xml:space="preserve"> PACIENTE HOSPITALIZADO</w:t>
      </w:r>
      <w:r>
        <w:rPr>
          <w:b/>
          <w:bCs/>
        </w:rPr>
        <w:t xml:space="preserve">: </w:t>
      </w:r>
      <w:r>
        <w:t>Además de las precauciones estándar conviene seguir las precauciones para evitar la transmisión aerófora durante cuatro días después de comenzar la erupción en niños por lo demás sanos, y todo el tiempo que dura la enfermedad en niños inmunodeficientes.</w:t>
      </w:r>
    </w:p>
    <w:p w14:paraId="035C7F8F" w14:textId="77777777" w:rsidR="00D03C17" w:rsidRDefault="00D03C17">
      <w:pPr>
        <w:pStyle w:val="Other0"/>
        <w:spacing w:line="257" w:lineRule="auto"/>
        <w:ind w:firstLine="0"/>
        <w:rPr>
          <w:sz w:val="20"/>
          <w:szCs w:val="20"/>
        </w:rPr>
      </w:pPr>
      <w:r>
        <w:rPr>
          <w:b/>
          <w:bCs/>
          <w:smallCaps/>
          <w:sz w:val="20"/>
          <w:szCs w:val="20"/>
        </w:rPr>
        <w:t>M</w:t>
      </w:r>
      <w:r>
        <w:rPr>
          <w:b/>
          <w:bCs/>
          <w:smallCaps/>
          <w:sz w:val="16"/>
          <w:szCs w:val="16"/>
        </w:rPr>
        <w:t>edidas preventivas</w:t>
      </w:r>
      <w:r>
        <w:rPr>
          <w:b/>
          <w:bCs/>
          <w:smallCaps/>
          <w:sz w:val="20"/>
          <w:szCs w:val="20"/>
        </w:rPr>
        <w:t>:</w:t>
      </w:r>
    </w:p>
    <w:p w14:paraId="0E963358" w14:textId="77777777" w:rsidR="00D03C17" w:rsidRDefault="00D03C17">
      <w:pPr>
        <w:pStyle w:val="Bodytext80"/>
        <w:spacing w:line="334" w:lineRule="auto"/>
        <w:rPr>
          <w:sz w:val="15"/>
          <w:szCs w:val="15"/>
        </w:rPr>
      </w:pPr>
      <w:r>
        <w:rPr>
          <w:b/>
          <w:bCs/>
          <w:i/>
          <w:iCs/>
          <w:sz w:val="15"/>
          <w:szCs w:val="15"/>
        </w:rPr>
        <w:t>Cuidado de personas expuestas</w:t>
      </w:r>
    </w:p>
    <w:p w14:paraId="333C78C2" w14:textId="77777777" w:rsidR="00D03C17" w:rsidRDefault="00D03C17">
      <w:pPr>
        <w:pStyle w:val="BodyText"/>
        <w:spacing w:line="276" w:lineRule="auto"/>
        <w:ind w:firstLine="0"/>
      </w:pPr>
      <w:r>
        <w:rPr>
          <w:rFonts w:ascii="Times New Roman" w:eastAsia="Times New Roman" w:hAnsi="Times New Roman" w:cs="Times New Roman"/>
          <w:b/>
          <w:bCs/>
          <w:i/>
          <w:iCs/>
          <w:sz w:val="16"/>
          <w:szCs w:val="16"/>
        </w:rPr>
        <w:t>Uso de vacuna.</w:t>
      </w:r>
      <w:r>
        <w:t xml:space="preserve"> La exposición al sarampión no constituye contraindicación alguna para la vacunación. Los datos publicados sugieren que la vacuna con virus vivo del sarampión, si se administra en término de 72 h de la exposición a la enfermedad, brindará protección en algunos casos. Si la exposición no culmina en infección, la vacuna debe inducir protección contra nuevas exposiciones a la enfermedad. La vacunación es la intervención más indicada para erradicar los brotes de la enfermedad en escuelas y centros de atención pediátrica.</w:t>
      </w:r>
    </w:p>
    <w:p w14:paraId="31F17063" w14:textId="77777777" w:rsidR="00D03C17" w:rsidRDefault="00D03C17">
      <w:pPr>
        <w:pStyle w:val="BodyText"/>
        <w:spacing w:line="276" w:lineRule="auto"/>
        <w:ind w:firstLine="360"/>
      </w:pPr>
      <w:r>
        <w:rPr>
          <w:rFonts w:ascii="Times New Roman" w:eastAsia="Times New Roman" w:hAnsi="Times New Roman" w:cs="Times New Roman"/>
          <w:b/>
          <w:bCs/>
          <w:i/>
          <w:iCs/>
          <w:sz w:val="16"/>
          <w:szCs w:val="16"/>
        </w:rPr>
        <w:t>Uso de concentrado inmunoglobulínico.</w:t>
      </w:r>
      <w:r>
        <w:t xml:space="preserve"> Puede administrarse el concentrado mencionado (IG) para evitar o modificar el sarampión en una persona susceptible, en término de seis días de exposición. La dosis recomendada usual es de 0.25 ml/kg por vía intramuscular; los niños inmunodeficientes deben recibir 0.5 ml/kg (la dosis máxima en ambos casos es de 15 ml). El concentrado inmunoglobulínico está indicado en contactos susceptibles del círculo familiar de pacientes con sarampión, en particular quienes tienen menos de un año de vida, embarazadas y personas inmunodeficientes en quienes es máximo el riesgo de complicaciones. No está indicado el concentrado para contactos del círculo familiar que han recibido una dosis de la vacuna a los 12 meses de vida o más, salvo que muestren inmunodeficiencia.</w:t>
      </w:r>
    </w:p>
    <w:p w14:paraId="16714B80" w14:textId="77777777" w:rsidR="00D03C17" w:rsidRDefault="00D03C17">
      <w:pPr>
        <w:pStyle w:val="BodyText"/>
        <w:ind w:firstLine="360"/>
      </w:pPr>
      <w:r>
        <w:t>Los preparados del concentrado inmunoglobulínico intravenoso (IGIV) por lo común contienen anticuerpos contra sarampión en la misma concentración (aproximada) por gramo de proteína en la forma de inmunoglobulina, aunque la concentración puede variar con los lotes y el fabricante. En el caso de niños que reciben regularmente IGIV, la dosis usual de 100 a 400 mg/kg debe ser adecuada para la profilaxia antisarampionosa después de exposiciones que ocurrieron en término de tres semanas de recibir el concentrado inmunoglobulínico intravenoso.</w:t>
      </w:r>
    </w:p>
    <w:p w14:paraId="136A368F" w14:textId="77777777" w:rsidR="00D03C17" w:rsidRDefault="00D03C17">
      <w:pPr>
        <w:pStyle w:val="BodyText"/>
        <w:ind w:firstLine="360"/>
      </w:pPr>
      <w:r>
        <w:t>En el caso de niños que reciben IG para modificar o evitar el sarampión después de exposición, habrá que aplicar la vacuna antisarampionosa (si no está contraindicada) cinco meses (si la dosis fue de 0.25 ml/kg) o seis meses (si la dosis fue de 0.5 ml/kg) después de administrar IG, a condición de que el niño tenga como mínimo 12 meses de vida. Se necesitan intervalos más largos después de usar dosis más grandes de IGIV (véase cuadro 3-62).</w:t>
      </w:r>
    </w:p>
    <w:p w14:paraId="6CBBC33E" w14:textId="77777777" w:rsidR="00D03C17" w:rsidRDefault="00D03C17">
      <w:pPr>
        <w:pStyle w:val="BodyText"/>
        <w:spacing w:line="276" w:lineRule="auto"/>
        <w:ind w:firstLine="360"/>
      </w:pPr>
      <w:r>
        <w:rPr>
          <w:rFonts w:ascii="Times New Roman" w:eastAsia="Times New Roman" w:hAnsi="Times New Roman" w:cs="Times New Roman"/>
          <w:b/>
          <w:bCs/>
          <w:i/>
          <w:iCs/>
          <w:sz w:val="16"/>
          <w:szCs w:val="16"/>
        </w:rPr>
        <w:t>Infección por VIH.</w:t>
      </w:r>
      <w:r>
        <w:rPr>
          <w:rFonts w:ascii="Times New Roman" w:eastAsia="Times New Roman" w:hAnsi="Times New Roman" w:cs="Times New Roman"/>
          <w:b/>
          <w:bCs/>
          <w:i/>
          <w:iCs/>
          <w:sz w:val="16"/>
          <w:szCs w:val="16"/>
        </w:rPr>
        <w:footnoteReference w:id="3"/>
      </w:r>
      <w:r>
        <w:t xml:space="preserve"> Deben recibir profilaxia con concentrado IG todos los niños y adolescentes con infección por VIH y menores del cual se desconoce el estado infectológico que nacieron de una madre infectada por dicho virus y que están expuestos al sarampión de tipo natural (0.5 ml/kg, IM, dosis máxima, 15 ml), independientemente de su estado vacunal o de inmunización (véase “Humana, infección por virus de inmunodeficiencia [VIH]” en esta sección). Una excepción sería el paciente que recibe IGIV (400 mg/kg) a intervalos regulares en quien se aplicó la última dosis en término de tres semanas de la exposición. Ante el metabolismo rápido de IGIV, algunos expertos recomiendan administrar una dosis complementaria de IGIV si la exposición al sarampión se produjo dos semanas o más después de la última dosis regular de inmunoglobulina intravenosa.</w:t>
      </w:r>
    </w:p>
    <w:p w14:paraId="7A3E23AC" w14:textId="77777777" w:rsidR="00D03C17" w:rsidRDefault="00D03C17">
      <w:pPr>
        <w:pStyle w:val="BodyText"/>
        <w:spacing w:line="276" w:lineRule="auto"/>
        <w:ind w:firstLine="360"/>
      </w:pPr>
      <w:r>
        <w:rPr>
          <w:rFonts w:ascii="Times New Roman" w:eastAsia="Times New Roman" w:hAnsi="Times New Roman" w:cs="Times New Roman"/>
          <w:b/>
          <w:bCs/>
          <w:i/>
          <w:iCs/>
          <w:sz w:val="16"/>
          <w:szCs w:val="16"/>
        </w:rPr>
        <w:t>Personal de hospital.</w:t>
      </w:r>
      <w:r>
        <w:t xml:space="preserve"> Para disminuir la frecuencia de infección nosocomial hay que establecer programas de vacunación que aseguren que los profesionales asistenciales que pudieran estar en contacto con pacientes sarampionosos estén inmunes a la enfermedad (véase “Personal asistencial”, sección 1).</w:t>
      </w:r>
    </w:p>
    <w:p w14:paraId="3CEB6AF5" w14:textId="77777777" w:rsidR="00D03C17" w:rsidRDefault="00D03C17">
      <w:pPr>
        <w:pStyle w:val="BodyText"/>
        <w:spacing w:line="276" w:lineRule="auto"/>
        <w:ind w:firstLine="360"/>
      </w:pPr>
      <w:r>
        <w:rPr>
          <w:rFonts w:ascii="Arial" w:eastAsia="Arial" w:hAnsi="Arial" w:cs="Arial"/>
          <w:b/>
          <w:bCs/>
          <w:i/>
          <w:iCs/>
          <w:sz w:val="15"/>
          <w:szCs w:val="15"/>
        </w:rPr>
        <w:t>Vacuna antisarampionosa</w:t>
      </w:r>
      <w:r>
        <w:rPr>
          <w:i/>
          <w:iCs/>
        </w:rPr>
        <w:t>.</w:t>
      </w:r>
      <w:r>
        <w:t xml:space="preserve"> El único preparado de este tipo aprobado en Estados Unidos es una vacuna de una cepa de virus vivos más atenuados preparada en embriones de pollo en cultivo. Las vacunas contra el sarampión distribuidas por el Programa Expandido de Vacunación en países en desarrollo cumplen con las normas de la Organización Mundial de la Salud y suelen ser similares a la vacuna que se distribuye en Estados Unidos. La vacuna en cuestión se distribuye en una presentación monovalente (sólo contra el sarampión) y en mezclas o combinaciones como el caso de las vacunas de sarampión-rubéola </w:t>
      </w:r>
      <w:r>
        <w:rPr>
          <w:i/>
          <w:iCs/>
        </w:rPr>
        <w:t>(</w:t>
      </w:r>
      <w:r>
        <w:rPr>
          <w:rFonts w:ascii="Times New Roman" w:eastAsia="Times New Roman" w:hAnsi="Times New Roman" w:cs="Times New Roman"/>
          <w:i/>
          <w:iCs/>
          <w:sz w:val="16"/>
          <w:szCs w:val="16"/>
        </w:rPr>
        <w:t>measles-rubella</w:t>
      </w:r>
      <w:r>
        <w:rPr>
          <w:i/>
          <w:iCs/>
        </w:rPr>
        <w:t>,</w:t>
      </w:r>
      <w:r>
        <w:t xml:space="preserve"> MR) y sarampión-parotiditis- rubéola o triple </w:t>
      </w:r>
      <w:r>
        <w:rPr>
          <w:i/>
          <w:iCs/>
        </w:rPr>
        <w:t>(</w:t>
      </w:r>
      <w:r>
        <w:rPr>
          <w:rFonts w:ascii="Times New Roman" w:eastAsia="Times New Roman" w:hAnsi="Times New Roman" w:cs="Times New Roman"/>
          <w:i/>
          <w:iCs/>
          <w:sz w:val="16"/>
          <w:szCs w:val="16"/>
        </w:rPr>
        <w:t>measles-mumps-rubella</w:t>
      </w:r>
      <w:r>
        <w:rPr>
          <w:i/>
          <w:iCs/>
        </w:rPr>
        <w:t>,</w:t>
      </w:r>
      <w:r>
        <w:t xml:space="preserve"> MMR). Esta última vacuna es el producto recomendado en casi todas las circunstancias. La vacuna (mixta o como producto monovalente) en una dosis de 0.5 ml se aplica por vía subcutánea. Es posible aplicar simultáneamente las vacunas antisarampionosa y alguna mixta que contenga la fracción mencionada junto con otras vacunas en una jeringuilla separada y en un sitio distinto (véase “Administración simultánea de múltiples vacunas”, sección 1).</w:t>
      </w:r>
    </w:p>
    <w:p w14:paraId="2E72FB04" w14:textId="77777777" w:rsidR="00D03C17" w:rsidRDefault="00D03C17">
      <w:pPr>
        <w:pStyle w:val="BodyText"/>
        <w:ind w:firstLine="360"/>
      </w:pPr>
      <w:r>
        <w:t>En alrededor de 95% de los niños vacunados a los 12 meses de edad y en 98% de los vacunados a los 15 meses de vida aparecen anticuerpos séricos contra el sarampión. La protección que confiere una sola dosis es duradera en casi todos los que la reciben. Sin embargo, una fracción pequeña de personas vacunadas pueden perder la protección después de varios años. Más de 99% de personas que han recibido dos dosis con una diferencia mínima de un mes (cuatro semanas) y la primera dosis se aplicó al cumplir</w:t>
      </w:r>
      <w:r>
        <w:br w:type="page"/>
      </w:r>
    </w:p>
    <w:p w14:paraId="0C14A345" w14:textId="77777777" w:rsidR="00D03C17" w:rsidRDefault="00D03C17">
      <w:pPr>
        <w:pStyle w:val="Heading31"/>
        <w:keepNext/>
        <w:keepLines/>
        <w:spacing w:after="40" w:line="214" w:lineRule="auto"/>
        <w:jc w:val="center"/>
      </w:pPr>
      <w:bookmarkStart w:id="22" w:name="bookmark1048"/>
      <w:bookmarkStart w:id="23" w:name="bookmark1049"/>
      <w:bookmarkStart w:id="24" w:name="bookmark1050"/>
      <w:r>
        <w:rPr>
          <w:b w:val="0"/>
          <w:bCs w:val="0"/>
        </w:rPr>
        <w:t xml:space="preserve">Cuadro 3-62. </w:t>
      </w:r>
      <w:r>
        <w:t>Intervalos sugeridos entre la aplicación de concentrado</w:t>
      </w:r>
      <w:r>
        <w:br/>
        <w:t>inmunoglobulínico y la vacuna antisarampionosa</w:t>
      </w:r>
      <w:r>
        <w:br/>
        <w:t>(triple o vacuna monovalente)</w:t>
      </w:r>
      <w:bookmarkEnd w:id="22"/>
      <w:bookmarkEnd w:id="23"/>
      <w:bookmarkEnd w:id="24"/>
    </w:p>
    <w:p w14:paraId="0EC8473D" w14:textId="77777777" w:rsidR="00D03C17" w:rsidRDefault="00D03C17">
      <w:pPr>
        <w:pStyle w:val="Other0"/>
        <w:pBdr>
          <w:top w:val="single" w:sz="0" w:space="0" w:color="231F20"/>
          <w:left w:val="single" w:sz="0" w:space="0" w:color="231F20"/>
          <w:bottom w:val="single" w:sz="0" w:space="3" w:color="231F20"/>
          <w:right w:val="single" w:sz="0" w:space="0" w:color="231F20"/>
        </w:pBdr>
        <w:shd w:val="clear" w:color="auto" w:fill="231F20"/>
        <w:tabs>
          <w:tab w:val="left" w:leader="underscore" w:pos="3991"/>
          <w:tab w:val="left" w:leader="underscore" w:pos="5738"/>
        </w:tabs>
        <w:spacing w:line="202" w:lineRule="auto"/>
        <w:ind w:left="3180" w:firstLine="0"/>
        <w:rPr>
          <w:sz w:val="24"/>
          <w:szCs w:val="24"/>
        </w:rPr>
      </w:pPr>
      <w:r>
        <w:rPr>
          <w:rFonts w:ascii="Arial" w:eastAsia="Arial" w:hAnsi="Arial" w:cs="Arial"/>
          <w:b/>
          <w:bCs/>
          <w:color w:val="FFFFFF"/>
          <w:w w:val="70"/>
          <w:sz w:val="24"/>
          <w:szCs w:val="24"/>
          <w:u w:val="single"/>
        </w:rPr>
        <w:tab/>
        <w:t>Dosis</w:t>
      </w:r>
      <w:r>
        <w:rPr>
          <w:rFonts w:ascii="Arial" w:eastAsia="Arial" w:hAnsi="Arial" w:cs="Arial"/>
          <w:b/>
          <w:bCs/>
          <w:color w:val="FFFFFF"/>
          <w:w w:val="70"/>
          <w:sz w:val="24"/>
          <w:szCs w:val="24"/>
          <w:u w:val="single"/>
        </w:rPr>
        <w:tab/>
      </w:r>
    </w:p>
    <w:p w14:paraId="3461B957" w14:textId="77777777" w:rsidR="00D03C17" w:rsidRDefault="00D03C17">
      <w:pPr>
        <w:pStyle w:val="Other0"/>
        <w:pBdr>
          <w:top w:val="single" w:sz="0" w:space="0" w:color="231F20"/>
          <w:left w:val="single" w:sz="0" w:space="0" w:color="231F20"/>
          <w:bottom w:val="single" w:sz="0" w:space="3" w:color="231F20"/>
          <w:right w:val="single" w:sz="0" w:space="0" w:color="231F20"/>
        </w:pBdr>
        <w:shd w:val="clear" w:color="auto" w:fill="231F20"/>
        <w:tabs>
          <w:tab w:val="left" w:pos="4315"/>
        </w:tabs>
        <w:spacing w:line="202" w:lineRule="auto"/>
        <w:ind w:left="360" w:firstLine="0"/>
        <w:rPr>
          <w:sz w:val="8"/>
          <w:szCs w:val="8"/>
        </w:rPr>
      </w:pPr>
      <w:r>
        <w:rPr>
          <w:rFonts w:ascii="Arial" w:eastAsia="Arial" w:hAnsi="Arial" w:cs="Arial"/>
          <w:b/>
          <w:bCs/>
          <w:color w:val="FFFFFF"/>
          <w:w w:val="70"/>
          <w:sz w:val="24"/>
          <w:szCs w:val="24"/>
        </w:rPr>
        <w:t>Indicación Vía U o ml mg de IgG/kg Intervalo para</w:t>
      </w:r>
      <w:r>
        <w:rPr>
          <w:rFonts w:ascii="Arial" w:eastAsia="Arial" w:hAnsi="Arial" w:cs="Arial"/>
          <w:b/>
          <w:bCs/>
          <w:color w:val="FFFFFF"/>
          <w:w w:val="70"/>
          <w:sz w:val="24"/>
          <w:szCs w:val="24"/>
        </w:rPr>
        <w:tab/>
        <w:t>de peso en meses</w:t>
      </w:r>
      <w:r>
        <w:rPr>
          <w:rFonts w:ascii="Times New Roman" w:eastAsia="Times New Roman" w:hAnsi="Times New Roman" w:cs="Times New Roman"/>
          <w:color w:val="FFFFFF"/>
          <w:sz w:val="8"/>
          <w:szCs w:val="8"/>
          <w:vertAlign w:val="superscript"/>
        </w:rPr>
        <w:t>1</w:t>
      </w:r>
    </w:p>
    <w:p w14:paraId="241011B4" w14:textId="77777777" w:rsidR="00D03C17" w:rsidRDefault="00D03C17">
      <w:pPr>
        <w:pStyle w:val="Other0"/>
        <w:pBdr>
          <w:top w:val="single" w:sz="0" w:space="0" w:color="231F20"/>
          <w:left w:val="single" w:sz="0" w:space="0" w:color="231F20"/>
          <w:bottom w:val="single" w:sz="0" w:space="3" w:color="231F20"/>
          <w:right w:val="single" w:sz="0" w:space="0" w:color="231F20"/>
        </w:pBdr>
        <w:shd w:val="clear" w:color="auto" w:fill="231F20"/>
        <w:spacing w:line="202" w:lineRule="auto"/>
        <w:ind w:left="360" w:firstLine="0"/>
        <w:rPr>
          <w:sz w:val="24"/>
          <w:szCs w:val="24"/>
        </w:rPr>
      </w:pPr>
      <w:r>
        <w:rPr>
          <w:rFonts w:ascii="Arial" w:eastAsia="Arial" w:hAnsi="Arial" w:cs="Arial"/>
          <w:b/>
          <w:bCs/>
          <w:color w:val="FFFFFF"/>
          <w:w w:val="70"/>
          <w:sz w:val="24"/>
          <w:szCs w:val="24"/>
        </w:rPr>
        <w:t>utilizar el concentrado de inmunoglobulina</w:t>
      </w:r>
    </w:p>
    <w:p w14:paraId="1783EABA" w14:textId="77777777" w:rsidR="00D03C17" w:rsidRDefault="00D03C17">
      <w:pPr>
        <w:spacing w:line="1" w:lineRule="exact"/>
      </w:pPr>
      <w:r>
        <w:rPr>
          <w:noProof/>
        </w:rPr>
        <mc:AlternateContent>
          <mc:Choice Requires="wps">
            <w:drawing>
              <wp:anchor distT="0" distB="103505" distL="0" distR="0" simplePos="0" relativeHeight="251659264" behindDoc="0" locked="0" layoutInCell="1" allowOverlap="1" wp14:anchorId="1D965FD4" wp14:editId="2CE70CBA">
                <wp:simplePos x="0" y="0"/>
                <wp:positionH relativeFrom="page">
                  <wp:posOffset>745490</wp:posOffset>
                </wp:positionH>
                <wp:positionV relativeFrom="paragraph">
                  <wp:posOffset>0</wp:posOffset>
                </wp:positionV>
                <wp:extent cx="3502025" cy="411480"/>
                <wp:effectExtent l="0" t="0" r="0" b="0"/>
                <wp:wrapTopAndBottom/>
                <wp:docPr id="1270" name="Shape 1270"/>
                <wp:cNvGraphicFramePr/>
                <a:graphic xmlns:a="http://schemas.openxmlformats.org/drawingml/2006/main">
                  <a:graphicData uri="http://schemas.microsoft.com/office/word/2010/wordprocessingShape">
                    <wps:wsp>
                      <wps:cNvSpPr txBox="1"/>
                      <wps:spPr>
                        <a:xfrm>
                          <a:off x="0" y="0"/>
                          <a:ext cx="3502025" cy="411480"/>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2938"/>
                              <w:gridCol w:w="1896"/>
                              <w:gridCol w:w="682"/>
                            </w:tblGrid>
                            <w:tr w:rsidR="00D03C17" w14:paraId="4BB8D0B5" w14:textId="77777777">
                              <w:tblPrEx>
                                <w:tblCellMar>
                                  <w:top w:w="0" w:type="dxa"/>
                                  <w:bottom w:w="0" w:type="dxa"/>
                                </w:tblCellMar>
                              </w:tblPrEx>
                              <w:trPr>
                                <w:trHeight w:hRule="exact" w:val="216"/>
                                <w:tblHeader/>
                              </w:trPr>
                              <w:tc>
                                <w:tcPr>
                                  <w:tcW w:w="5516" w:type="dxa"/>
                                  <w:gridSpan w:val="3"/>
                                  <w:shd w:val="clear" w:color="auto" w:fill="FFFFFF"/>
                                  <w:vAlign w:val="bottom"/>
                                </w:tcPr>
                                <w:p w14:paraId="36789A00"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(por medio de IGIV)</w:t>
                                  </w:r>
                                </w:p>
                              </w:tc>
                            </w:tr>
                            <w:tr w:rsidR="00D03C17" w14:paraId="323B9778" w14:textId="77777777">
                              <w:tblPrEx>
                                <w:tblCellMar>
                                  <w:top w:w="0" w:type="dxa"/>
                                  <w:bottom w:w="0" w:type="dxa"/>
                                </w:tblCellMar>
                              </w:tblPrEx>
                              <w:trPr>
                                <w:trHeight w:hRule="exact" w:val="432"/>
                              </w:trPr>
                              <w:tc>
                                <w:tcPr>
                                  <w:tcW w:w="2938" w:type="dxa"/>
                                  <w:shd w:val="clear" w:color="auto" w:fill="FFFFFF"/>
                                  <w:vAlign w:val="bottom"/>
                                </w:tcPr>
                                <w:p w14:paraId="0C2BA060" w14:textId="77777777" w:rsidR="00D03C17" w:rsidRDefault="00D03C17">
                                  <w:pPr>
                                    <w:pStyle w:val="Other0"/>
                                    <w:tabs>
                                      <w:tab w:val="left" w:pos="1680"/>
                                      <w:tab w:val="left" w:pos="2818"/>
                                    </w:tabs>
                                    <w:spacing w:line="240" w:lineRule="auto"/>
                                    <w:ind w:firstLine="0"/>
                                    <w:rPr>
                                      <w:sz w:val="16"/>
                                      <w:szCs w:val="16"/>
                                    </w:rPr>
                                  </w:pPr>
                                  <w:r>
                                    <w:rPr>
                                      <w:rFonts w:ascii="Times New Roman" w:eastAsia="Times New Roman" w:hAnsi="Times New Roman" w:cs="Times New Roman"/>
                                      <w:sz w:val="16"/>
                                      <w:szCs w:val="16"/>
                                    </w:rPr>
                                    <w:t>ITP (por medio</w:t>
                                  </w:r>
                                  <w:r>
                                    <w:rPr>
                                      <w:rFonts w:ascii="Times New Roman" w:eastAsia="Times New Roman" w:hAnsi="Times New Roman" w:cs="Times New Roman"/>
                                      <w:sz w:val="16"/>
                                      <w:szCs w:val="16"/>
                                    </w:rPr>
                                    <w:tab/>
                                    <w:t>IV</w:t>
                                  </w:r>
                                  <w:r>
                                    <w:rPr>
                                      <w:rFonts w:ascii="Times New Roman" w:eastAsia="Times New Roman" w:hAnsi="Times New Roman" w:cs="Times New Roman"/>
                                      <w:sz w:val="16"/>
                                      <w:szCs w:val="16"/>
                                    </w:rPr>
                                    <w:tab/>
                                    <w:t>..</w:t>
                                  </w:r>
                                </w:p>
                                <w:p w14:paraId="00B43694"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de IGIV)</w:t>
                                  </w:r>
                                </w:p>
                              </w:tc>
                              <w:tc>
                                <w:tcPr>
                                  <w:tcW w:w="1896" w:type="dxa"/>
                                  <w:shd w:val="clear" w:color="auto" w:fill="FFFFFF"/>
                                </w:tcPr>
                                <w:p w14:paraId="1C9E8BFB" w14:textId="77777777" w:rsidR="00D03C17" w:rsidRDefault="00D03C17">
                                  <w:pPr>
                                    <w:pStyle w:val="Other0"/>
                                    <w:tabs>
                                      <w:tab w:val="left" w:pos="1051"/>
                                    </w:tabs>
                                    <w:spacing w:line="240" w:lineRule="auto"/>
                                    <w:ind w:firstLine="0"/>
                                    <w:rPr>
                                      <w:sz w:val="16"/>
                                      <w:szCs w:val="16"/>
                                    </w:rPr>
                                  </w:pPr>
                                  <w:r>
                                    <w:rPr>
                                      <w:rFonts w:ascii="Times New Roman" w:eastAsia="Times New Roman" w:hAnsi="Times New Roman" w:cs="Times New Roman"/>
                                      <w:sz w:val="16"/>
                                      <w:szCs w:val="16"/>
                                    </w:rPr>
                                    <w:t>.</w:t>
                                  </w:r>
                                  <w:r>
                                    <w:rPr>
                                      <w:rFonts w:ascii="Times New Roman" w:eastAsia="Times New Roman" w:hAnsi="Times New Roman" w:cs="Times New Roman"/>
                                      <w:sz w:val="16"/>
                                      <w:szCs w:val="16"/>
                                    </w:rPr>
                                    <w:tab/>
                                    <w:t>400</w:t>
                                  </w:r>
                                </w:p>
                              </w:tc>
                              <w:tc>
                                <w:tcPr>
                                  <w:tcW w:w="682" w:type="dxa"/>
                                  <w:shd w:val="clear" w:color="auto" w:fill="FFFFFF"/>
                                </w:tcPr>
                                <w:p w14:paraId="096CE937" w14:textId="77777777" w:rsidR="00D03C17" w:rsidRDefault="00D03C17">
                                  <w:pPr>
                                    <w:pStyle w:val="Other0"/>
                                    <w:spacing w:line="240" w:lineRule="auto"/>
                                    <w:ind w:firstLine="0"/>
                                    <w:jc w:val="right"/>
                                    <w:rPr>
                                      <w:sz w:val="16"/>
                                      <w:szCs w:val="16"/>
                                    </w:rPr>
                                  </w:pPr>
                                  <w:r>
                                    <w:rPr>
                                      <w:rFonts w:ascii="Times New Roman" w:eastAsia="Times New Roman" w:hAnsi="Times New Roman" w:cs="Times New Roman"/>
                                      <w:sz w:val="16"/>
                                      <w:szCs w:val="16"/>
                                    </w:rPr>
                                    <w:t>8</w:t>
                                  </w:r>
                                </w:p>
                              </w:tc>
                            </w:tr>
                          </w:tbl>
                          <w:p w14:paraId="332EA66E" w14:textId="77777777" w:rsidR="00D03C17" w:rsidRDefault="00D03C17">
                            <w:pPr>
                              <w:spacing w:line="1" w:lineRule="exact"/>
                            </w:pPr>
                          </w:p>
                        </w:txbxContent>
                      </wps:txbx>
                      <wps:bodyPr lIns="0" tIns="0" rIns="0" bIns="0"/>
                    </wps:wsp>
                  </a:graphicData>
                </a:graphic>
              </wp:anchor>
            </w:drawing>
          </mc:Choice>
          <mc:Fallback>
            <w:pict>
              <v:shapetype w14:anchorId="1D965FD4" id="_x0000_t202" coordsize="21600,21600" o:spt="202" path="m,l,21600r21600,l21600,xe">
                <v:stroke joinstyle="miter"/>
                <v:path gradientshapeok="t" o:connecttype="rect"/>
              </v:shapetype>
              <v:shape id="Shape 1270" o:spid="_x0000_s1026" type="#_x0000_t202" style="position:absolute;margin-left:58.7pt;margin-top:0;width:275.75pt;height:32.4pt;z-index:251659264;visibility:visible;mso-wrap-style:square;mso-wrap-distance-left:0;mso-wrap-distance-top:0;mso-wrap-distance-right:0;mso-wrap-distance-bottom:8.1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2938"/>
                        <w:gridCol w:w="1896"/>
                        <w:gridCol w:w="682"/>
                      </w:tblGrid>
                      <w:tr w:rsidR="00D03C17" w14:paraId="4BB8D0B5" w14:textId="77777777">
                        <w:tblPrEx>
                          <w:tblCellMar>
                            <w:top w:w="0" w:type="dxa"/>
                            <w:bottom w:w="0" w:type="dxa"/>
                          </w:tblCellMar>
                        </w:tblPrEx>
                        <w:trPr>
                          <w:trHeight w:hRule="exact" w:val="216"/>
                          <w:tblHeader/>
                        </w:trPr>
                        <w:tc>
                          <w:tcPr>
                            <w:tcW w:w="5516" w:type="dxa"/>
                            <w:gridSpan w:val="3"/>
                            <w:shd w:val="clear" w:color="auto" w:fill="FFFFFF"/>
                            <w:vAlign w:val="bottom"/>
                          </w:tcPr>
                          <w:p w14:paraId="36789A00"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(por medio de IGIV)</w:t>
                            </w:r>
                          </w:p>
                        </w:tc>
                      </w:tr>
                      <w:tr w:rsidR="00D03C17" w14:paraId="323B9778" w14:textId="77777777">
                        <w:tblPrEx>
                          <w:tblCellMar>
                            <w:top w:w="0" w:type="dxa"/>
                            <w:bottom w:w="0" w:type="dxa"/>
                          </w:tblCellMar>
                        </w:tblPrEx>
                        <w:trPr>
                          <w:trHeight w:hRule="exact" w:val="432"/>
                        </w:trPr>
                        <w:tc>
                          <w:tcPr>
                            <w:tcW w:w="2938" w:type="dxa"/>
                            <w:shd w:val="clear" w:color="auto" w:fill="FFFFFF"/>
                            <w:vAlign w:val="bottom"/>
                          </w:tcPr>
                          <w:p w14:paraId="0C2BA060" w14:textId="77777777" w:rsidR="00D03C17" w:rsidRDefault="00D03C17">
                            <w:pPr>
                              <w:pStyle w:val="Other0"/>
                              <w:tabs>
                                <w:tab w:val="left" w:pos="1680"/>
                                <w:tab w:val="left" w:pos="2818"/>
                              </w:tabs>
                              <w:spacing w:line="240" w:lineRule="auto"/>
                              <w:ind w:firstLine="0"/>
                              <w:rPr>
                                <w:sz w:val="16"/>
                                <w:szCs w:val="16"/>
                              </w:rPr>
                            </w:pPr>
                            <w:r>
                              <w:rPr>
                                <w:rFonts w:ascii="Times New Roman" w:eastAsia="Times New Roman" w:hAnsi="Times New Roman" w:cs="Times New Roman"/>
                                <w:sz w:val="16"/>
                                <w:szCs w:val="16"/>
                              </w:rPr>
                              <w:t>ITP (por medio</w:t>
                            </w:r>
                            <w:r>
                              <w:rPr>
                                <w:rFonts w:ascii="Times New Roman" w:eastAsia="Times New Roman" w:hAnsi="Times New Roman" w:cs="Times New Roman"/>
                                <w:sz w:val="16"/>
                                <w:szCs w:val="16"/>
                              </w:rPr>
                              <w:tab/>
                              <w:t>IV</w:t>
                            </w:r>
                            <w:r>
                              <w:rPr>
                                <w:rFonts w:ascii="Times New Roman" w:eastAsia="Times New Roman" w:hAnsi="Times New Roman" w:cs="Times New Roman"/>
                                <w:sz w:val="16"/>
                                <w:szCs w:val="16"/>
                              </w:rPr>
                              <w:tab/>
                              <w:t>..</w:t>
                            </w:r>
                          </w:p>
                          <w:p w14:paraId="00B43694"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de IGIV)</w:t>
                            </w:r>
                          </w:p>
                        </w:tc>
                        <w:tc>
                          <w:tcPr>
                            <w:tcW w:w="1896" w:type="dxa"/>
                            <w:shd w:val="clear" w:color="auto" w:fill="FFFFFF"/>
                          </w:tcPr>
                          <w:p w14:paraId="1C9E8BFB" w14:textId="77777777" w:rsidR="00D03C17" w:rsidRDefault="00D03C17">
                            <w:pPr>
                              <w:pStyle w:val="Other0"/>
                              <w:tabs>
                                <w:tab w:val="left" w:pos="1051"/>
                              </w:tabs>
                              <w:spacing w:line="240" w:lineRule="auto"/>
                              <w:ind w:firstLine="0"/>
                              <w:rPr>
                                <w:sz w:val="16"/>
                                <w:szCs w:val="16"/>
                              </w:rPr>
                            </w:pPr>
                            <w:r>
                              <w:rPr>
                                <w:rFonts w:ascii="Times New Roman" w:eastAsia="Times New Roman" w:hAnsi="Times New Roman" w:cs="Times New Roman"/>
                                <w:sz w:val="16"/>
                                <w:szCs w:val="16"/>
                              </w:rPr>
                              <w:t>.</w:t>
                            </w:r>
                            <w:r>
                              <w:rPr>
                                <w:rFonts w:ascii="Times New Roman" w:eastAsia="Times New Roman" w:hAnsi="Times New Roman" w:cs="Times New Roman"/>
                                <w:sz w:val="16"/>
                                <w:szCs w:val="16"/>
                              </w:rPr>
                              <w:tab/>
                              <w:t>400</w:t>
                            </w:r>
                          </w:p>
                        </w:tc>
                        <w:tc>
                          <w:tcPr>
                            <w:tcW w:w="682" w:type="dxa"/>
                            <w:shd w:val="clear" w:color="auto" w:fill="FFFFFF"/>
                          </w:tcPr>
                          <w:p w14:paraId="096CE937" w14:textId="77777777" w:rsidR="00D03C17" w:rsidRDefault="00D03C17">
                            <w:pPr>
                              <w:pStyle w:val="Other0"/>
                              <w:spacing w:line="240" w:lineRule="auto"/>
                              <w:ind w:firstLine="0"/>
                              <w:jc w:val="right"/>
                              <w:rPr>
                                <w:sz w:val="16"/>
                                <w:szCs w:val="16"/>
                              </w:rPr>
                            </w:pPr>
                            <w:r>
                              <w:rPr>
                                <w:rFonts w:ascii="Times New Roman" w:eastAsia="Times New Roman" w:hAnsi="Times New Roman" w:cs="Times New Roman"/>
                                <w:sz w:val="16"/>
                                <w:szCs w:val="16"/>
                              </w:rPr>
                              <w:t>8</w:t>
                            </w:r>
                          </w:p>
                        </w:tc>
                      </w:tr>
                    </w:tbl>
                    <w:p w14:paraId="332EA66E" w14:textId="77777777" w:rsidR="00D03C17" w:rsidRDefault="00D03C17">
                      <w:pPr>
                        <w:spacing w:line="1" w:lineRule="exact"/>
                      </w:pPr>
                    </w:p>
                  </w:txbxContent>
                </v:textbox>
                <w10:wrap type="topAndBottom" anchorx="page"/>
              </v:shape>
            </w:pict>
          </mc:Fallback>
        </mc:AlternateContent>
      </w:r>
      <w:r>
        <w:rPr>
          <w:noProof/>
        </w:rPr>
        <mc:AlternateContent>
          <mc:Choice Requires="wps">
            <w:drawing>
              <wp:anchor distT="359410" distB="0" distL="0" distR="0" simplePos="0" relativeHeight="251660288" behindDoc="0" locked="0" layoutInCell="1" allowOverlap="1" wp14:anchorId="36E004B4" wp14:editId="4B212BA8">
                <wp:simplePos x="0" y="0"/>
                <wp:positionH relativeFrom="page">
                  <wp:posOffset>4616450</wp:posOffset>
                </wp:positionH>
                <wp:positionV relativeFrom="paragraph">
                  <wp:posOffset>359410</wp:posOffset>
                </wp:positionV>
                <wp:extent cx="445135" cy="155575"/>
                <wp:effectExtent l="0" t="0" r="0" b="0"/>
                <wp:wrapTopAndBottom/>
                <wp:docPr id="1272" name="Shape 1272"/>
                <wp:cNvGraphicFramePr/>
                <a:graphic xmlns:a="http://schemas.openxmlformats.org/drawingml/2006/main">
                  <a:graphicData uri="http://schemas.microsoft.com/office/word/2010/wordprocessingShape">
                    <wps:wsp>
                      <wps:cNvSpPr txBox="1"/>
                      <wps:spPr>
                        <a:xfrm>
                          <a:off x="0" y="0"/>
                          <a:ext cx="445135" cy="155575"/>
                        </a:xfrm>
                        <a:prstGeom prst="rect">
                          <a:avLst/>
                        </a:prstGeom>
                        <a:noFill/>
                      </wps:spPr>
                      <wps:txbx>
                        <w:txbxContent>
                          <w:p w14:paraId="49D7CE9F" w14:textId="77777777" w:rsidR="00D03C17" w:rsidRDefault="00D03C17">
                            <w:pPr>
                              <w:pStyle w:val="Bodytext20"/>
                              <w:spacing w:line="240" w:lineRule="auto"/>
                            </w:pPr>
                            <w:r>
                              <w:rPr>
                                <w:i/>
                                <w:iCs/>
                              </w:rPr>
                              <w:t>continúa</w:t>
                            </w:r>
                          </w:p>
                        </w:txbxContent>
                      </wps:txbx>
                      <wps:bodyPr wrap="none" lIns="0" tIns="0" rIns="0" bIns="0"/>
                    </wps:wsp>
                  </a:graphicData>
                </a:graphic>
              </wp:anchor>
            </w:drawing>
          </mc:Choice>
          <mc:Fallback>
            <w:pict>
              <v:shape w14:anchorId="36E004B4" id="Shape 1272" o:spid="_x0000_s1027" type="#_x0000_t202" style="position:absolute;margin-left:363.5pt;margin-top:28.3pt;width:35.05pt;height:12.25pt;z-index:251660288;visibility:visible;mso-wrap-style:none;mso-wrap-distance-left:0;mso-wrap-distance-top:28.3pt;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" filled="f" stroked="f">
                <v:textbox inset="0,0,0,0">
                  <w:txbxContent>
                    <w:p w14:paraId="49D7CE9F" w14:textId="77777777" w:rsidR="00D03C17" w:rsidRDefault="00D03C17">
                      <w:pPr>
                        <w:pStyle w:val="Bodytext20"/>
                        <w:spacing w:line="240" w:lineRule="auto"/>
                      </w:pPr>
                      <w:r>
                        <w:rPr>
                          <w:i/>
                          <w:iCs/>
                        </w:rPr>
                        <w:t>continúa</w:t>
                      </w:r>
                    </w:p>
                  </w:txbxContent>
                </v:textbox>
                <w10:wrap type="topAndBottom" anchorx="page"/>
              </v:shape>
            </w:pict>
          </mc:Fallback>
        </mc:AlternateContent>
      </w:r>
    </w:p>
    <w:tbl>
      <w:tblPr>
        <w:tblOverlap w:val="never"/>
        <w:tblW w:w="0" w:type="auto"/>
        <w:jc w:val="center"/>
        <w:tblLayout w:type="fixed"/>
        <w:tblCellMar>
          <w:left w:w="10" w:type="dxa"/>
          <w:right w:w="10" w:type="dxa"/>
        </w:tblCellMar>
        <w:tblLook w:val="04A0" w:firstRow="1" w:lastRow="0" w:firstColumn="1" w:lastColumn="0" w:noHBand="0" w:noVBand="1"/>
      </w:tblPr>
      <w:tblGrid>
        <w:gridCol w:w="1675"/>
        <w:gridCol w:w="710"/>
        <w:gridCol w:w="1478"/>
        <w:gridCol w:w="1291"/>
        <w:gridCol w:w="907"/>
      </w:tblGrid>
      <w:tr w:rsidR="00D03C17" w14:paraId="4C90FB91" w14:textId="77777777">
        <w:tblPrEx>
          <w:tblCellMar>
            <w:top w:w="0" w:type="dxa"/>
            <w:bottom w:w="0" w:type="dxa"/>
          </w:tblCellMar>
        </w:tblPrEx>
        <w:trPr>
          <w:trHeight w:hRule="exact" w:val="274"/>
          <w:jc w:val="center"/>
        </w:trPr>
        <w:tc>
          <w:tcPr>
            <w:tcW w:w="1675" w:type="dxa"/>
            <w:shd w:val="clear" w:color="auto" w:fill="FFFFFF"/>
            <w:vAlign w:val="bottom"/>
          </w:tcPr>
          <w:p w14:paraId="3AD0AE39"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Tétanos (en la forma</w:t>
            </w:r>
          </w:p>
        </w:tc>
        <w:tc>
          <w:tcPr>
            <w:tcW w:w="710" w:type="dxa"/>
            <w:shd w:val="clear" w:color="auto" w:fill="FFFFFF"/>
            <w:vAlign w:val="bottom"/>
          </w:tcPr>
          <w:p w14:paraId="72B89393" w14:textId="77777777" w:rsidR="00D03C17" w:rsidRDefault="00D03C17">
            <w:pPr>
              <w:pStyle w:val="Other0"/>
              <w:spacing w:line="240" w:lineRule="auto"/>
              <w:ind w:firstLine="0"/>
              <w:jc w:val="both"/>
              <w:rPr>
                <w:sz w:val="16"/>
                <w:szCs w:val="16"/>
              </w:rPr>
            </w:pPr>
            <w:r>
              <w:rPr>
                <w:rFonts w:ascii="Times New Roman" w:eastAsia="Times New Roman" w:hAnsi="Times New Roman" w:cs="Times New Roman"/>
                <w:sz w:val="16"/>
                <w:szCs w:val="16"/>
              </w:rPr>
              <w:t>IM</w:t>
            </w:r>
          </w:p>
        </w:tc>
        <w:tc>
          <w:tcPr>
            <w:tcW w:w="1478" w:type="dxa"/>
            <w:shd w:val="clear" w:color="auto" w:fill="FFFFFF"/>
            <w:vAlign w:val="bottom"/>
          </w:tcPr>
          <w:p w14:paraId="2E026A8F" w14:textId="77777777" w:rsidR="00D03C17" w:rsidRDefault="00D03C17">
            <w:pPr>
              <w:pStyle w:val="Other0"/>
              <w:spacing w:line="240" w:lineRule="auto"/>
              <w:ind w:firstLine="440"/>
              <w:rPr>
                <w:sz w:val="16"/>
                <w:szCs w:val="16"/>
              </w:rPr>
            </w:pPr>
            <w:r>
              <w:rPr>
                <w:rFonts w:ascii="Times New Roman" w:eastAsia="Times New Roman" w:hAnsi="Times New Roman" w:cs="Times New Roman"/>
                <w:sz w:val="16"/>
                <w:szCs w:val="16"/>
              </w:rPr>
              <w:t>250 U</w:t>
            </w:r>
          </w:p>
        </w:tc>
        <w:tc>
          <w:tcPr>
            <w:tcW w:w="1291" w:type="dxa"/>
            <w:shd w:val="clear" w:color="auto" w:fill="FFFFFF"/>
            <w:vAlign w:val="bottom"/>
          </w:tcPr>
          <w:p w14:paraId="2DBEC90A"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aprox. 10</w:t>
            </w:r>
          </w:p>
        </w:tc>
        <w:tc>
          <w:tcPr>
            <w:tcW w:w="907" w:type="dxa"/>
            <w:shd w:val="clear" w:color="auto" w:fill="FFFFFF"/>
            <w:vAlign w:val="bottom"/>
          </w:tcPr>
          <w:p w14:paraId="0B335D5A" w14:textId="77777777" w:rsidR="00D03C17" w:rsidRDefault="00D03C17">
            <w:pPr>
              <w:pStyle w:val="Other0"/>
              <w:spacing w:line="240" w:lineRule="auto"/>
              <w:ind w:firstLine="240"/>
              <w:rPr>
                <w:sz w:val="16"/>
                <w:szCs w:val="16"/>
              </w:rPr>
            </w:pPr>
            <w:r>
              <w:rPr>
                <w:rFonts w:ascii="Times New Roman" w:eastAsia="Times New Roman" w:hAnsi="Times New Roman" w:cs="Times New Roman"/>
                <w:sz w:val="16"/>
                <w:szCs w:val="16"/>
              </w:rPr>
              <w:t>3</w:t>
            </w:r>
          </w:p>
        </w:tc>
      </w:tr>
      <w:tr w:rsidR="00D03C17" w14:paraId="694FA6EC" w14:textId="77777777">
        <w:tblPrEx>
          <w:tblCellMar>
            <w:top w:w="0" w:type="dxa"/>
            <w:bottom w:w="0" w:type="dxa"/>
          </w:tblCellMar>
        </w:tblPrEx>
        <w:trPr>
          <w:trHeight w:hRule="exact" w:val="432"/>
          <w:jc w:val="center"/>
        </w:trPr>
        <w:tc>
          <w:tcPr>
            <w:tcW w:w="1675" w:type="dxa"/>
            <w:shd w:val="clear" w:color="auto" w:fill="FFFFFF"/>
          </w:tcPr>
          <w:p w14:paraId="710FDA84"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de TIG)</w:t>
            </w:r>
          </w:p>
          <w:p w14:paraId="083EE8ED"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Profilaxia contra</w:t>
            </w:r>
          </w:p>
        </w:tc>
        <w:tc>
          <w:tcPr>
            <w:tcW w:w="710" w:type="dxa"/>
            <w:shd w:val="clear" w:color="auto" w:fill="FFFFFF"/>
            <w:vAlign w:val="bottom"/>
          </w:tcPr>
          <w:p w14:paraId="707A8005" w14:textId="77777777" w:rsidR="00D03C17" w:rsidRDefault="00D03C17">
            <w:pPr>
              <w:pStyle w:val="Other0"/>
              <w:spacing w:line="240" w:lineRule="auto"/>
              <w:ind w:firstLine="0"/>
              <w:jc w:val="both"/>
              <w:rPr>
                <w:sz w:val="16"/>
                <w:szCs w:val="16"/>
              </w:rPr>
            </w:pPr>
            <w:r>
              <w:rPr>
                <w:rFonts w:ascii="Times New Roman" w:eastAsia="Times New Roman" w:hAnsi="Times New Roman" w:cs="Times New Roman"/>
                <w:sz w:val="16"/>
                <w:szCs w:val="16"/>
              </w:rPr>
              <w:t>IM</w:t>
            </w:r>
          </w:p>
        </w:tc>
        <w:tc>
          <w:tcPr>
            <w:tcW w:w="1478" w:type="dxa"/>
            <w:shd w:val="clear" w:color="auto" w:fill="FFFFFF"/>
            <w:vAlign w:val="bottom"/>
          </w:tcPr>
          <w:p w14:paraId="268E3B4D" w14:textId="77777777" w:rsidR="00D03C17" w:rsidRDefault="00D03C17">
            <w:pPr>
              <w:pStyle w:val="Other0"/>
              <w:spacing w:line="240" w:lineRule="auto"/>
              <w:ind w:firstLine="440"/>
              <w:rPr>
                <w:sz w:val="16"/>
                <w:szCs w:val="16"/>
              </w:rPr>
            </w:pPr>
            <w:r>
              <w:rPr>
                <w:rFonts w:ascii="Times New Roman" w:eastAsia="Times New Roman" w:hAnsi="Times New Roman" w:cs="Times New Roman"/>
                <w:sz w:val="16"/>
                <w:szCs w:val="16"/>
              </w:rPr>
              <w:t>0.02 ml/kg</w:t>
            </w:r>
          </w:p>
        </w:tc>
        <w:tc>
          <w:tcPr>
            <w:tcW w:w="1291" w:type="dxa"/>
            <w:shd w:val="clear" w:color="auto" w:fill="FFFFFF"/>
            <w:vAlign w:val="bottom"/>
          </w:tcPr>
          <w:p w14:paraId="3985B9A3"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3.3</w:t>
            </w:r>
          </w:p>
        </w:tc>
        <w:tc>
          <w:tcPr>
            <w:tcW w:w="907" w:type="dxa"/>
            <w:shd w:val="clear" w:color="auto" w:fill="FFFFFF"/>
            <w:vAlign w:val="bottom"/>
          </w:tcPr>
          <w:p w14:paraId="5A2F72B0" w14:textId="77777777" w:rsidR="00D03C17" w:rsidRDefault="00D03C17">
            <w:pPr>
              <w:pStyle w:val="Other0"/>
              <w:spacing w:line="240" w:lineRule="auto"/>
              <w:ind w:firstLine="240"/>
              <w:rPr>
                <w:sz w:val="16"/>
                <w:szCs w:val="16"/>
              </w:rPr>
            </w:pPr>
            <w:r>
              <w:rPr>
                <w:rFonts w:ascii="Times New Roman" w:eastAsia="Times New Roman" w:hAnsi="Times New Roman" w:cs="Times New Roman"/>
                <w:sz w:val="16"/>
                <w:szCs w:val="16"/>
              </w:rPr>
              <w:t>3</w:t>
            </w:r>
          </w:p>
        </w:tc>
      </w:tr>
      <w:tr w:rsidR="00D03C17" w14:paraId="744B5F06" w14:textId="77777777">
        <w:tblPrEx>
          <w:tblCellMar>
            <w:top w:w="0" w:type="dxa"/>
            <w:bottom w:w="0" w:type="dxa"/>
          </w:tblCellMar>
        </w:tblPrEx>
        <w:trPr>
          <w:trHeight w:hRule="exact" w:val="859"/>
          <w:jc w:val="center"/>
        </w:trPr>
        <w:tc>
          <w:tcPr>
            <w:tcW w:w="1675" w:type="dxa"/>
            <w:shd w:val="clear" w:color="auto" w:fill="FFFFFF"/>
          </w:tcPr>
          <w:p w14:paraId="2FC39589" w14:textId="77777777" w:rsidR="00D03C17" w:rsidRDefault="00D03C17">
            <w:pPr>
              <w:pStyle w:val="Other0"/>
              <w:spacing w:line="283" w:lineRule="auto"/>
              <w:ind w:firstLine="0"/>
              <w:rPr>
                <w:sz w:val="16"/>
                <w:szCs w:val="16"/>
              </w:rPr>
            </w:pPr>
            <w:r>
              <w:rPr>
                <w:rFonts w:ascii="Times New Roman" w:eastAsia="Times New Roman" w:hAnsi="Times New Roman" w:cs="Times New Roman"/>
                <w:sz w:val="16"/>
                <w:szCs w:val="16"/>
              </w:rPr>
              <w:t>hepatitis A (en la forma de concentrado</w:t>
            </w:r>
          </w:p>
          <w:p w14:paraId="7D4C6E86" w14:textId="77777777" w:rsidR="00D03C17" w:rsidRDefault="00D03C17">
            <w:pPr>
              <w:pStyle w:val="Other0"/>
              <w:spacing w:line="283" w:lineRule="auto"/>
              <w:ind w:firstLine="0"/>
              <w:rPr>
                <w:sz w:val="16"/>
                <w:szCs w:val="16"/>
              </w:rPr>
            </w:pPr>
            <w:r>
              <w:rPr>
                <w:rFonts w:ascii="Times New Roman" w:eastAsia="Times New Roman" w:hAnsi="Times New Roman" w:cs="Times New Roman"/>
                <w:sz w:val="16"/>
                <w:szCs w:val="16"/>
              </w:rPr>
              <w:t>IG)</w:t>
            </w:r>
          </w:p>
          <w:p w14:paraId="78390F00" w14:textId="77777777" w:rsidR="00D03C17" w:rsidRDefault="00D03C17">
            <w:pPr>
              <w:pStyle w:val="Other0"/>
              <w:spacing w:line="283" w:lineRule="auto"/>
              <w:ind w:firstLine="0"/>
              <w:rPr>
                <w:sz w:val="16"/>
                <w:szCs w:val="16"/>
              </w:rPr>
            </w:pPr>
            <w:r>
              <w:rPr>
                <w:rFonts w:ascii="Times New Roman" w:eastAsia="Times New Roman" w:hAnsi="Times New Roman" w:cs="Times New Roman"/>
                <w:sz w:val="16"/>
                <w:szCs w:val="16"/>
              </w:rPr>
              <w:t>Profilaxia de contactos</w:t>
            </w:r>
          </w:p>
        </w:tc>
        <w:tc>
          <w:tcPr>
            <w:tcW w:w="710" w:type="dxa"/>
            <w:shd w:val="clear" w:color="auto" w:fill="FFFFFF"/>
            <w:vAlign w:val="bottom"/>
          </w:tcPr>
          <w:p w14:paraId="40016AD0" w14:textId="77777777" w:rsidR="00D03C17" w:rsidRDefault="00D03C17">
            <w:pPr>
              <w:pStyle w:val="Other0"/>
              <w:spacing w:line="240" w:lineRule="auto"/>
              <w:ind w:firstLine="0"/>
              <w:jc w:val="both"/>
              <w:rPr>
                <w:sz w:val="16"/>
                <w:szCs w:val="16"/>
              </w:rPr>
            </w:pPr>
            <w:r>
              <w:rPr>
                <w:rFonts w:ascii="Times New Roman" w:eastAsia="Times New Roman" w:hAnsi="Times New Roman" w:cs="Times New Roman"/>
                <w:sz w:val="16"/>
                <w:szCs w:val="16"/>
              </w:rPr>
              <w:t>IM</w:t>
            </w:r>
          </w:p>
        </w:tc>
        <w:tc>
          <w:tcPr>
            <w:tcW w:w="1478" w:type="dxa"/>
            <w:shd w:val="clear" w:color="auto" w:fill="FFFFFF"/>
            <w:vAlign w:val="bottom"/>
          </w:tcPr>
          <w:p w14:paraId="116B7220" w14:textId="77777777" w:rsidR="00D03C17" w:rsidRDefault="00D03C17">
            <w:pPr>
              <w:pStyle w:val="Other0"/>
              <w:spacing w:line="240" w:lineRule="auto"/>
              <w:ind w:firstLine="440"/>
              <w:rPr>
                <w:sz w:val="16"/>
                <w:szCs w:val="16"/>
              </w:rPr>
            </w:pPr>
            <w:r>
              <w:rPr>
                <w:rFonts w:ascii="Times New Roman" w:eastAsia="Times New Roman" w:hAnsi="Times New Roman" w:cs="Times New Roman"/>
                <w:sz w:val="16"/>
                <w:szCs w:val="16"/>
              </w:rPr>
              <w:t>0.06 ml/kg</w:t>
            </w:r>
          </w:p>
        </w:tc>
        <w:tc>
          <w:tcPr>
            <w:tcW w:w="1291" w:type="dxa"/>
            <w:shd w:val="clear" w:color="auto" w:fill="FFFFFF"/>
            <w:vAlign w:val="bottom"/>
          </w:tcPr>
          <w:p w14:paraId="6205F0D1"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10</w:t>
            </w:r>
          </w:p>
        </w:tc>
        <w:tc>
          <w:tcPr>
            <w:tcW w:w="907" w:type="dxa"/>
            <w:shd w:val="clear" w:color="auto" w:fill="FFFFFF"/>
            <w:vAlign w:val="bottom"/>
          </w:tcPr>
          <w:p w14:paraId="18F46ECD" w14:textId="77777777" w:rsidR="00D03C17" w:rsidRDefault="00D03C17">
            <w:pPr>
              <w:pStyle w:val="Other0"/>
              <w:spacing w:line="240" w:lineRule="auto"/>
              <w:ind w:firstLine="240"/>
              <w:rPr>
                <w:sz w:val="16"/>
                <w:szCs w:val="16"/>
              </w:rPr>
            </w:pPr>
            <w:r>
              <w:rPr>
                <w:rFonts w:ascii="Times New Roman" w:eastAsia="Times New Roman" w:hAnsi="Times New Roman" w:cs="Times New Roman"/>
                <w:sz w:val="16"/>
                <w:szCs w:val="16"/>
              </w:rPr>
              <w:t>3</w:t>
            </w:r>
          </w:p>
        </w:tc>
      </w:tr>
      <w:tr w:rsidR="00D03C17" w14:paraId="64DC1E3E" w14:textId="77777777">
        <w:tblPrEx>
          <w:tblCellMar>
            <w:top w:w="0" w:type="dxa"/>
            <w:bottom w:w="0" w:type="dxa"/>
          </w:tblCellMar>
        </w:tblPrEx>
        <w:trPr>
          <w:trHeight w:hRule="exact" w:val="432"/>
          <w:jc w:val="center"/>
        </w:trPr>
        <w:tc>
          <w:tcPr>
            <w:tcW w:w="1675" w:type="dxa"/>
            <w:shd w:val="clear" w:color="auto" w:fill="FFFFFF"/>
            <w:vAlign w:val="bottom"/>
          </w:tcPr>
          <w:p w14:paraId="0A895DFF"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Viajes internacionales</w:t>
            </w:r>
          </w:p>
          <w:p w14:paraId="52E7BA01"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Profilaxia contra</w:t>
            </w:r>
          </w:p>
        </w:tc>
        <w:tc>
          <w:tcPr>
            <w:tcW w:w="710" w:type="dxa"/>
            <w:shd w:val="clear" w:color="auto" w:fill="FFFFFF"/>
            <w:vAlign w:val="bottom"/>
          </w:tcPr>
          <w:p w14:paraId="1ED7A550" w14:textId="77777777" w:rsidR="00D03C17" w:rsidRDefault="00D03C17">
            <w:pPr>
              <w:pStyle w:val="Other0"/>
              <w:spacing w:line="240" w:lineRule="auto"/>
              <w:ind w:firstLine="0"/>
              <w:jc w:val="both"/>
              <w:rPr>
                <w:sz w:val="16"/>
                <w:szCs w:val="16"/>
              </w:rPr>
            </w:pPr>
            <w:r>
              <w:rPr>
                <w:rFonts w:ascii="Times New Roman" w:eastAsia="Times New Roman" w:hAnsi="Times New Roman" w:cs="Times New Roman"/>
                <w:sz w:val="16"/>
                <w:szCs w:val="16"/>
              </w:rPr>
              <w:t>IM</w:t>
            </w:r>
          </w:p>
        </w:tc>
        <w:tc>
          <w:tcPr>
            <w:tcW w:w="1478" w:type="dxa"/>
            <w:shd w:val="clear" w:color="auto" w:fill="FFFFFF"/>
            <w:vAlign w:val="bottom"/>
          </w:tcPr>
          <w:p w14:paraId="51EDA595" w14:textId="77777777" w:rsidR="00D03C17" w:rsidRDefault="00D03C17">
            <w:pPr>
              <w:pStyle w:val="Other0"/>
              <w:spacing w:line="240" w:lineRule="auto"/>
              <w:ind w:firstLine="440"/>
              <w:rPr>
                <w:sz w:val="16"/>
                <w:szCs w:val="16"/>
              </w:rPr>
            </w:pPr>
            <w:r>
              <w:rPr>
                <w:rFonts w:ascii="Times New Roman" w:eastAsia="Times New Roman" w:hAnsi="Times New Roman" w:cs="Times New Roman"/>
                <w:sz w:val="16"/>
                <w:szCs w:val="16"/>
              </w:rPr>
              <w:t>0.06 ml/kg</w:t>
            </w:r>
          </w:p>
        </w:tc>
        <w:tc>
          <w:tcPr>
            <w:tcW w:w="1291" w:type="dxa"/>
            <w:shd w:val="clear" w:color="auto" w:fill="FFFFFF"/>
            <w:vAlign w:val="bottom"/>
          </w:tcPr>
          <w:p w14:paraId="24F635D3"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10</w:t>
            </w:r>
          </w:p>
        </w:tc>
        <w:tc>
          <w:tcPr>
            <w:tcW w:w="907" w:type="dxa"/>
            <w:shd w:val="clear" w:color="auto" w:fill="FFFFFF"/>
            <w:vAlign w:val="bottom"/>
          </w:tcPr>
          <w:p w14:paraId="147B9A53" w14:textId="77777777" w:rsidR="00D03C17" w:rsidRDefault="00D03C17">
            <w:pPr>
              <w:pStyle w:val="Other0"/>
              <w:spacing w:line="240" w:lineRule="auto"/>
              <w:ind w:firstLine="240"/>
              <w:rPr>
                <w:sz w:val="16"/>
                <w:szCs w:val="16"/>
              </w:rPr>
            </w:pPr>
            <w:r>
              <w:rPr>
                <w:rFonts w:ascii="Times New Roman" w:eastAsia="Times New Roman" w:hAnsi="Times New Roman" w:cs="Times New Roman"/>
                <w:sz w:val="16"/>
                <w:szCs w:val="16"/>
              </w:rPr>
              <w:t>3</w:t>
            </w:r>
          </w:p>
        </w:tc>
      </w:tr>
      <w:tr w:rsidR="00D03C17" w14:paraId="29DB46BC" w14:textId="77777777">
        <w:tblPrEx>
          <w:tblCellMar>
            <w:top w:w="0" w:type="dxa"/>
            <w:bottom w:w="0" w:type="dxa"/>
          </w:tblCellMar>
        </w:tblPrEx>
        <w:trPr>
          <w:trHeight w:hRule="exact" w:val="643"/>
          <w:jc w:val="center"/>
        </w:trPr>
        <w:tc>
          <w:tcPr>
            <w:tcW w:w="1675" w:type="dxa"/>
            <w:shd w:val="clear" w:color="auto" w:fill="FFFFFF"/>
            <w:vAlign w:val="bottom"/>
          </w:tcPr>
          <w:p w14:paraId="6B812449" w14:textId="77777777" w:rsidR="00D03C17" w:rsidRDefault="00D03C17">
            <w:pPr>
              <w:pStyle w:val="Other0"/>
              <w:spacing w:line="283" w:lineRule="auto"/>
              <w:ind w:firstLine="0"/>
              <w:rPr>
                <w:sz w:val="16"/>
                <w:szCs w:val="16"/>
              </w:rPr>
            </w:pPr>
            <w:r>
              <w:rPr>
                <w:rFonts w:ascii="Times New Roman" w:eastAsia="Times New Roman" w:hAnsi="Times New Roman" w:cs="Times New Roman"/>
                <w:sz w:val="16"/>
                <w:szCs w:val="16"/>
              </w:rPr>
              <w:t>hepatitis B (por medio de HIBG) Profilaxia contra la</w:t>
            </w:r>
          </w:p>
        </w:tc>
        <w:tc>
          <w:tcPr>
            <w:tcW w:w="710" w:type="dxa"/>
            <w:shd w:val="clear" w:color="auto" w:fill="FFFFFF"/>
            <w:vAlign w:val="bottom"/>
          </w:tcPr>
          <w:p w14:paraId="5459F6B6" w14:textId="77777777" w:rsidR="00D03C17" w:rsidRDefault="00D03C17">
            <w:pPr>
              <w:pStyle w:val="Other0"/>
              <w:spacing w:line="240" w:lineRule="auto"/>
              <w:ind w:firstLine="0"/>
              <w:jc w:val="both"/>
              <w:rPr>
                <w:sz w:val="16"/>
                <w:szCs w:val="16"/>
              </w:rPr>
            </w:pPr>
            <w:r>
              <w:rPr>
                <w:rFonts w:ascii="Times New Roman" w:eastAsia="Times New Roman" w:hAnsi="Times New Roman" w:cs="Times New Roman"/>
                <w:sz w:val="16"/>
                <w:szCs w:val="16"/>
              </w:rPr>
              <w:t>IM</w:t>
            </w:r>
          </w:p>
        </w:tc>
        <w:tc>
          <w:tcPr>
            <w:tcW w:w="1478" w:type="dxa"/>
            <w:shd w:val="clear" w:color="auto" w:fill="FFFFFF"/>
            <w:vAlign w:val="bottom"/>
          </w:tcPr>
          <w:p w14:paraId="1A5A7711" w14:textId="77777777" w:rsidR="00D03C17" w:rsidRDefault="00D03C17">
            <w:pPr>
              <w:pStyle w:val="Other0"/>
              <w:spacing w:line="240" w:lineRule="auto"/>
              <w:ind w:firstLine="440"/>
              <w:rPr>
                <w:sz w:val="16"/>
                <w:szCs w:val="16"/>
              </w:rPr>
            </w:pPr>
            <w:r>
              <w:rPr>
                <w:rFonts w:ascii="Times New Roman" w:eastAsia="Times New Roman" w:hAnsi="Times New Roman" w:cs="Times New Roman"/>
                <w:sz w:val="16"/>
                <w:szCs w:val="16"/>
              </w:rPr>
              <w:t>20 UI/kg</w:t>
            </w:r>
          </w:p>
        </w:tc>
        <w:tc>
          <w:tcPr>
            <w:tcW w:w="1291" w:type="dxa"/>
            <w:shd w:val="clear" w:color="auto" w:fill="FFFFFF"/>
            <w:vAlign w:val="bottom"/>
          </w:tcPr>
          <w:p w14:paraId="1B967D94"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22</w:t>
            </w:r>
          </w:p>
        </w:tc>
        <w:tc>
          <w:tcPr>
            <w:tcW w:w="907" w:type="dxa"/>
            <w:shd w:val="clear" w:color="auto" w:fill="FFFFFF"/>
            <w:vAlign w:val="bottom"/>
          </w:tcPr>
          <w:p w14:paraId="775C454B" w14:textId="77777777" w:rsidR="00D03C17" w:rsidRDefault="00D03C17">
            <w:pPr>
              <w:pStyle w:val="Other0"/>
              <w:spacing w:line="240" w:lineRule="auto"/>
              <w:ind w:firstLine="240"/>
              <w:rPr>
                <w:sz w:val="16"/>
                <w:szCs w:val="16"/>
              </w:rPr>
            </w:pPr>
            <w:r>
              <w:rPr>
                <w:rFonts w:ascii="Times New Roman" w:eastAsia="Times New Roman" w:hAnsi="Times New Roman" w:cs="Times New Roman"/>
                <w:sz w:val="16"/>
                <w:szCs w:val="16"/>
              </w:rPr>
              <w:t>4</w:t>
            </w:r>
          </w:p>
        </w:tc>
      </w:tr>
      <w:tr w:rsidR="00D03C17" w14:paraId="30C2AD93" w14:textId="77777777">
        <w:tblPrEx>
          <w:tblCellMar>
            <w:top w:w="0" w:type="dxa"/>
            <w:bottom w:w="0" w:type="dxa"/>
          </w:tblCellMar>
        </w:tblPrEx>
        <w:trPr>
          <w:trHeight w:hRule="exact" w:val="1306"/>
          <w:jc w:val="center"/>
        </w:trPr>
        <w:tc>
          <w:tcPr>
            <w:tcW w:w="1675" w:type="dxa"/>
            <w:shd w:val="clear" w:color="auto" w:fill="FFFFFF"/>
            <w:vAlign w:val="bottom"/>
          </w:tcPr>
          <w:p w14:paraId="5C3550C5" w14:textId="77777777" w:rsidR="00D03C17" w:rsidRDefault="00D03C17">
            <w:pPr>
              <w:pStyle w:val="Other0"/>
              <w:spacing w:line="283" w:lineRule="auto"/>
              <w:ind w:firstLine="0"/>
              <w:rPr>
                <w:sz w:val="16"/>
                <w:szCs w:val="16"/>
              </w:rPr>
            </w:pPr>
            <w:r>
              <w:rPr>
                <w:rFonts w:ascii="Times New Roman" w:eastAsia="Times New Roman" w:hAnsi="Times New Roman" w:cs="Times New Roman"/>
                <w:sz w:val="16"/>
                <w:szCs w:val="16"/>
              </w:rPr>
              <w:t>rabia (por medio de RIG)</w:t>
            </w:r>
          </w:p>
          <w:p w14:paraId="0468716F" w14:textId="77777777" w:rsidR="00D03C17" w:rsidRDefault="00D03C17">
            <w:pPr>
              <w:pStyle w:val="Other0"/>
              <w:spacing w:line="283" w:lineRule="auto"/>
              <w:ind w:firstLine="0"/>
              <w:rPr>
                <w:sz w:val="16"/>
                <w:szCs w:val="16"/>
              </w:rPr>
            </w:pPr>
            <w:r>
              <w:rPr>
                <w:rFonts w:ascii="Times New Roman" w:eastAsia="Times New Roman" w:hAnsi="Times New Roman" w:cs="Times New Roman"/>
                <w:sz w:val="16"/>
                <w:szCs w:val="16"/>
              </w:rPr>
              <w:t>Profilaxia contra el sarampión (por medio de IG)</w:t>
            </w:r>
          </w:p>
          <w:p w14:paraId="35D456F6" w14:textId="77777777" w:rsidR="00D03C17" w:rsidRDefault="00D03C17">
            <w:pPr>
              <w:pStyle w:val="Other0"/>
              <w:spacing w:line="283" w:lineRule="auto"/>
              <w:ind w:firstLine="0"/>
              <w:rPr>
                <w:sz w:val="16"/>
                <w:szCs w:val="16"/>
              </w:rPr>
            </w:pPr>
            <w:r>
              <w:rPr>
                <w:rFonts w:ascii="Times New Roman" w:eastAsia="Times New Roman" w:hAnsi="Times New Roman" w:cs="Times New Roman"/>
                <w:sz w:val="16"/>
                <w:szCs w:val="16"/>
              </w:rPr>
              <w:t>Estándar</w:t>
            </w:r>
          </w:p>
        </w:tc>
        <w:tc>
          <w:tcPr>
            <w:tcW w:w="710" w:type="dxa"/>
            <w:shd w:val="clear" w:color="auto" w:fill="FFFFFF"/>
            <w:vAlign w:val="bottom"/>
          </w:tcPr>
          <w:p w14:paraId="2E18F894" w14:textId="77777777" w:rsidR="00D03C17" w:rsidRDefault="00D03C17">
            <w:pPr>
              <w:pStyle w:val="Other0"/>
              <w:spacing w:line="240" w:lineRule="auto"/>
              <w:ind w:firstLine="0"/>
              <w:jc w:val="both"/>
              <w:rPr>
                <w:sz w:val="16"/>
                <w:szCs w:val="16"/>
              </w:rPr>
            </w:pPr>
            <w:r>
              <w:rPr>
                <w:rFonts w:ascii="Times New Roman" w:eastAsia="Times New Roman" w:hAnsi="Times New Roman" w:cs="Times New Roman"/>
                <w:sz w:val="16"/>
                <w:szCs w:val="16"/>
              </w:rPr>
              <w:t>IM</w:t>
            </w:r>
          </w:p>
        </w:tc>
        <w:tc>
          <w:tcPr>
            <w:tcW w:w="1478" w:type="dxa"/>
            <w:shd w:val="clear" w:color="auto" w:fill="FFFFFF"/>
            <w:vAlign w:val="bottom"/>
          </w:tcPr>
          <w:p w14:paraId="0F051E1C" w14:textId="77777777" w:rsidR="00D03C17" w:rsidRDefault="00D03C17">
            <w:pPr>
              <w:pStyle w:val="Other0"/>
              <w:spacing w:line="240" w:lineRule="auto"/>
              <w:ind w:firstLine="440"/>
              <w:rPr>
                <w:sz w:val="16"/>
                <w:szCs w:val="16"/>
              </w:rPr>
            </w:pPr>
            <w:r>
              <w:rPr>
                <w:rFonts w:ascii="Times New Roman" w:eastAsia="Times New Roman" w:hAnsi="Times New Roman" w:cs="Times New Roman"/>
                <w:sz w:val="16"/>
                <w:szCs w:val="16"/>
              </w:rPr>
              <w:t>0.25 ml/kg</w:t>
            </w:r>
          </w:p>
        </w:tc>
        <w:tc>
          <w:tcPr>
            <w:tcW w:w="1291" w:type="dxa"/>
            <w:shd w:val="clear" w:color="auto" w:fill="FFFFFF"/>
            <w:vAlign w:val="bottom"/>
          </w:tcPr>
          <w:p w14:paraId="5260D191"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40</w:t>
            </w:r>
          </w:p>
        </w:tc>
        <w:tc>
          <w:tcPr>
            <w:tcW w:w="907" w:type="dxa"/>
            <w:shd w:val="clear" w:color="auto" w:fill="FFFFFF"/>
            <w:vAlign w:val="bottom"/>
          </w:tcPr>
          <w:p w14:paraId="675486C2" w14:textId="77777777" w:rsidR="00D03C17" w:rsidRDefault="00D03C17">
            <w:pPr>
              <w:pStyle w:val="Other0"/>
              <w:spacing w:line="240" w:lineRule="auto"/>
              <w:ind w:firstLine="240"/>
              <w:rPr>
                <w:sz w:val="16"/>
                <w:szCs w:val="16"/>
              </w:rPr>
            </w:pPr>
            <w:r>
              <w:rPr>
                <w:rFonts w:ascii="Times New Roman" w:eastAsia="Times New Roman" w:hAnsi="Times New Roman" w:cs="Times New Roman"/>
                <w:sz w:val="16"/>
                <w:szCs w:val="16"/>
              </w:rPr>
              <w:t>5</w:t>
            </w:r>
          </w:p>
        </w:tc>
      </w:tr>
      <w:tr w:rsidR="00D03C17" w14:paraId="541FD1ED" w14:textId="77777777">
        <w:tblPrEx>
          <w:tblCellMar>
            <w:top w:w="0" w:type="dxa"/>
            <w:bottom w:w="0" w:type="dxa"/>
          </w:tblCellMar>
        </w:tblPrEx>
        <w:trPr>
          <w:trHeight w:hRule="exact" w:val="226"/>
          <w:jc w:val="center"/>
        </w:trPr>
        <w:tc>
          <w:tcPr>
            <w:tcW w:w="1675" w:type="dxa"/>
            <w:shd w:val="clear" w:color="auto" w:fill="FFFFFF"/>
          </w:tcPr>
          <w:p w14:paraId="3789A5DD"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Hospedador</w:t>
            </w:r>
          </w:p>
        </w:tc>
        <w:tc>
          <w:tcPr>
            <w:tcW w:w="710" w:type="dxa"/>
            <w:shd w:val="clear" w:color="auto" w:fill="FFFFFF"/>
          </w:tcPr>
          <w:p w14:paraId="36ACD15F" w14:textId="77777777" w:rsidR="00D03C17" w:rsidRDefault="00D03C17">
            <w:pPr>
              <w:pStyle w:val="Other0"/>
              <w:spacing w:line="240" w:lineRule="auto"/>
              <w:ind w:firstLine="0"/>
              <w:jc w:val="both"/>
              <w:rPr>
                <w:sz w:val="16"/>
                <w:szCs w:val="16"/>
              </w:rPr>
            </w:pPr>
            <w:r>
              <w:rPr>
                <w:rFonts w:ascii="Times New Roman" w:eastAsia="Times New Roman" w:hAnsi="Times New Roman" w:cs="Times New Roman"/>
                <w:sz w:val="16"/>
                <w:szCs w:val="16"/>
              </w:rPr>
              <w:t>IM</w:t>
            </w:r>
          </w:p>
        </w:tc>
        <w:tc>
          <w:tcPr>
            <w:tcW w:w="1478" w:type="dxa"/>
            <w:shd w:val="clear" w:color="auto" w:fill="FFFFFF"/>
          </w:tcPr>
          <w:p w14:paraId="1EE90B4C" w14:textId="77777777" w:rsidR="00D03C17" w:rsidRDefault="00D03C17">
            <w:pPr>
              <w:pStyle w:val="Other0"/>
              <w:spacing w:line="240" w:lineRule="auto"/>
              <w:ind w:firstLine="440"/>
              <w:rPr>
                <w:sz w:val="16"/>
                <w:szCs w:val="16"/>
              </w:rPr>
            </w:pPr>
            <w:r>
              <w:rPr>
                <w:rFonts w:ascii="Times New Roman" w:eastAsia="Times New Roman" w:hAnsi="Times New Roman" w:cs="Times New Roman"/>
                <w:sz w:val="16"/>
                <w:szCs w:val="16"/>
              </w:rPr>
              <w:t>0.50 ml/kg</w:t>
            </w:r>
          </w:p>
        </w:tc>
        <w:tc>
          <w:tcPr>
            <w:tcW w:w="1291" w:type="dxa"/>
            <w:shd w:val="clear" w:color="auto" w:fill="FFFFFF"/>
          </w:tcPr>
          <w:p w14:paraId="6D6317A8"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80</w:t>
            </w:r>
          </w:p>
        </w:tc>
        <w:tc>
          <w:tcPr>
            <w:tcW w:w="907" w:type="dxa"/>
            <w:shd w:val="clear" w:color="auto" w:fill="FFFFFF"/>
          </w:tcPr>
          <w:p w14:paraId="0D8F78F4" w14:textId="77777777" w:rsidR="00D03C17" w:rsidRDefault="00D03C17">
            <w:pPr>
              <w:pStyle w:val="Other0"/>
              <w:spacing w:line="240" w:lineRule="auto"/>
              <w:ind w:firstLine="240"/>
              <w:rPr>
                <w:sz w:val="16"/>
                <w:szCs w:val="16"/>
              </w:rPr>
            </w:pPr>
            <w:r>
              <w:rPr>
                <w:rFonts w:ascii="Times New Roman" w:eastAsia="Times New Roman" w:hAnsi="Times New Roman" w:cs="Times New Roman"/>
                <w:sz w:val="16"/>
                <w:szCs w:val="16"/>
              </w:rPr>
              <w:t>6</w:t>
            </w:r>
          </w:p>
        </w:tc>
      </w:tr>
      <w:tr w:rsidR="00D03C17" w14:paraId="006FEA17" w14:textId="77777777">
        <w:tblPrEx>
          <w:tblCellMar>
            <w:top w:w="0" w:type="dxa"/>
            <w:bottom w:w="0" w:type="dxa"/>
          </w:tblCellMar>
        </w:tblPrEx>
        <w:trPr>
          <w:trHeight w:hRule="exact" w:val="418"/>
          <w:jc w:val="center"/>
        </w:trPr>
        <w:tc>
          <w:tcPr>
            <w:tcW w:w="1675" w:type="dxa"/>
            <w:shd w:val="clear" w:color="auto" w:fill="FFFFFF"/>
          </w:tcPr>
          <w:p w14:paraId="63C54E28" w14:textId="77777777" w:rsidR="00D03C17" w:rsidRDefault="00D03C17">
            <w:pPr>
              <w:pStyle w:val="Other0"/>
              <w:spacing w:line="240" w:lineRule="auto"/>
              <w:ind w:firstLine="220"/>
              <w:rPr>
                <w:sz w:val="16"/>
                <w:szCs w:val="16"/>
              </w:rPr>
            </w:pPr>
            <w:r>
              <w:rPr>
                <w:rFonts w:ascii="Times New Roman" w:eastAsia="Times New Roman" w:hAnsi="Times New Roman" w:cs="Times New Roman"/>
                <w:sz w:val="16"/>
                <w:szCs w:val="16"/>
              </w:rPr>
              <w:t>inmunodeficiente</w:t>
            </w:r>
          </w:p>
          <w:p w14:paraId="2354454D"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Profilaxia contra la</w:t>
            </w:r>
          </w:p>
        </w:tc>
        <w:tc>
          <w:tcPr>
            <w:tcW w:w="710" w:type="dxa"/>
            <w:shd w:val="clear" w:color="auto" w:fill="FFFFFF"/>
            <w:vAlign w:val="bottom"/>
          </w:tcPr>
          <w:p w14:paraId="72F35C9B" w14:textId="77777777" w:rsidR="00D03C17" w:rsidRDefault="00D03C17">
            <w:pPr>
              <w:pStyle w:val="Other0"/>
              <w:spacing w:line="240" w:lineRule="auto"/>
              <w:ind w:firstLine="0"/>
              <w:jc w:val="both"/>
              <w:rPr>
                <w:sz w:val="16"/>
                <w:szCs w:val="16"/>
              </w:rPr>
            </w:pPr>
            <w:r>
              <w:rPr>
                <w:rFonts w:ascii="Times New Roman" w:eastAsia="Times New Roman" w:hAnsi="Times New Roman" w:cs="Times New Roman"/>
                <w:sz w:val="16"/>
                <w:szCs w:val="16"/>
              </w:rPr>
              <w:t>IM</w:t>
            </w:r>
          </w:p>
        </w:tc>
        <w:tc>
          <w:tcPr>
            <w:tcW w:w="1478" w:type="dxa"/>
            <w:shd w:val="clear" w:color="auto" w:fill="FFFFFF"/>
            <w:vAlign w:val="bottom"/>
          </w:tcPr>
          <w:p w14:paraId="7D34AB01" w14:textId="77777777" w:rsidR="00D03C17" w:rsidRDefault="00D03C17">
            <w:pPr>
              <w:pStyle w:val="Other0"/>
              <w:spacing w:line="240" w:lineRule="auto"/>
              <w:ind w:firstLine="440"/>
              <w:rPr>
                <w:sz w:val="16"/>
                <w:szCs w:val="16"/>
              </w:rPr>
            </w:pPr>
            <w:r>
              <w:rPr>
                <w:rFonts w:ascii="Times New Roman" w:eastAsia="Times New Roman" w:hAnsi="Times New Roman" w:cs="Times New Roman"/>
                <w:sz w:val="16"/>
                <w:szCs w:val="16"/>
              </w:rPr>
              <w:t>125 U/10 kg</w:t>
            </w:r>
          </w:p>
        </w:tc>
        <w:tc>
          <w:tcPr>
            <w:tcW w:w="1291" w:type="dxa"/>
            <w:shd w:val="clear" w:color="auto" w:fill="FFFFFF"/>
            <w:vAlign w:val="bottom"/>
          </w:tcPr>
          <w:p w14:paraId="68913993"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20-39</w:t>
            </w:r>
          </w:p>
        </w:tc>
        <w:tc>
          <w:tcPr>
            <w:tcW w:w="907" w:type="dxa"/>
            <w:shd w:val="clear" w:color="auto" w:fill="FFFFFF"/>
            <w:vAlign w:val="bottom"/>
          </w:tcPr>
          <w:p w14:paraId="265AB21E" w14:textId="77777777" w:rsidR="00D03C17" w:rsidRDefault="00D03C17">
            <w:pPr>
              <w:pStyle w:val="Other0"/>
              <w:spacing w:line="240" w:lineRule="auto"/>
              <w:ind w:firstLine="240"/>
              <w:rPr>
                <w:sz w:val="16"/>
                <w:szCs w:val="16"/>
              </w:rPr>
            </w:pPr>
            <w:r>
              <w:rPr>
                <w:rFonts w:ascii="Times New Roman" w:eastAsia="Times New Roman" w:hAnsi="Times New Roman" w:cs="Times New Roman"/>
                <w:sz w:val="16"/>
                <w:szCs w:val="16"/>
              </w:rPr>
              <w:t>5</w:t>
            </w:r>
          </w:p>
        </w:tc>
      </w:tr>
      <w:tr w:rsidR="00D03C17" w14:paraId="5FC87244" w14:textId="77777777">
        <w:tblPrEx>
          <w:tblCellMar>
            <w:top w:w="0" w:type="dxa"/>
            <w:bottom w:w="0" w:type="dxa"/>
          </w:tblCellMar>
        </w:tblPrEx>
        <w:trPr>
          <w:trHeight w:hRule="exact" w:val="662"/>
          <w:jc w:val="center"/>
        </w:trPr>
        <w:tc>
          <w:tcPr>
            <w:tcW w:w="1675" w:type="dxa"/>
            <w:shd w:val="clear" w:color="auto" w:fill="FFFFFF"/>
            <w:vAlign w:val="bottom"/>
          </w:tcPr>
          <w:p w14:paraId="607428E1" w14:textId="77777777" w:rsidR="00D03C17" w:rsidRDefault="00D03C17">
            <w:pPr>
              <w:pStyle w:val="Other0"/>
              <w:spacing w:line="283" w:lineRule="auto"/>
              <w:ind w:firstLine="0"/>
              <w:rPr>
                <w:sz w:val="16"/>
                <w:szCs w:val="16"/>
              </w:rPr>
            </w:pPr>
            <w:r>
              <w:rPr>
                <w:rFonts w:ascii="Times New Roman" w:eastAsia="Times New Roman" w:hAnsi="Times New Roman" w:cs="Times New Roman"/>
                <w:sz w:val="16"/>
                <w:szCs w:val="16"/>
              </w:rPr>
              <w:t>varicela (por medio de VZIG)</w:t>
            </w:r>
          </w:p>
          <w:p w14:paraId="6351263D" w14:textId="77777777" w:rsidR="00D03C17" w:rsidRDefault="00D03C17">
            <w:pPr>
              <w:pStyle w:val="Other0"/>
              <w:spacing w:line="283" w:lineRule="auto"/>
              <w:ind w:firstLine="0"/>
              <w:rPr>
                <w:sz w:val="16"/>
                <w:szCs w:val="16"/>
              </w:rPr>
            </w:pPr>
            <w:r>
              <w:rPr>
                <w:rFonts w:ascii="Times New Roman" w:eastAsia="Times New Roman" w:hAnsi="Times New Roman" w:cs="Times New Roman"/>
                <w:sz w:val="16"/>
                <w:szCs w:val="16"/>
              </w:rPr>
              <w:t>Profilaxia contra RSV</w:t>
            </w:r>
          </w:p>
        </w:tc>
        <w:tc>
          <w:tcPr>
            <w:tcW w:w="710" w:type="dxa"/>
            <w:shd w:val="clear" w:color="auto" w:fill="FFFFFF"/>
            <w:vAlign w:val="bottom"/>
          </w:tcPr>
          <w:p w14:paraId="3B34EA0C" w14:textId="77777777" w:rsidR="00D03C17" w:rsidRDefault="00D03C17">
            <w:pPr>
              <w:pStyle w:val="Other0"/>
              <w:spacing w:line="240" w:lineRule="auto"/>
              <w:ind w:firstLine="0"/>
              <w:jc w:val="both"/>
              <w:rPr>
                <w:sz w:val="16"/>
                <w:szCs w:val="16"/>
              </w:rPr>
            </w:pPr>
            <w:r>
              <w:rPr>
                <w:rFonts w:ascii="Times New Roman" w:eastAsia="Times New Roman" w:hAnsi="Times New Roman" w:cs="Times New Roman"/>
                <w:sz w:val="16"/>
                <w:szCs w:val="16"/>
              </w:rPr>
              <w:t>IM</w:t>
            </w:r>
          </w:p>
        </w:tc>
        <w:tc>
          <w:tcPr>
            <w:tcW w:w="1478" w:type="dxa"/>
            <w:shd w:val="clear" w:color="auto" w:fill="FFFFFF"/>
          </w:tcPr>
          <w:p w14:paraId="780399CF" w14:textId="77777777" w:rsidR="00D03C17" w:rsidRDefault="00D03C17">
            <w:pPr>
              <w:pStyle w:val="Other0"/>
              <w:spacing w:line="240" w:lineRule="auto"/>
              <w:ind w:firstLine="540"/>
              <w:rPr>
                <w:sz w:val="16"/>
                <w:szCs w:val="16"/>
              </w:rPr>
            </w:pPr>
            <w:r>
              <w:rPr>
                <w:rFonts w:ascii="Times New Roman" w:eastAsia="Times New Roman" w:hAnsi="Times New Roman" w:cs="Times New Roman"/>
                <w:sz w:val="16"/>
                <w:szCs w:val="16"/>
              </w:rPr>
              <w:t>(máximo</w:t>
            </w:r>
          </w:p>
          <w:p w14:paraId="3D309708" w14:textId="77777777" w:rsidR="00D03C17" w:rsidRDefault="00D03C17">
            <w:pPr>
              <w:pStyle w:val="Other0"/>
              <w:spacing w:line="240" w:lineRule="auto"/>
              <w:ind w:firstLine="540"/>
              <w:rPr>
                <w:sz w:val="16"/>
                <w:szCs w:val="16"/>
              </w:rPr>
            </w:pPr>
            <w:r>
              <w:rPr>
                <w:rFonts w:ascii="Times New Roman" w:eastAsia="Times New Roman" w:hAnsi="Times New Roman" w:cs="Times New Roman"/>
                <w:sz w:val="16"/>
                <w:szCs w:val="16"/>
              </w:rPr>
              <w:t>625 U)</w:t>
            </w:r>
          </w:p>
        </w:tc>
        <w:tc>
          <w:tcPr>
            <w:tcW w:w="1291" w:type="dxa"/>
            <w:shd w:val="clear" w:color="auto" w:fill="FFFFFF"/>
            <w:vAlign w:val="bottom"/>
          </w:tcPr>
          <w:p w14:paraId="0C1ED910"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15 mg/kg</w:t>
            </w:r>
          </w:p>
        </w:tc>
        <w:tc>
          <w:tcPr>
            <w:tcW w:w="907" w:type="dxa"/>
            <w:shd w:val="clear" w:color="auto" w:fill="FFFFFF"/>
            <w:vAlign w:val="bottom"/>
          </w:tcPr>
          <w:p w14:paraId="1679F569" w14:textId="77777777" w:rsidR="00D03C17" w:rsidRDefault="00D03C17">
            <w:pPr>
              <w:pStyle w:val="Other0"/>
              <w:spacing w:line="240" w:lineRule="auto"/>
              <w:ind w:firstLine="240"/>
              <w:rPr>
                <w:sz w:val="16"/>
                <w:szCs w:val="16"/>
              </w:rPr>
            </w:pPr>
            <w:r>
              <w:rPr>
                <w:rFonts w:ascii="Times New Roman" w:eastAsia="Times New Roman" w:hAnsi="Times New Roman" w:cs="Times New Roman"/>
                <w:sz w:val="16"/>
                <w:szCs w:val="16"/>
              </w:rPr>
              <w:t>Ninguno</w:t>
            </w:r>
          </w:p>
        </w:tc>
      </w:tr>
      <w:tr w:rsidR="00D03C17" w14:paraId="4A627FF9" w14:textId="77777777">
        <w:tblPrEx>
          <w:tblCellMar>
            <w:top w:w="0" w:type="dxa"/>
            <w:bottom w:w="0" w:type="dxa"/>
          </w:tblCellMar>
        </w:tblPrEx>
        <w:trPr>
          <w:trHeight w:hRule="exact" w:val="1085"/>
          <w:jc w:val="center"/>
        </w:trPr>
        <w:tc>
          <w:tcPr>
            <w:tcW w:w="1675" w:type="dxa"/>
            <w:shd w:val="clear" w:color="auto" w:fill="FFFFFF"/>
          </w:tcPr>
          <w:p w14:paraId="27D49297" w14:textId="77777777" w:rsidR="00D03C17" w:rsidRDefault="00D03C17">
            <w:pPr>
              <w:pStyle w:val="Other0"/>
              <w:spacing w:line="283" w:lineRule="auto"/>
              <w:ind w:firstLine="0"/>
              <w:rPr>
                <w:sz w:val="16"/>
                <w:szCs w:val="16"/>
              </w:rPr>
            </w:pPr>
            <w:r>
              <w:rPr>
                <w:rFonts w:ascii="Times New Roman" w:eastAsia="Times New Roman" w:hAnsi="Times New Roman" w:cs="Times New Roman"/>
                <w:sz w:val="16"/>
                <w:szCs w:val="16"/>
              </w:rPr>
              <w:t>(anticuerpo monoclonal palivizumab)</w:t>
            </w:r>
          </w:p>
          <w:p w14:paraId="2108764F" w14:textId="77777777" w:rsidR="00D03C17" w:rsidRDefault="00D03C17">
            <w:pPr>
              <w:pStyle w:val="Other0"/>
              <w:spacing w:line="283" w:lineRule="auto"/>
              <w:ind w:firstLine="0"/>
              <w:rPr>
                <w:sz w:val="16"/>
                <w:szCs w:val="16"/>
              </w:rPr>
            </w:pPr>
            <w:r>
              <w:rPr>
                <w:rFonts w:ascii="Times New Roman" w:eastAsia="Times New Roman" w:hAnsi="Times New Roman" w:cs="Times New Roman"/>
                <w:sz w:val="16"/>
                <w:szCs w:val="16"/>
              </w:rPr>
              <w:t>Transfusión de sangre</w:t>
            </w:r>
          </w:p>
          <w:p w14:paraId="5CAF8B2A" w14:textId="77777777" w:rsidR="00D03C17" w:rsidRDefault="00D03C17">
            <w:pPr>
              <w:pStyle w:val="Other0"/>
              <w:spacing w:line="283" w:lineRule="auto"/>
              <w:ind w:firstLine="0"/>
              <w:rPr>
                <w:sz w:val="16"/>
                <w:szCs w:val="16"/>
              </w:rPr>
            </w:pPr>
            <w:r>
              <w:rPr>
                <w:rFonts w:ascii="Times New Roman" w:eastAsia="Times New Roman" w:hAnsi="Times New Roman" w:cs="Times New Roman"/>
                <w:sz w:val="16"/>
                <w:szCs w:val="16"/>
              </w:rPr>
              <w:t>Eritrocitos lavados</w:t>
            </w:r>
          </w:p>
        </w:tc>
        <w:tc>
          <w:tcPr>
            <w:tcW w:w="710" w:type="dxa"/>
            <w:shd w:val="clear" w:color="auto" w:fill="FFFFFF"/>
            <w:vAlign w:val="bottom"/>
          </w:tcPr>
          <w:p w14:paraId="557ABBA0" w14:textId="77777777" w:rsidR="00D03C17" w:rsidRDefault="00D03C17">
            <w:pPr>
              <w:pStyle w:val="Other0"/>
              <w:spacing w:line="240" w:lineRule="auto"/>
              <w:ind w:firstLine="0"/>
              <w:jc w:val="both"/>
              <w:rPr>
                <w:sz w:val="16"/>
                <w:szCs w:val="16"/>
              </w:rPr>
            </w:pPr>
            <w:r>
              <w:rPr>
                <w:rFonts w:ascii="Times New Roman" w:eastAsia="Times New Roman" w:hAnsi="Times New Roman" w:cs="Times New Roman"/>
                <w:sz w:val="16"/>
                <w:szCs w:val="16"/>
              </w:rPr>
              <w:t>IV</w:t>
            </w:r>
          </w:p>
        </w:tc>
        <w:tc>
          <w:tcPr>
            <w:tcW w:w="1478" w:type="dxa"/>
            <w:shd w:val="clear" w:color="auto" w:fill="FFFFFF"/>
            <w:vAlign w:val="bottom"/>
          </w:tcPr>
          <w:p w14:paraId="607CBC25" w14:textId="77777777" w:rsidR="00D03C17" w:rsidRDefault="00D03C17">
            <w:pPr>
              <w:pStyle w:val="Other0"/>
              <w:spacing w:line="240" w:lineRule="auto"/>
              <w:ind w:firstLine="440"/>
              <w:rPr>
                <w:sz w:val="16"/>
                <w:szCs w:val="16"/>
              </w:rPr>
            </w:pPr>
            <w:r>
              <w:rPr>
                <w:rFonts w:ascii="Times New Roman" w:eastAsia="Times New Roman" w:hAnsi="Times New Roman" w:cs="Times New Roman"/>
                <w:sz w:val="16"/>
                <w:szCs w:val="16"/>
              </w:rPr>
              <w:t>10 ml/kg</w:t>
            </w:r>
          </w:p>
        </w:tc>
        <w:tc>
          <w:tcPr>
            <w:tcW w:w="1291" w:type="dxa"/>
            <w:shd w:val="clear" w:color="auto" w:fill="FFFFFF"/>
            <w:vAlign w:val="bottom"/>
          </w:tcPr>
          <w:p w14:paraId="2C4ABB2C"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Insignificante</w:t>
            </w:r>
          </w:p>
        </w:tc>
        <w:tc>
          <w:tcPr>
            <w:tcW w:w="907" w:type="dxa"/>
            <w:shd w:val="clear" w:color="auto" w:fill="FFFFFF"/>
            <w:vAlign w:val="bottom"/>
          </w:tcPr>
          <w:p w14:paraId="49FB57C2" w14:textId="77777777" w:rsidR="00D03C17" w:rsidRDefault="00D03C17">
            <w:pPr>
              <w:pStyle w:val="Other0"/>
              <w:spacing w:line="240" w:lineRule="auto"/>
              <w:ind w:firstLine="240"/>
              <w:rPr>
                <w:sz w:val="16"/>
                <w:szCs w:val="16"/>
              </w:rPr>
            </w:pPr>
            <w:r>
              <w:rPr>
                <w:rFonts w:ascii="Times New Roman" w:eastAsia="Times New Roman" w:hAnsi="Times New Roman" w:cs="Times New Roman"/>
                <w:sz w:val="16"/>
                <w:szCs w:val="16"/>
              </w:rPr>
              <w:t>0</w:t>
            </w:r>
          </w:p>
        </w:tc>
      </w:tr>
      <w:tr w:rsidR="00D03C17" w14:paraId="68DB1A29" w14:textId="77777777">
        <w:tblPrEx>
          <w:tblCellMar>
            <w:top w:w="0" w:type="dxa"/>
            <w:bottom w:w="0" w:type="dxa"/>
          </w:tblCellMar>
        </w:tblPrEx>
        <w:trPr>
          <w:trHeight w:hRule="exact" w:val="197"/>
          <w:jc w:val="center"/>
        </w:trPr>
        <w:tc>
          <w:tcPr>
            <w:tcW w:w="2385" w:type="dxa"/>
            <w:gridSpan w:val="2"/>
            <w:shd w:val="clear" w:color="auto" w:fill="FFFFFF"/>
          </w:tcPr>
          <w:p w14:paraId="3FD44CC6"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Eritrocitos con adición IV</w:t>
            </w:r>
          </w:p>
        </w:tc>
        <w:tc>
          <w:tcPr>
            <w:tcW w:w="1478" w:type="dxa"/>
            <w:shd w:val="clear" w:color="auto" w:fill="FFFFFF"/>
          </w:tcPr>
          <w:p w14:paraId="4E920F30" w14:textId="77777777" w:rsidR="00D03C17" w:rsidRDefault="00D03C17">
            <w:pPr>
              <w:pStyle w:val="Other0"/>
              <w:spacing w:line="240" w:lineRule="auto"/>
              <w:ind w:firstLine="440"/>
              <w:rPr>
                <w:sz w:val="16"/>
                <w:szCs w:val="16"/>
              </w:rPr>
            </w:pPr>
            <w:r>
              <w:rPr>
                <w:rFonts w:ascii="Times New Roman" w:eastAsia="Times New Roman" w:hAnsi="Times New Roman" w:cs="Times New Roman"/>
                <w:sz w:val="16"/>
                <w:szCs w:val="16"/>
              </w:rPr>
              <w:t>10 ml/kg</w:t>
            </w:r>
          </w:p>
        </w:tc>
        <w:tc>
          <w:tcPr>
            <w:tcW w:w="1291" w:type="dxa"/>
            <w:shd w:val="clear" w:color="auto" w:fill="FFFFFF"/>
          </w:tcPr>
          <w:p w14:paraId="545D744F"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10</w:t>
            </w:r>
          </w:p>
        </w:tc>
        <w:tc>
          <w:tcPr>
            <w:tcW w:w="907" w:type="dxa"/>
            <w:shd w:val="clear" w:color="auto" w:fill="FFFFFF"/>
          </w:tcPr>
          <w:p w14:paraId="2043ECAB" w14:textId="77777777" w:rsidR="00D03C17" w:rsidRDefault="00D03C17">
            <w:pPr>
              <w:pStyle w:val="Other0"/>
              <w:spacing w:line="240" w:lineRule="auto"/>
              <w:ind w:firstLine="240"/>
              <w:rPr>
                <w:sz w:val="16"/>
                <w:szCs w:val="16"/>
              </w:rPr>
            </w:pPr>
            <w:r>
              <w:rPr>
                <w:rFonts w:ascii="Times New Roman" w:eastAsia="Times New Roman" w:hAnsi="Times New Roman" w:cs="Times New Roman"/>
                <w:sz w:val="16"/>
                <w:szCs w:val="16"/>
              </w:rPr>
              <w:t>3</w:t>
            </w:r>
          </w:p>
        </w:tc>
      </w:tr>
      <w:tr w:rsidR="00D03C17" w14:paraId="36CEB3F7" w14:textId="77777777">
        <w:tblPrEx>
          <w:tblCellMar>
            <w:top w:w="0" w:type="dxa"/>
            <w:bottom w:w="0" w:type="dxa"/>
          </w:tblCellMar>
        </w:tblPrEx>
        <w:trPr>
          <w:trHeight w:hRule="exact" w:val="653"/>
          <w:jc w:val="center"/>
        </w:trPr>
        <w:tc>
          <w:tcPr>
            <w:tcW w:w="1675" w:type="dxa"/>
            <w:shd w:val="clear" w:color="auto" w:fill="FFFFFF"/>
          </w:tcPr>
          <w:p w14:paraId="38878005" w14:textId="77777777" w:rsidR="00D03C17" w:rsidRDefault="00D03C17">
            <w:pPr>
              <w:pStyle w:val="Other0"/>
              <w:spacing w:line="283" w:lineRule="auto"/>
              <w:ind w:firstLine="0"/>
              <w:rPr>
                <w:sz w:val="16"/>
                <w:szCs w:val="16"/>
              </w:rPr>
            </w:pPr>
            <w:r>
              <w:rPr>
                <w:rFonts w:ascii="Times New Roman" w:eastAsia="Times New Roman" w:hAnsi="Times New Roman" w:cs="Times New Roman"/>
                <w:sz w:val="16"/>
                <w:szCs w:val="16"/>
              </w:rPr>
              <w:t>de adenina en solución salina Eritrocitos</w:t>
            </w:r>
          </w:p>
        </w:tc>
        <w:tc>
          <w:tcPr>
            <w:tcW w:w="710" w:type="dxa"/>
            <w:shd w:val="clear" w:color="auto" w:fill="FFFFFF"/>
            <w:vAlign w:val="bottom"/>
          </w:tcPr>
          <w:p w14:paraId="41471396" w14:textId="77777777" w:rsidR="00D03C17" w:rsidRDefault="00D03C17">
            <w:pPr>
              <w:pStyle w:val="Other0"/>
              <w:spacing w:line="240" w:lineRule="auto"/>
              <w:ind w:firstLine="0"/>
              <w:jc w:val="both"/>
              <w:rPr>
                <w:sz w:val="16"/>
                <w:szCs w:val="16"/>
              </w:rPr>
            </w:pPr>
            <w:r>
              <w:rPr>
                <w:rFonts w:ascii="Times New Roman" w:eastAsia="Times New Roman" w:hAnsi="Times New Roman" w:cs="Times New Roman"/>
                <w:sz w:val="16"/>
                <w:szCs w:val="16"/>
              </w:rPr>
              <w:t>IV</w:t>
            </w:r>
          </w:p>
        </w:tc>
        <w:tc>
          <w:tcPr>
            <w:tcW w:w="1478" w:type="dxa"/>
            <w:shd w:val="clear" w:color="auto" w:fill="FFFFFF"/>
            <w:vAlign w:val="bottom"/>
          </w:tcPr>
          <w:p w14:paraId="5EC73E2D" w14:textId="77777777" w:rsidR="00D03C17" w:rsidRDefault="00D03C17">
            <w:pPr>
              <w:pStyle w:val="Other0"/>
              <w:spacing w:line="240" w:lineRule="auto"/>
              <w:ind w:firstLine="440"/>
              <w:rPr>
                <w:sz w:val="16"/>
                <w:szCs w:val="16"/>
              </w:rPr>
            </w:pPr>
            <w:r>
              <w:rPr>
                <w:rFonts w:ascii="Times New Roman" w:eastAsia="Times New Roman" w:hAnsi="Times New Roman" w:cs="Times New Roman"/>
                <w:sz w:val="16"/>
                <w:szCs w:val="16"/>
              </w:rPr>
              <w:t>10 ml/kg</w:t>
            </w:r>
          </w:p>
        </w:tc>
        <w:tc>
          <w:tcPr>
            <w:tcW w:w="1291" w:type="dxa"/>
            <w:shd w:val="clear" w:color="auto" w:fill="FFFFFF"/>
            <w:vAlign w:val="bottom"/>
          </w:tcPr>
          <w:p w14:paraId="1CA938A4"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20-60</w:t>
            </w:r>
          </w:p>
        </w:tc>
        <w:tc>
          <w:tcPr>
            <w:tcW w:w="907" w:type="dxa"/>
            <w:shd w:val="clear" w:color="auto" w:fill="FFFFFF"/>
            <w:vAlign w:val="bottom"/>
          </w:tcPr>
          <w:p w14:paraId="22EE9B76" w14:textId="77777777" w:rsidR="00D03C17" w:rsidRDefault="00D03C17">
            <w:pPr>
              <w:pStyle w:val="Other0"/>
              <w:spacing w:line="240" w:lineRule="auto"/>
              <w:ind w:firstLine="240"/>
              <w:rPr>
                <w:sz w:val="16"/>
                <w:szCs w:val="16"/>
              </w:rPr>
            </w:pPr>
            <w:r>
              <w:rPr>
                <w:rFonts w:ascii="Times New Roman" w:eastAsia="Times New Roman" w:hAnsi="Times New Roman" w:cs="Times New Roman"/>
                <w:sz w:val="16"/>
                <w:szCs w:val="16"/>
              </w:rPr>
              <w:t>5</w:t>
            </w:r>
          </w:p>
        </w:tc>
      </w:tr>
      <w:tr w:rsidR="00D03C17" w14:paraId="0CA81F40" w14:textId="77777777">
        <w:tblPrEx>
          <w:tblCellMar>
            <w:top w:w="0" w:type="dxa"/>
            <w:bottom w:w="0" w:type="dxa"/>
          </w:tblCellMar>
        </w:tblPrEx>
        <w:trPr>
          <w:trHeight w:hRule="exact" w:val="442"/>
          <w:jc w:val="center"/>
        </w:trPr>
        <w:tc>
          <w:tcPr>
            <w:tcW w:w="1675" w:type="dxa"/>
            <w:shd w:val="clear" w:color="auto" w:fill="FFFFFF"/>
          </w:tcPr>
          <w:p w14:paraId="32DAEA1E" w14:textId="77777777" w:rsidR="00D03C17" w:rsidRDefault="00D03C17">
            <w:pPr>
              <w:pStyle w:val="Other0"/>
              <w:spacing w:line="283" w:lineRule="auto"/>
              <w:ind w:firstLine="0"/>
              <w:rPr>
                <w:sz w:val="16"/>
                <w:szCs w:val="16"/>
              </w:rPr>
            </w:pPr>
            <w:r>
              <w:rPr>
                <w:rFonts w:ascii="Times New Roman" w:eastAsia="Times New Roman" w:hAnsi="Times New Roman" w:cs="Times New Roman"/>
                <w:sz w:val="16"/>
                <w:szCs w:val="16"/>
              </w:rPr>
              <w:t>concentrados (paquete) Sangre completa</w:t>
            </w:r>
          </w:p>
        </w:tc>
        <w:tc>
          <w:tcPr>
            <w:tcW w:w="710" w:type="dxa"/>
            <w:shd w:val="clear" w:color="auto" w:fill="FFFFFF"/>
            <w:vAlign w:val="bottom"/>
          </w:tcPr>
          <w:p w14:paraId="13543D25" w14:textId="77777777" w:rsidR="00D03C17" w:rsidRDefault="00D03C17">
            <w:pPr>
              <w:pStyle w:val="Other0"/>
              <w:spacing w:line="240" w:lineRule="auto"/>
              <w:ind w:firstLine="0"/>
              <w:jc w:val="both"/>
              <w:rPr>
                <w:sz w:val="16"/>
                <w:szCs w:val="16"/>
              </w:rPr>
            </w:pPr>
            <w:r>
              <w:rPr>
                <w:rFonts w:ascii="Times New Roman" w:eastAsia="Times New Roman" w:hAnsi="Times New Roman" w:cs="Times New Roman"/>
                <w:sz w:val="16"/>
                <w:szCs w:val="16"/>
              </w:rPr>
              <w:t>IV</w:t>
            </w:r>
          </w:p>
        </w:tc>
        <w:tc>
          <w:tcPr>
            <w:tcW w:w="1478" w:type="dxa"/>
            <w:shd w:val="clear" w:color="auto" w:fill="FFFFFF"/>
            <w:vAlign w:val="bottom"/>
          </w:tcPr>
          <w:p w14:paraId="21BA696B" w14:textId="77777777" w:rsidR="00D03C17" w:rsidRDefault="00D03C17">
            <w:pPr>
              <w:pStyle w:val="Other0"/>
              <w:spacing w:line="240" w:lineRule="auto"/>
              <w:ind w:firstLine="440"/>
              <w:rPr>
                <w:sz w:val="16"/>
                <w:szCs w:val="16"/>
              </w:rPr>
            </w:pPr>
            <w:r>
              <w:rPr>
                <w:rFonts w:ascii="Times New Roman" w:eastAsia="Times New Roman" w:hAnsi="Times New Roman" w:cs="Times New Roman"/>
                <w:sz w:val="16"/>
                <w:szCs w:val="16"/>
              </w:rPr>
              <w:t>10 ml/kg</w:t>
            </w:r>
          </w:p>
        </w:tc>
        <w:tc>
          <w:tcPr>
            <w:tcW w:w="1291" w:type="dxa"/>
            <w:shd w:val="clear" w:color="auto" w:fill="FFFFFF"/>
            <w:vAlign w:val="bottom"/>
          </w:tcPr>
          <w:p w14:paraId="076AF176"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80-100</w:t>
            </w:r>
          </w:p>
        </w:tc>
        <w:tc>
          <w:tcPr>
            <w:tcW w:w="907" w:type="dxa"/>
            <w:shd w:val="clear" w:color="auto" w:fill="FFFFFF"/>
            <w:vAlign w:val="bottom"/>
          </w:tcPr>
          <w:p w14:paraId="2CBDE933" w14:textId="77777777" w:rsidR="00D03C17" w:rsidRDefault="00D03C17">
            <w:pPr>
              <w:pStyle w:val="Other0"/>
              <w:spacing w:line="240" w:lineRule="auto"/>
              <w:ind w:firstLine="240"/>
              <w:rPr>
                <w:sz w:val="16"/>
                <w:szCs w:val="16"/>
              </w:rPr>
            </w:pPr>
            <w:r>
              <w:rPr>
                <w:rFonts w:ascii="Times New Roman" w:eastAsia="Times New Roman" w:hAnsi="Times New Roman" w:cs="Times New Roman"/>
                <w:sz w:val="16"/>
                <w:szCs w:val="16"/>
              </w:rPr>
              <w:t>6</w:t>
            </w:r>
          </w:p>
        </w:tc>
      </w:tr>
      <w:tr w:rsidR="00D03C17" w14:paraId="49A1FDD2" w14:textId="77777777">
        <w:tblPrEx>
          <w:tblCellMar>
            <w:top w:w="0" w:type="dxa"/>
            <w:bottom w:w="0" w:type="dxa"/>
          </w:tblCellMar>
        </w:tblPrEx>
        <w:trPr>
          <w:trHeight w:hRule="exact" w:val="206"/>
          <w:jc w:val="center"/>
        </w:trPr>
        <w:tc>
          <w:tcPr>
            <w:tcW w:w="1675" w:type="dxa"/>
            <w:shd w:val="clear" w:color="auto" w:fill="FFFFFF"/>
          </w:tcPr>
          <w:p w14:paraId="28C385EF"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Productos de plasma</w:t>
            </w:r>
          </w:p>
        </w:tc>
        <w:tc>
          <w:tcPr>
            <w:tcW w:w="710" w:type="dxa"/>
            <w:shd w:val="clear" w:color="auto" w:fill="FFFFFF"/>
          </w:tcPr>
          <w:p w14:paraId="6FF5F7B0" w14:textId="77777777" w:rsidR="00D03C17" w:rsidRDefault="00D03C17">
            <w:pPr>
              <w:pStyle w:val="Other0"/>
              <w:spacing w:line="240" w:lineRule="auto"/>
              <w:ind w:firstLine="0"/>
              <w:jc w:val="both"/>
              <w:rPr>
                <w:sz w:val="16"/>
                <w:szCs w:val="16"/>
              </w:rPr>
            </w:pPr>
            <w:r>
              <w:rPr>
                <w:rFonts w:ascii="Times New Roman" w:eastAsia="Times New Roman" w:hAnsi="Times New Roman" w:cs="Times New Roman"/>
                <w:sz w:val="16"/>
                <w:szCs w:val="16"/>
              </w:rPr>
              <w:t>IV</w:t>
            </w:r>
          </w:p>
        </w:tc>
        <w:tc>
          <w:tcPr>
            <w:tcW w:w="1478" w:type="dxa"/>
            <w:shd w:val="clear" w:color="auto" w:fill="FFFFFF"/>
          </w:tcPr>
          <w:p w14:paraId="4A2C2149" w14:textId="77777777" w:rsidR="00D03C17" w:rsidRDefault="00D03C17">
            <w:pPr>
              <w:pStyle w:val="Other0"/>
              <w:spacing w:line="240" w:lineRule="auto"/>
              <w:ind w:firstLine="440"/>
              <w:rPr>
                <w:sz w:val="16"/>
                <w:szCs w:val="16"/>
              </w:rPr>
            </w:pPr>
            <w:r>
              <w:rPr>
                <w:rFonts w:ascii="Times New Roman" w:eastAsia="Times New Roman" w:hAnsi="Times New Roman" w:cs="Times New Roman"/>
                <w:sz w:val="16"/>
                <w:szCs w:val="16"/>
              </w:rPr>
              <w:t>10 ml/kg</w:t>
            </w:r>
          </w:p>
        </w:tc>
        <w:tc>
          <w:tcPr>
            <w:tcW w:w="1291" w:type="dxa"/>
            <w:shd w:val="clear" w:color="auto" w:fill="FFFFFF"/>
          </w:tcPr>
          <w:p w14:paraId="1A05BB39"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160</w:t>
            </w:r>
          </w:p>
        </w:tc>
        <w:tc>
          <w:tcPr>
            <w:tcW w:w="907" w:type="dxa"/>
            <w:shd w:val="clear" w:color="auto" w:fill="FFFFFF"/>
          </w:tcPr>
          <w:p w14:paraId="68EC3B0B" w14:textId="77777777" w:rsidR="00D03C17" w:rsidRDefault="00D03C17">
            <w:pPr>
              <w:pStyle w:val="Other0"/>
              <w:spacing w:line="240" w:lineRule="auto"/>
              <w:ind w:firstLine="240"/>
              <w:rPr>
                <w:sz w:val="16"/>
                <w:szCs w:val="16"/>
              </w:rPr>
            </w:pPr>
            <w:r>
              <w:rPr>
                <w:rFonts w:ascii="Times New Roman" w:eastAsia="Times New Roman" w:hAnsi="Times New Roman" w:cs="Times New Roman"/>
                <w:sz w:val="16"/>
                <w:szCs w:val="16"/>
              </w:rPr>
              <w:t>7</w:t>
            </w:r>
          </w:p>
        </w:tc>
      </w:tr>
      <w:tr w:rsidR="00D03C17" w14:paraId="34155A09" w14:textId="77777777">
        <w:tblPrEx>
          <w:tblCellMar>
            <w:top w:w="0" w:type="dxa"/>
            <w:bottom w:w="0" w:type="dxa"/>
          </w:tblCellMar>
        </w:tblPrEx>
        <w:trPr>
          <w:trHeight w:hRule="exact" w:val="456"/>
          <w:jc w:val="center"/>
        </w:trPr>
        <w:tc>
          <w:tcPr>
            <w:tcW w:w="1675" w:type="dxa"/>
            <w:shd w:val="clear" w:color="auto" w:fill="FFFFFF"/>
          </w:tcPr>
          <w:p w14:paraId="66933F8C" w14:textId="77777777" w:rsidR="00D03C17" w:rsidRDefault="00D03C17">
            <w:pPr>
              <w:pStyle w:val="Other0"/>
              <w:spacing w:line="283" w:lineRule="auto"/>
              <w:ind w:firstLine="0"/>
              <w:rPr>
                <w:sz w:val="16"/>
                <w:szCs w:val="16"/>
              </w:rPr>
            </w:pPr>
            <w:r>
              <w:rPr>
                <w:rFonts w:ascii="Times New Roman" w:eastAsia="Times New Roman" w:hAnsi="Times New Roman" w:cs="Times New Roman"/>
                <w:sz w:val="16"/>
                <w:szCs w:val="16"/>
              </w:rPr>
              <w:t>o de plaquetas Reposición (o terapia)</w:t>
            </w:r>
          </w:p>
        </w:tc>
        <w:tc>
          <w:tcPr>
            <w:tcW w:w="710" w:type="dxa"/>
            <w:shd w:val="clear" w:color="auto" w:fill="FFFFFF"/>
            <w:vAlign w:val="bottom"/>
          </w:tcPr>
          <w:p w14:paraId="39F9CB08" w14:textId="77777777" w:rsidR="00D03C17" w:rsidRDefault="00D03C17">
            <w:pPr>
              <w:pStyle w:val="Other0"/>
              <w:spacing w:line="240" w:lineRule="auto"/>
              <w:ind w:firstLine="0"/>
              <w:jc w:val="both"/>
              <w:rPr>
                <w:sz w:val="16"/>
                <w:szCs w:val="16"/>
              </w:rPr>
            </w:pPr>
            <w:r>
              <w:rPr>
                <w:rFonts w:ascii="Times New Roman" w:eastAsia="Times New Roman" w:hAnsi="Times New Roman" w:cs="Times New Roman"/>
                <w:sz w:val="16"/>
                <w:szCs w:val="16"/>
              </w:rPr>
              <w:t>IV</w:t>
            </w:r>
          </w:p>
        </w:tc>
        <w:tc>
          <w:tcPr>
            <w:tcW w:w="1478" w:type="dxa"/>
            <w:shd w:val="clear" w:color="auto" w:fill="FFFFFF"/>
          </w:tcPr>
          <w:p w14:paraId="3EEEBE55" w14:textId="77777777" w:rsidR="00D03C17" w:rsidRDefault="00D03C17">
            <w:pPr>
              <w:rPr>
                <w:sz w:val="10"/>
                <w:szCs w:val="10"/>
              </w:rPr>
            </w:pPr>
          </w:p>
        </w:tc>
        <w:tc>
          <w:tcPr>
            <w:tcW w:w="1291" w:type="dxa"/>
            <w:shd w:val="clear" w:color="auto" w:fill="FFFFFF"/>
            <w:vAlign w:val="bottom"/>
          </w:tcPr>
          <w:p w14:paraId="6808A735"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300-400</w:t>
            </w:r>
          </w:p>
        </w:tc>
        <w:tc>
          <w:tcPr>
            <w:tcW w:w="907" w:type="dxa"/>
            <w:shd w:val="clear" w:color="auto" w:fill="FFFFFF"/>
            <w:vAlign w:val="bottom"/>
          </w:tcPr>
          <w:p w14:paraId="2F037E69" w14:textId="77777777" w:rsidR="00D03C17" w:rsidRDefault="00D03C17">
            <w:pPr>
              <w:pStyle w:val="Other0"/>
              <w:spacing w:line="240" w:lineRule="auto"/>
              <w:ind w:firstLine="240"/>
              <w:rPr>
                <w:sz w:val="16"/>
                <w:szCs w:val="16"/>
              </w:rPr>
            </w:pPr>
            <w:r>
              <w:rPr>
                <w:rFonts w:ascii="Times New Roman" w:eastAsia="Times New Roman" w:hAnsi="Times New Roman" w:cs="Times New Roman"/>
                <w:sz w:val="16"/>
                <w:szCs w:val="16"/>
              </w:rPr>
              <w:t>8</w:t>
            </w:r>
          </w:p>
        </w:tc>
      </w:tr>
    </w:tbl>
    <w:p w14:paraId="322BE795" w14:textId="77777777" w:rsidR="00D03C17" w:rsidRDefault="00D03C17">
      <w:pPr>
        <w:pStyle w:val="Tablecaption0"/>
        <w:spacing w:line="240" w:lineRule="auto"/>
        <w:ind w:left="101"/>
        <w:rPr>
          <w:sz w:val="16"/>
          <w:szCs w:val="16"/>
        </w:rPr>
      </w:pPr>
      <w:r>
        <w:rPr>
          <w:sz w:val="16"/>
          <w:szCs w:val="16"/>
        </w:rPr>
        <w:t>de inmunodeficiencias</w:t>
      </w:r>
    </w:p>
    <w:p w14:paraId="59601093" w14:textId="77777777" w:rsidR="00D03C17" w:rsidRDefault="00D03C17">
      <w:pPr>
        <w:spacing w:line="1" w:lineRule="exact"/>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1507"/>
        <w:gridCol w:w="984"/>
        <w:gridCol w:w="2904"/>
        <w:gridCol w:w="1526"/>
      </w:tblGrid>
      <w:tr w:rsidR="00D03C17" w14:paraId="2EF0EBD7" w14:textId="77777777">
        <w:tblPrEx>
          <w:tblCellMar>
            <w:top w:w="0" w:type="dxa"/>
            <w:bottom w:w="0" w:type="dxa"/>
          </w:tblCellMar>
        </w:tblPrEx>
        <w:trPr>
          <w:trHeight w:hRule="exact" w:val="1147"/>
          <w:jc w:val="center"/>
        </w:trPr>
        <w:tc>
          <w:tcPr>
            <w:tcW w:w="6921" w:type="dxa"/>
            <w:gridSpan w:val="4"/>
            <w:tcBorders>
              <w:top w:val="single" w:sz="4" w:space="0" w:color="auto"/>
            </w:tcBorders>
            <w:shd w:val="clear" w:color="auto" w:fill="FFFFFF"/>
            <w:vAlign w:val="bottom"/>
          </w:tcPr>
          <w:p w14:paraId="5568C240" w14:textId="77777777" w:rsidR="00D03C17" w:rsidRDefault="00D03C17">
            <w:pPr>
              <w:pStyle w:val="Other0"/>
              <w:spacing w:line="211" w:lineRule="auto"/>
              <w:ind w:firstLine="0"/>
              <w:jc w:val="center"/>
              <w:rPr>
                <w:sz w:val="16"/>
                <w:szCs w:val="16"/>
              </w:rPr>
            </w:pPr>
            <w:r>
              <w:rPr>
                <w:rFonts w:ascii="Arial" w:eastAsia="Arial" w:hAnsi="Arial" w:cs="Arial"/>
                <w:w w:val="70"/>
                <w:sz w:val="26"/>
                <w:szCs w:val="26"/>
              </w:rPr>
              <w:t xml:space="preserve">Cuadro 3-62. </w:t>
            </w:r>
            <w:r>
              <w:rPr>
                <w:rFonts w:ascii="Arial" w:eastAsia="Arial" w:hAnsi="Arial" w:cs="Arial"/>
                <w:b/>
                <w:bCs/>
                <w:w w:val="70"/>
                <w:sz w:val="26"/>
                <w:szCs w:val="26"/>
              </w:rPr>
              <w:t xml:space="preserve">Intervalos sugeridos entre la aplicación de concentrado inmunoglobulínico y la vacuna antisarampionosa (triple o vacuna monovalente) </w:t>
            </w:r>
            <w:r>
              <w:rPr>
                <w:rFonts w:ascii="Times New Roman" w:eastAsia="Times New Roman" w:hAnsi="Times New Roman" w:cs="Times New Roman"/>
                <w:i/>
                <w:iCs/>
                <w:sz w:val="16"/>
                <w:szCs w:val="16"/>
              </w:rPr>
              <w:t>continuación</w:t>
            </w:r>
          </w:p>
        </w:tc>
      </w:tr>
      <w:tr w:rsidR="00D03C17" w14:paraId="21F18468" w14:textId="77777777">
        <w:tblPrEx>
          <w:tblCellMar>
            <w:top w:w="0" w:type="dxa"/>
            <w:bottom w:w="0" w:type="dxa"/>
          </w:tblCellMar>
        </w:tblPrEx>
        <w:trPr>
          <w:trHeight w:hRule="exact" w:val="226"/>
          <w:jc w:val="center"/>
        </w:trPr>
        <w:tc>
          <w:tcPr>
            <w:tcW w:w="1507" w:type="dxa"/>
            <w:shd w:val="clear" w:color="auto" w:fill="231F20"/>
          </w:tcPr>
          <w:p w14:paraId="6B9461BB" w14:textId="77777777" w:rsidR="00D03C17" w:rsidRDefault="00D03C17">
            <w:pPr>
              <w:rPr>
                <w:sz w:val="10"/>
                <w:szCs w:val="10"/>
              </w:rPr>
            </w:pPr>
          </w:p>
        </w:tc>
        <w:tc>
          <w:tcPr>
            <w:tcW w:w="984" w:type="dxa"/>
            <w:shd w:val="clear" w:color="auto" w:fill="231F20"/>
          </w:tcPr>
          <w:p w14:paraId="36763FD7" w14:textId="77777777" w:rsidR="00D03C17" w:rsidRDefault="00D03C17">
            <w:pPr>
              <w:rPr>
                <w:sz w:val="10"/>
                <w:szCs w:val="10"/>
              </w:rPr>
            </w:pPr>
          </w:p>
        </w:tc>
        <w:tc>
          <w:tcPr>
            <w:tcW w:w="2904" w:type="dxa"/>
            <w:shd w:val="clear" w:color="auto" w:fill="231F20"/>
          </w:tcPr>
          <w:p w14:paraId="717BED26" w14:textId="77777777" w:rsidR="00D03C17" w:rsidRDefault="00D03C17">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420"/>
              <w:rPr>
                <w:sz w:val="24"/>
                <w:szCs w:val="24"/>
              </w:rPr>
            </w:pPr>
            <w:r>
              <w:rPr>
                <w:rFonts w:ascii="Arial" w:eastAsia="Arial" w:hAnsi="Arial" w:cs="Arial"/>
                <w:b/>
                <w:bCs/>
                <w:color w:val="FFFFFF"/>
                <w:w w:val="70"/>
                <w:sz w:val="24"/>
                <w:szCs w:val="24"/>
              </w:rPr>
              <w:t>Dosis</w:t>
            </w:r>
          </w:p>
        </w:tc>
        <w:tc>
          <w:tcPr>
            <w:tcW w:w="1526" w:type="dxa"/>
            <w:shd w:val="clear" w:color="auto" w:fill="231F20"/>
          </w:tcPr>
          <w:p w14:paraId="3A45C709" w14:textId="77777777" w:rsidR="00D03C17" w:rsidRDefault="00D03C17">
            <w:pPr>
              <w:rPr>
                <w:sz w:val="10"/>
                <w:szCs w:val="10"/>
              </w:rPr>
            </w:pPr>
          </w:p>
        </w:tc>
      </w:tr>
      <w:tr w:rsidR="00D03C17" w14:paraId="37203912" w14:textId="77777777">
        <w:tblPrEx>
          <w:tblCellMar>
            <w:top w:w="0" w:type="dxa"/>
            <w:bottom w:w="0" w:type="dxa"/>
          </w:tblCellMar>
        </w:tblPrEx>
        <w:trPr>
          <w:trHeight w:hRule="exact" w:val="245"/>
          <w:jc w:val="center"/>
        </w:trPr>
        <w:tc>
          <w:tcPr>
            <w:tcW w:w="1507" w:type="dxa"/>
            <w:shd w:val="clear" w:color="auto" w:fill="231F20"/>
          </w:tcPr>
          <w:p w14:paraId="49713EFB" w14:textId="77777777" w:rsidR="00D03C17" w:rsidRDefault="00D03C17">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Indicación</w:t>
            </w:r>
          </w:p>
        </w:tc>
        <w:tc>
          <w:tcPr>
            <w:tcW w:w="984" w:type="dxa"/>
            <w:shd w:val="clear" w:color="auto" w:fill="231F20"/>
          </w:tcPr>
          <w:p w14:paraId="1889FBAD" w14:textId="77777777" w:rsidR="00D03C17" w:rsidRDefault="00D03C17">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280"/>
              <w:rPr>
                <w:sz w:val="24"/>
                <w:szCs w:val="24"/>
              </w:rPr>
            </w:pPr>
            <w:r>
              <w:rPr>
                <w:rFonts w:ascii="Arial" w:eastAsia="Arial" w:hAnsi="Arial" w:cs="Arial"/>
                <w:b/>
                <w:bCs/>
                <w:color w:val="FFFFFF"/>
                <w:w w:val="70"/>
                <w:sz w:val="24"/>
                <w:szCs w:val="24"/>
              </w:rPr>
              <w:t>Vía</w:t>
            </w:r>
          </w:p>
        </w:tc>
        <w:tc>
          <w:tcPr>
            <w:tcW w:w="2904" w:type="dxa"/>
            <w:tcBorders>
              <w:top w:val="single" w:sz="4" w:space="0" w:color="auto"/>
            </w:tcBorders>
            <w:shd w:val="clear" w:color="auto" w:fill="231F20"/>
          </w:tcPr>
          <w:p w14:paraId="0088E32F" w14:textId="77777777" w:rsidR="00D03C17" w:rsidRDefault="00D03C17">
            <w:pPr>
              <w:pStyle w:val="Other0"/>
              <w:pBdr>
                <w:top w:val="single" w:sz="0" w:space="0" w:color="231F20"/>
                <w:left w:val="single" w:sz="0" w:space="0" w:color="231F20"/>
                <w:bottom w:val="single" w:sz="0" w:space="0" w:color="231F20"/>
                <w:right w:val="single" w:sz="0" w:space="0" w:color="231F20"/>
              </w:pBdr>
              <w:shd w:val="clear" w:color="auto" w:fill="231F20"/>
              <w:tabs>
                <w:tab w:val="left" w:pos="1553"/>
              </w:tabs>
              <w:spacing w:line="240" w:lineRule="auto"/>
              <w:ind w:firstLine="420"/>
              <w:rPr>
                <w:sz w:val="24"/>
                <w:szCs w:val="24"/>
              </w:rPr>
            </w:pPr>
            <w:r>
              <w:rPr>
                <w:rFonts w:ascii="Arial" w:eastAsia="Arial" w:hAnsi="Arial" w:cs="Arial"/>
                <w:b/>
                <w:bCs/>
                <w:color w:val="FFFFFF"/>
                <w:w w:val="70"/>
                <w:sz w:val="24"/>
                <w:szCs w:val="24"/>
              </w:rPr>
              <w:t>U o ml</w:t>
            </w:r>
            <w:r>
              <w:rPr>
                <w:rFonts w:ascii="Arial" w:eastAsia="Arial" w:hAnsi="Arial" w:cs="Arial"/>
                <w:b/>
                <w:bCs/>
                <w:color w:val="FFFFFF"/>
                <w:w w:val="70"/>
                <w:sz w:val="24"/>
                <w:szCs w:val="24"/>
              </w:rPr>
              <w:tab/>
              <w:t>mg de IgG/kg</w:t>
            </w:r>
          </w:p>
        </w:tc>
        <w:tc>
          <w:tcPr>
            <w:tcW w:w="1526" w:type="dxa"/>
            <w:shd w:val="clear" w:color="auto" w:fill="231F20"/>
          </w:tcPr>
          <w:p w14:paraId="1E80328E" w14:textId="77777777" w:rsidR="00D03C17" w:rsidRDefault="00D03C17">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Intervalo</w:t>
            </w:r>
          </w:p>
        </w:tc>
      </w:tr>
      <w:tr w:rsidR="00D03C17" w14:paraId="7FF51813" w14:textId="77777777">
        <w:tblPrEx>
          <w:tblCellMar>
            <w:top w:w="0" w:type="dxa"/>
            <w:bottom w:w="0" w:type="dxa"/>
          </w:tblCellMar>
        </w:tblPrEx>
        <w:trPr>
          <w:trHeight w:hRule="exact" w:val="931"/>
          <w:jc w:val="center"/>
        </w:trPr>
        <w:tc>
          <w:tcPr>
            <w:tcW w:w="1507" w:type="dxa"/>
            <w:shd w:val="clear" w:color="auto" w:fill="231F20"/>
          </w:tcPr>
          <w:p w14:paraId="6A3A3174" w14:textId="77777777" w:rsidR="00D03C17" w:rsidRDefault="00D03C17">
            <w:pPr>
              <w:pStyle w:val="Other0"/>
              <w:pBdr>
                <w:top w:val="single" w:sz="0" w:space="0" w:color="231F20"/>
                <w:left w:val="single" w:sz="0" w:space="0" w:color="231F20"/>
                <w:bottom w:val="single" w:sz="0" w:space="0" w:color="231F20"/>
                <w:right w:val="single" w:sz="0" w:space="0" w:color="231F20"/>
              </w:pBdr>
              <w:shd w:val="clear" w:color="auto" w:fill="231F20"/>
              <w:spacing w:line="202" w:lineRule="auto"/>
              <w:ind w:firstLine="0"/>
              <w:rPr>
                <w:sz w:val="24"/>
                <w:szCs w:val="24"/>
              </w:rPr>
            </w:pPr>
            <w:r>
              <w:rPr>
                <w:rFonts w:ascii="Arial" w:eastAsia="Arial" w:hAnsi="Arial" w:cs="Arial"/>
                <w:b/>
                <w:bCs/>
                <w:color w:val="FFFFFF"/>
                <w:w w:val="70"/>
                <w:sz w:val="24"/>
                <w:szCs w:val="24"/>
              </w:rPr>
              <w:t>para utilizar el concentrado de inmunoglobulina</w:t>
            </w:r>
          </w:p>
        </w:tc>
        <w:tc>
          <w:tcPr>
            <w:tcW w:w="984" w:type="dxa"/>
            <w:shd w:val="clear" w:color="auto" w:fill="231F20"/>
          </w:tcPr>
          <w:p w14:paraId="5588236E" w14:textId="77777777" w:rsidR="00D03C17" w:rsidRDefault="00D03C17">
            <w:pPr>
              <w:rPr>
                <w:sz w:val="10"/>
                <w:szCs w:val="10"/>
              </w:rPr>
            </w:pPr>
          </w:p>
        </w:tc>
        <w:tc>
          <w:tcPr>
            <w:tcW w:w="2904" w:type="dxa"/>
            <w:shd w:val="clear" w:color="auto" w:fill="231F20"/>
          </w:tcPr>
          <w:p w14:paraId="62C40934" w14:textId="77777777" w:rsidR="00D03C17" w:rsidRDefault="00D03C17">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left="1560" w:firstLine="0"/>
              <w:rPr>
                <w:sz w:val="24"/>
                <w:szCs w:val="24"/>
              </w:rPr>
            </w:pPr>
            <w:r>
              <w:rPr>
                <w:rFonts w:ascii="Arial" w:eastAsia="Arial" w:hAnsi="Arial" w:cs="Arial"/>
                <w:b/>
                <w:bCs/>
                <w:color w:val="FFFFFF"/>
                <w:w w:val="70"/>
                <w:sz w:val="24"/>
                <w:szCs w:val="24"/>
              </w:rPr>
              <w:t>de peso</w:t>
            </w:r>
          </w:p>
        </w:tc>
        <w:tc>
          <w:tcPr>
            <w:tcW w:w="1526" w:type="dxa"/>
            <w:shd w:val="clear" w:color="auto" w:fill="231F20"/>
          </w:tcPr>
          <w:p w14:paraId="15A1EC5B" w14:textId="77777777" w:rsidR="00D03C17" w:rsidRDefault="00D03C17">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8"/>
                <w:szCs w:val="8"/>
              </w:rPr>
            </w:pPr>
            <w:r>
              <w:rPr>
                <w:rFonts w:ascii="Arial" w:eastAsia="Arial" w:hAnsi="Arial" w:cs="Arial"/>
                <w:b/>
                <w:bCs/>
                <w:color w:val="FFFFFF"/>
                <w:w w:val="70"/>
                <w:sz w:val="24"/>
                <w:szCs w:val="24"/>
              </w:rPr>
              <w:t>en meses</w:t>
            </w:r>
            <w:r>
              <w:rPr>
                <w:rFonts w:ascii="Times New Roman" w:eastAsia="Times New Roman" w:hAnsi="Times New Roman" w:cs="Times New Roman"/>
                <w:color w:val="FFFFFF"/>
                <w:sz w:val="8"/>
                <w:szCs w:val="8"/>
                <w:vertAlign w:val="superscript"/>
              </w:rPr>
              <w:t>1</w:t>
            </w:r>
          </w:p>
        </w:tc>
      </w:tr>
      <w:tr w:rsidR="00D03C17" w14:paraId="0ACE7AF5" w14:textId="77777777">
        <w:tblPrEx>
          <w:tblCellMar>
            <w:top w:w="0" w:type="dxa"/>
            <w:bottom w:w="0" w:type="dxa"/>
          </w:tblCellMar>
        </w:tblPrEx>
        <w:trPr>
          <w:trHeight w:hRule="exact" w:val="274"/>
          <w:jc w:val="center"/>
        </w:trPr>
        <w:tc>
          <w:tcPr>
            <w:tcW w:w="1507" w:type="dxa"/>
            <w:shd w:val="clear" w:color="auto" w:fill="FFFFFF"/>
            <w:vAlign w:val="bottom"/>
          </w:tcPr>
          <w:p w14:paraId="78A999DE"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RSV-IGIV</w:t>
            </w:r>
          </w:p>
        </w:tc>
        <w:tc>
          <w:tcPr>
            <w:tcW w:w="984" w:type="dxa"/>
            <w:shd w:val="clear" w:color="auto" w:fill="FFFFFF"/>
            <w:vAlign w:val="bottom"/>
          </w:tcPr>
          <w:p w14:paraId="1D80DB5A" w14:textId="77777777" w:rsidR="00D03C17" w:rsidRDefault="00D03C17">
            <w:pPr>
              <w:pStyle w:val="Other0"/>
              <w:spacing w:line="240" w:lineRule="auto"/>
              <w:ind w:firstLine="280"/>
              <w:rPr>
                <w:sz w:val="16"/>
                <w:szCs w:val="16"/>
              </w:rPr>
            </w:pPr>
            <w:r>
              <w:rPr>
                <w:rFonts w:ascii="Times New Roman" w:eastAsia="Times New Roman" w:hAnsi="Times New Roman" w:cs="Times New Roman"/>
                <w:sz w:val="16"/>
                <w:szCs w:val="16"/>
              </w:rPr>
              <w:t>IV</w:t>
            </w:r>
          </w:p>
        </w:tc>
        <w:tc>
          <w:tcPr>
            <w:tcW w:w="2904" w:type="dxa"/>
            <w:shd w:val="clear" w:color="auto" w:fill="FFFFFF"/>
            <w:vAlign w:val="bottom"/>
          </w:tcPr>
          <w:p w14:paraId="736BCF5A" w14:textId="77777777" w:rsidR="00D03C17" w:rsidRDefault="00D03C17">
            <w:pPr>
              <w:pStyle w:val="Other0"/>
              <w:tabs>
                <w:tab w:val="left" w:pos="1558"/>
              </w:tabs>
              <w:spacing w:line="240" w:lineRule="auto"/>
              <w:ind w:firstLine="420"/>
              <w:rPr>
                <w:sz w:val="16"/>
                <w:szCs w:val="16"/>
              </w:rPr>
            </w:pPr>
            <w:r>
              <w:rPr>
                <w:rFonts w:ascii="Times New Roman" w:eastAsia="Times New Roman" w:hAnsi="Times New Roman" w:cs="Times New Roman"/>
                <w:sz w:val="16"/>
                <w:szCs w:val="16"/>
              </w:rPr>
              <w:t>...</w:t>
            </w:r>
            <w:r>
              <w:rPr>
                <w:rFonts w:ascii="Times New Roman" w:eastAsia="Times New Roman" w:hAnsi="Times New Roman" w:cs="Times New Roman"/>
                <w:sz w:val="16"/>
                <w:szCs w:val="16"/>
              </w:rPr>
              <w:tab/>
              <w:t>750</w:t>
            </w:r>
          </w:p>
        </w:tc>
        <w:tc>
          <w:tcPr>
            <w:tcW w:w="1526" w:type="dxa"/>
            <w:shd w:val="clear" w:color="auto" w:fill="FFFFFF"/>
            <w:vAlign w:val="bottom"/>
          </w:tcPr>
          <w:p w14:paraId="09FEB0BA"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9</w:t>
            </w:r>
          </w:p>
        </w:tc>
      </w:tr>
      <w:tr w:rsidR="00D03C17" w14:paraId="19CBDD39" w14:textId="77777777">
        <w:tblPrEx>
          <w:tblCellMar>
            <w:top w:w="0" w:type="dxa"/>
            <w:bottom w:w="0" w:type="dxa"/>
          </w:tblCellMar>
        </w:tblPrEx>
        <w:trPr>
          <w:trHeight w:hRule="exact" w:val="211"/>
          <w:jc w:val="center"/>
        </w:trPr>
        <w:tc>
          <w:tcPr>
            <w:tcW w:w="1507" w:type="dxa"/>
            <w:shd w:val="clear" w:color="auto" w:fill="FFFFFF"/>
            <w:vAlign w:val="bottom"/>
          </w:tcPr>
          <w:p w14:paraId="2E4FC300"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ITP</w:t>
            </w:r>
          </w:p>
        </w:tc>
        <w:tc>
          <w:tcPr>
            <w:tcW w:w="984" w:type="dxa"/>
            <w:shd w:val="clear" w:color="auto" w:fill="FFFFFF"/>
            <w:vAlign w:val="bottom"/>
          </w:tcPr>
          <w:p w14:paraId="44F8A11B" w14:textId="77777777" w:rsidR="00D03C17" w:rsidRDefault="00D03C17">
            <w:pPr>
              <w:pStyle w:val="Other0"/>
              <w:spacing w:line="240" w:lineRule="auto"/>
              <w:ind w:firstLine="280"/>
              <w:rPr>
                <w:sz w:val="16"/>
                <w:szCs w:val="16"/>
              </w:rPr>
            </w:pPr>
            <w:r>
              <w:rPr>
                <w:rFonts w:ascii="Times New Roman" w:eastAsia="Times New Roman" w:hAnsi="Times New Roman" w:cs="Times New Roman"/>
                <w:sz w:val="16"/>
                <w:szCs w:val="16"/>
              </w:rPr>
              <w:t>IV</w:t>
            </w:r>
          </w:p>
        </w:tc>
        <w:tc>
          <w:tcPr>
            <w:tcW w:w="2904" w:type="dxa"/>
            <w:shd w:val="clear" w:color="auto" w:fill="FFFFFF"/>
            <w:vAlign w:val="bottom"/>
          </w:tcPr>
          <w:p w14:paraId="114954F0" w14:textId="77777777" w:rsidR="00D03C17" w:rsidRDefault="00D03C17">
            <w:pPr>
              <w:pStyle w:val="Other0"/>
              <w:tabs>
                <w:tab w:val="left" w:pos="1572"/>
              </w:tabs>
              <w:spacing w:line="240" w:lineRule="auto"/>
              <w:ind w:firstLine="420"/>
              <w:rPr>
                <w:sz w:val="16"/>
                <w:szCs w:val="16"/>
              </w:rPr>
            </w:pPr>
            <w:r>
              <w:rPr>
                <w:rFonts w:ascii="Times New Roman" w:eastAsia="Times New Roman" w:hAnsi="Times New Roman" w:cs="Times New Roman"/>
                <w:sz w:val="16"/>
                <w:szCs w:val="16"/>
              </w:rPr>
              <w:t>...</w:t>
            </w:r>
            <w:r>
              <w:rPr>
                <w:rFonts w:ascii="Times New Roman" w:eastAsia="Times New Roman" w:hAnsi="Times New Roman" w:cs="Times New Roman"/>
                <w:sz w:val="16"/>
                <w:szCs w:val="16"/>
              </w:rPr>
              <w:tab/>
              <w:t>1 000</w:t>
            </w:r>
          </w:p>
        </w:tc>
        <w:tc>
          <w:tcPr>
            <w:tcW w:w="1526" w:type="dxa"/>
            <w:shd w:val="clear" w:color="auto" w:fill="FFFFFF"/>
            <w:vAlign w:val="bottom"/>
          </w:tcPr>
          <w:p w14:paraId="454C43A5"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10</w:t>
            </w:r>
          </w:p>
        </w:tc>
      </w:tr>
      <w:tr w:rsidR="00D03C17" w14:paraId="2B31E219" w14:textId="77777777">
        <w:tblPrEx>
          <w:tblCellMar>
            <w:top w:w="0" w:type="dxa"/>
            <w:bottom w:w="0" w:type="dxa"/>
          </w:tblCellMar>
        </w:tblPrEx>
        <w:trPr>
          <w:trHeight w:hRule="exact" w:val="542"/>
          <w:jc w:val="center"/>
        </w:trPr>
        <w:tc>
          <w:tcPr>
            <w:tcW w:w="1507" w:type="dxa"/>
            <w:tcBorders>
              <w:bottom w:val="single" w:sz="4" w:space="0" w:color="auto"/>
            </w:tcBorders>
            <w:shd w:val="clear" w:color="auto" w:fill="FFFFFF"/>
          </w:tcPr>
          <w:p w14:paraId="3CF283BD" w14:textId="77777777" w:rsidR="00D03C17" w:rsidRDefault="00D03C17">
            <w:pPr>
              <w:pStyle w:val="Other0"/>
              <w:spacing w:line="283" w:lineRule="auto"/>
              <w:ind w:left="140" w:hanging="140"/>
              <w:rPr>
                <w:sz w:val="16"/>
                <w:szCs w:val="16"/>
              </w:rPr>
            </w:pPr>
            <w:r>
              <w:rPr>
                <w:rFonts w:ascii="Times New Roman" w:eastAsia="Times New Roman" w:hAnsi="Times New Roman" w:cs="Times New Roman"/>
                <w:sz w:val="16"/>
                <w:szCs w:val="16"/>
              </w:rPr>
              <w:t>ITP o síndrome de Kawasaki</w:t>
            </w:r>
          </w:p>
        </w:tc>
        <w:tc>
          <w:tcPr>
            <w:tcW w:w="984" w:type="dxa"/>
            <w:tcBorders>
              <w:bottom w:val="single" w:sz="4" w:space="0" w:color="auto"/>
            </w:tcBorders>
            <w:shd w:val="clear" w:color="auto" w:fill="FFFFFF"/>
          </w:tcPr>
          <w:p w14:paraId="3EB4ADB2" w14:textId="77777777" w:rsidR="00D03C17" w:rsidRDefault="00D03C17">
            <w:pPr>
              <w:pStyle w:val="Other0"/>
              <w:spacing w:line="240" w:lineRule="auto"/>
              <w:ind w:firstLine="280"/>
              <w:rPr>
                <w:sz w:val="16"/>
                <w:szCs w:val="16"/>
              </w:rPr>
            </w:pPr>
            <w:r>
              <w:rPr>
                <w:rFonts w:ascii="Times New Roman" w:eastAsia="Times New Roman" w:hAnsi="Times New Roman" w:cs="Times New Roman"/>
                <w:sz w:val="16"/>
                <w:szCs w:val="16"/>
              </w:rPr>
              <w:t>IV</w:t>
            </w:r>
          </w:p>
        </w:tc>
        <w:tc>
          <w:tcPr>
            <w:tcW w:w="2904" w:type="dxa"/>
            <w:tcBorders>
              <w:bottom w:val="single" w:sz="4" w:space="0" w:color="auto"/>
            </w:tcBorders>
            <w:shd w:val="clear" w:color="auto" w:fill="FFFFFF"/>
          </w:tcPr>
          <w:p w14:paraId="34785CCF" w14:textId="77777777" w:rsidR="00D03C17" w:rsidRDefault="00D03C17">
            <w:pPr>
              <w:pStyle w:val="Other0"/>
              <w:tabs>
                <w:tab w:val="left" w:pos="1572"/>
              </w:tabs>
              <w:spacing w:line="240" w:lineRule="auto"/>
              <w:ind w:firstLine="420"/>
              <w:rPr>
                <w:sz w:val="16"/>
                <w:szCs w:val="16"/>
              </w:rPr>
            </w:pPr>
            <w:r>
              <w:rPr>
                <w:rFonts w:ascii="Times New Roman" w:eastAsia="Times New Roman" w:hAnsi="Times New Roman" w:cs="Times New Roman"/>
                <w:sz w:val="16"/>
                <w:szCs w:val="16"/>
              </w:rPr>
              <w:t>...</w:t>
            </w:r>
            <w:r>
              <w:rPr>
                <w:rFonts w:ascii="Times New Roman" w:eastAsia="Times New Roman" w:hAnsi="Times New Roman" w:cs="Times New Roman"/>
                <w:sz w:val="16"/>
                <w:szCs w:val="16"/>
              </w:rPr>
              <w:tab/>
              <w:t>1 600-2 000</w:t>
            </w:r>
          </w:p>
        </w:tc>
        <w:tc>
          <w:tcPr>
            <w:tcW w:w="1526" w:type="dxa"/>
            <w:tcBorders>
              <w:bottom w:val="single" w:sz="4" w:space="0" w:color="auto"/>
            </w:tcBorders>
            <w:shd w:val="clear" w:color="auto" w:fill="FFFFFF"/>
          </w:tcPr>
          <w:p w14:paraId="088D2E32"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11</w:t>
            </w:r>
          </w:p>
        </w:tc>
      </w:tr>
    </w:tbl>
    <w:p w14:paraId="33BB99D2" w14:textId="77777777" w:rsidR="00D03C17" w:rsidRDefault="00D03C17">
      <w:pPr>
        <w:pStyle w:val="Tablecaption0"/>
        <w:ind w:left="91"/>
      </w:pPr>
      <w:r>
        <w:t xml:space="preserve">MMR, vacuna triple de sarampión-parotiditis-rubéola; IgG, inmunoglobulina G; TIG, concentrado de inmunoglobulina antitetánica </w:t>
      </w:r>
      <w:r>
        <w:rPr>
          <w:i/>
          <w:iCs/>
        </w:rPr>
        <w:t>(tetanus immune globulin)';</w:t>
      </w:r>
      <w:r>
        <w:t xml:space="preserve"> IG, concentrado de inmunoglobulina; IM, intramuscular; HBIG, concentrado de inmunoglobulina contra hepatitis B (hepatitis B IG); RIG, concentrado de inmunoglobulina antirrábica; VZIG, concentrado de inmunoglobulina contra varicela- zoster; IV, intravenosa; IGIV, concentrado de inmunoglobulina intravenosa; ITP, púrpura trombocitopénica inmunitaria (llamada anteriormente “idiopática”) </w:t>
      </w:r>
      <w:r>
        <w:rPr>
          <w:i/>
          <w:iCs/>
        </w:rPr>
        <w:t>(immune thrombocytopenic</w:t>
      </w:r>
      <w:r>
        <w:t xml:space="preserve"> purpura); RSV-IGIV, concentrado inmunoglobulínico contra el virus sincitial respiratorio </w:t>
      </w:r>
      <w:r>
        <w:rPr>
          <w:i/>
          <w:iCs/>
        </w:rPr>
        <w:t>(respiratory syncytial virus</w:t>
      </w:r>
      <w:r>
        <w:t>-IGIV).</w:t>
      </w:r>
    </w:p>
    <w:p w14:paraId="3F08E4BB" w14:textId="77777777" w:rsidR="00D03C17" w:rsidRDefault="00D03C17">
      <w:pPr>
        <w:pStyle w:val="Tablecaption0"/>
        <w:spacing w:line="276" w:lineRule="auto"/>
        <w:ind w:left="91"/>
      </w:pPr>
      <w:r>
        <w:rPr>
          <w:sz w:val="8"/>
          <w:szCs w:val="8"/>
          <w:vertAlign w:val="superscript"/>
        </w:rPr>
        <w:t>1</w:t>
      </w:r>
      <w:r>
        <w:rPr>
          <w:sz w:val="8"/>
          <w:szCs w:val="8"/>
        </w:rPr>
        <w:t xml:space="preserve"> </w:t>
      </w:r>
      <w:r>
        <w:t>Los intervalos señalados deben cubrir el tiempo suficiente para que las disminuciones de los niveles de anticuerpos pasivos en todos los niños permitan que surja una respuesta adecuada a la vacuna antisarampionosa. Durante tales intervalos los médicos no deben suponer que los niños están totalmente protegidos del sarampión. A veces conviene después de exposición a la enfermedad (véase el texto), usar dosis adicionales de concentrado o de vacuna antisarampionosa.</w:t>
      </w:r>
    </w:p>
    <w:p w14:paraId="533BB2CC" w14:textId="77777777" w:rsidR="00D03C17" w:rsidRDefault="00D03C17">
      <w:pPr>
        <w:spacing w:after="479" w:line="1" w:lineRule="exact"/>
      </w:pPr>
    </w:p>
    <w:p w14:paraId="34472649" w14:textId="77777777" w:rsidR="00D03C17" w:rsidRDefault="00D03C17">
      <w:pPr>
        <w:pStyle w:val="BodyText"/>
        <w:ind w:firstLine="0"/>
      </w:pPr>
      <w:r>
        <w:t>el primer año de vida o poco después, generan signos serológicos de inmunidad al sarampión. La vacunación no es nociva en personas que ya han estado inmunes.</w:t>
      </w:r>
    </w:p>
    <w:p w14:paraId="289480C2" w14:textId="77777777" w:rsidR="00D03C17" w:rsidRDefault="00D03C17">
      <w:pPr>
        <w:pStyle w:val="BodyText"/>
        <w:ind w:firstLine="380"/>
      </w:pPr>
      <w:r>
        <w:t>La vacuna mal almacenada quizá no proteja contra el sarampión. Desde 1979 se le ha agregado un estabilizador mejor que la vuelve más resistente a la inactivación por calor. Sin embargo, durante el almacenamiento y antes de la reconstitución hay que conservar la vacuna a temperatura de 2 a 8°C o más fría. El congelamiento no es dañino para la vacuna liofilizada. El diluyente es agua estéril y si se suministra en ampolletas no debe congelarse porque el vidrio se puede romper. Es importante proteger a la vacuna antisarampionosa de la luz ultravioleta (en particular después de su reconstitución) porque tal forma de energía puede inactivar el virus. La vacuna debe transportarse a 10°C o temperatura más fría, y también puede emplearse hielo seco para tal fin. La vacuna reconstituida debe almacenarse en un refrigerador y desecharse si no se utiliza en término de 8 horas.</w:t>
      </w:r>
    </w:p>
    <w:p w14:paraId="641C5BD4" w14:textId="77777777" w:rsidR="00D03C17" w:rsidRDefault="00D03C17">
      <w:pPr>
        <w:pStyle w:val="BodyText"/>
        <w:spacing w:line="276" w:lineRule="auto"/>
        <w:ind w:firstLine="0"/>
      </w:pPr>
      <w:r>
        <w:rPr>
          <w:rFonts w:ascii="Arial" w:eastAsia="Arial" w:hAnsi="Arial" w:cs="Arial"/>
          <w:b/>
          <w:bCs/>
          <w:i/>
          <w:iCs/>
          <w:sz w:val="15"/>
          <w:szCs w:val="15"/>
        </w:rPr>
        <w:t>Recomendaciones para la vacunación</w:t>
      </w:r>
      <w:r>
        <w:t xml:space="preserve"> (véase cuadro 3-63, que es un resumen). </w:t>
      </w:r>
      <w:r>
        <w:rPr>
          <w:rFonts w:ascii="Times New Roman" w:eastAsia="Times New Roman" w:hAnsi="Times New Roman" w:cs="Times New Roman"/>
          <w:b/>
          <w:bCs/>
          <w:i/>
          <w:iCs/>
          <w:sz w:val="16"/>
          <w:szCs w:val="16"/>
        </w:rPr>
        <w:t>Edad de vacunación corriente.</w:t>
      </w:r>
      <w:r>
        <w:t xml:space="preserve"> La primera dosis de vacuna antisarampionosa debe aplicarse entre los 12 y 15 meses de vida. Los retrasos en la administración de la primera dosis fueron los factores que contribuyeron a los grandes brotes de 1989 a 1991. En el caso de preescolares que viven en zonas de alto riesgo, en particular grandes áreas urbanas, se recomienda la vacunación inicial a los 12 meses de vida. La segunda dosis se recomienda sistemáticamente al incorporarse el niño al sistema escolar (cuatro a seis años de vida), pero puede aplicarse en fecha más temprana (durante un brote o antes de un viaje a otras naciones), siempre y cuando el intervalo que media entre la</w:t>
      </w:r>
    </w:p>
    <w:p w14:paraId="2EFBCD8D" w14:textId="77777777" w:rsidR="00D03C17" w:rsidRDefault="00D03C17">
      <w:pPr>
        <w:pStyle w:val="Heading31"/>
        <w:keepNext/>
        <w:keepLines/>
        <w:spacing w:after="40"/>
      </w:pPr>
      <w:bookmarkStart w:id="25" w:name="bookmark1051"/>
      <w:bookmarkStart w:id="26" w:name="bookmark1052"/>
      <w:bookmarkStart w:id="27" w:name="bookmark1053"/>
      <w:r>
        <w:rPr>
          <w:b w:val="0"/>
          <w:bCs w:val="0"/>
        </w:rPr>
        <w:t xml:space="preserve">Cuadro 3-63. </w:t>
      </w:r>
      <w:r>
        <w:t>Recomendaciones para la vacunación contra el sarampión</w:t>
      </w:r>
      <w:r>
        <w:rPr>
          <w:vertAlign w:val="superscript"/>
        </w:rPr>
        <w:t>1</w:t>
      </w:r>
      <w:bookmarkEnd w:id="25"/>
      <w:bookmarkEnd w:id="26"/>
      <w:bookmarkEnd w:id="27"/>
    </w:p>
    <w:p w14:paraId="0D096587" w14:textId="77777777" w:rsidR="00D03C17" w:rsidRDefault="00D03C17">
      <w:pPr>
        <w:pStyle w:val="Heading41"/>
        <w:keepNext/>
        <w:keepLines/>
        <w:pBdr>
          <w:top w:val="single" w:sz="0" w:space="0" w:color="231F20"/>
          <w:left w:val="single" w:sz="0" w:space="0" w:color="231F20"/>
          <w:bottom w:val="single" w:sz="0" w:space="3" w:color="231F20"/>
          <w:right w:val="single" w:sz="0" w:space="0" w:color="231F20"/>
        </w:pBdr>
        <w:shd w:val="clear" w:color="auto" w:fill="231F20"/>
        <w:tabs>
          <w:tab w:val="left" w:pos="3398"/>
        </w:tabs>
        <w:sectPr w:rsidR="00D03C17" w:rsidSect="00D03C17">
          <w:headerReference w:type="even" r:id="rId40"/>
          <w:headerReference w:type="default" r:id="rId41"/>
          <w:footerReference w:type="even" r:id="rId42"/>
          <w:footerReference w:type="default" r:id="rId43"/>
          <w:footnotePr>
            <w:numFmt w:val="chicago"/>
          </w:footnotePr>
          <w:pgSz w:w="8501" w:h="13022"/>
          <w:pgMar w:top="710" w:right="796" w:bottom="428" w:left="783" w:header="0" w:footer="3" w:gutter="0"/>
          <w:pgNumType w:start="599"/>
          <w:cols w:space="720"/>
          <w:noEndnote/>
          <w:docGrid w:linePitch="360"/>
          <w15:footnoteColumns w:val="1"/>
        </w:sectPr>
      </w:pPr>
      <w:bookmarkStart w:id="28" w:name="bookmark1054"/>
      <w:bookmarkStart w:id="29" w:name="bookmark1055"/>
      <w:bookmarkStart w:id="30" w:name="bookmark1056"/>
      <w:r>
        <w:rPr>
          <w:color w:val="FFFFFF"/>
        </w:rPr>
        <w:t>Categoría</w:t>
      </w:r>
      <w:r>
        <w:rPr>
          <w:color w:val="FFFFFF"/>
        </w:rPr>
        <w:tab/>
        <w:t>Recomendaciones</w:t>
      </w:r>
      <w:bookmarkEnd w:id="28"/>
      <w:bookmarkEnd w:id="29"/>
      <w:bookmarkEnd w:id="30"/>
    </w:p>
    <w:p w14:paraId="3C88B493" w14:textId="77777777" w:rsidR="00D03C17" w:rsidRDefault="00D03C17">
      <w:pPr>
        <w:pStyle w:val="Bodytext20"/>
        <w:spacing w:after="620"/>
      </w:pPr>
      <w:r>
        <w:t>Niño no inmunizado sin antecedente de sarampión (12 a 15 meses de edad)</w:t>
      </w:r>
    </w:p>
    <w:p w14:paraId="63843EA5" w14:textId="77777777" w:rsidR="00D03C17" w:rsidRDefault="00D03C17">
      <w:pPr>
        <w:pStyle w:val="Bodytext20"/>
        <w:spacing w:after="620" w:line="295" w:lineRule="auto"/>
      </w:pPr>
      <w:r>
        <w:t>Niños de 6 a 11 meses en situaciones de epidemia</w:t>
      </w:r>
      <w:r>
        <w:rPr>
          <w:vertAlign w:val="superscript"/>
        </w:rPr>
        <w:footnoteReference w:id="4"/>
      </w:r>
      <w:r>
        <w:rPr>
          <w:vertAlign w:val="superscript"/>
        </w:rPr>
        <w:t xml:space="preserve"> </w:t>
      </w:r>
      <w:r>
        <w:rPr>
          <w:vertAlign w:val="superscript"/>
        </w:rPr>
        <w:footnoteReference w:id="5"/>
      </w:r>
      <w:r>
        <w:rPr>
          <w:vertAlign w:val="superscript"/>
        </w:rPr>
        <w:t xml:space="preserve"> </w:t>
      </w:r>
      <w:r>
        <w:rPr>
          <w:vertAlign w:val="superscript"/>
        </w:rPr>
        <w:footnoteReference w:id="6"/>
      </w:r>
    </w:p>
    <w:p w14:paraId="63643893" w14:textId="77777777" w:rsidR="00D03C17" w:rsidRDefault="00D03C17">
      <w:pPr>
        <w:pStyle w:val="Bodytext20"/>
      </w:pPr>
      <w:r>
        <w:t>Niños de 4 a 12 años que recibieron una dosis de la vacuna contra el sarampión a los 12 meses de vida o más</w:t>
      </w:r>
    </w:p>
    <w:p w14:paraId="16DB4A2E" w14:textId="77777777" w:rsidR="00D03C17" w:rsidRDefault="00D03C17">
      <w:pPr>
        <w:pStyle w:val="Bodytext20"/>
      </w:pPr>
      <w:r>
        <w:t>Estudiantes en universidades u otras instituciones superiores (después de preparatoria) que recibieron una dosis de vacuna contra el sarampión a los 12 meses de vida o después</w:t>
      </w:r>
    </w:p>
    <w:p w14:paraId="75B973F7" w14:textId="77777777" w:rsidR="00D03C17" w:rsidRDefault="00D03C17">
      <w:pPr>
        <w:pStyle w:val="Bodytext20"/>
      </w:pPr>
      <w:r>
        <w:t>Antecedente de vacunación antes de cumplir el primer año de vida</w:t>
      </w:r>
    </w:p>
    <w:p w14:paraId="66A2BFD7" w14:textId="77777777" w:rsidR="00D03C17" w:rsidRDefault="00D03C17">
      <w:pPr>
        <w:pStyle w:val="Bodytext20"/>
      </w:pPr>
      <w:r>
        <w:t>Antecedente de haber recibido vacuna con virus inactivados de sarampión o un tipo desconocido de vacuna, 1963-1967</w:t>
      </w:r>
    </w:p>
    <w:p w14:paraId="0CA697B7" w14:textId="77777777" w:rsidR="00D03C17" w:rsidRDefault="00D03C17">
      <w:pPr>
        <w:pStyle w:val="Bodytext20"/>
      </w:pPr>
      <w:r>
        <w:t>Vacuna hecha de virus más atenuados o desconocida, aplicada junto con concentrado IG</w:t>
      </w:r>
    </w:p>
    <w:p w14:paraId="6E16FD94" w14:textId="77777777" w:rsidR="00D03C17" w:rsidRDefault="00D03C17">
      <w:pPr>
        <w:pStyle w:val="Bodytext20"/>
        <w:spacing w:after="200"/>
      </w:pPr>
      <w:r>
        <w:t>Alergia a los huevos</w:t>
      </w:r>
    </w:p>
    <w:p w14:paraId="030AF627" w14:textId="77777777" w:rsidR="00D03C17" w:rsidRDefault="00D03C17">
      <w:pPr>
        <w:pStyle w:val="Bodytext20"/>
        <w:spacing w:after="200"/>
      </w:pPr>
      <w:r>
        <w:t>Alergia a neomicina, no anafiláctica</w:t>
      </w:r>
    </w:p>
    <w:p w14:paraId="5691F27C" w14:textId="77777777" w:rsidR="00D03C17" w:rsidRDefault="00D03C17">
      <w:pPr>
        <w:pStyle w:val="Bodytext20"/>
      </w:pPr>
      <w:r>
        <w:t>Hipersensibilidad intensa (anafilaxia) a la neomicina o a la gelatina</w:t>
      </w:r>
    </w:p>
    <w:p w14:paraId="3810615B" w14:textId="77777777" w:rsidR="00D03C17" w:rsidRDefault="00D03C17">
      <w:pPr>
        <w:pStyle w:val="Bodytext20"/>
        <w:spacing w:after="200"/>
      </w:pPr>
      <w:r>
        <w:t>Tuberculosis</w:t>
      </w:r>
    </w:p>
    <w:p w14:paraId="6773B686" w14:textId="77777777" w:rsidR="00D03C17" w:rsidRDefault="00D03C17">
      <w:pPr>
        <w:pStyle w:val="Bodytext20"/>
        <w:spacing w:after="420"/>
      </w:pPr>
      <w:r>
        <w:t>Exposición al sarampión</w:t>
      </w:r>
    </w:p>
    <w:p w14:paraId="5D2E240B" w14:textId="77777777" w:rsidR="00D03C17" w:rsidRDefault="00D03C17">
      <w:pPr>
        <w:pStyle w:val="Bodytext20"/>
        <w:spacing w:after="420"/>
      </w:pPr>
      <w:r>
        <w:t>Infección por VIH</w:t>
      </w:r>
    </w:p>
    <w:p w14:paraId="4E29B361" w14:textId="77777777" w:rsidR="00D03C17" w:rsidRDefault="00D03C17">
      <w:pPr>
        <w:pStyle w:val="Bodytext20"/>
      </w:pPr>
      <w:r>
        <w:t>Antecedente personal o familiar de convulsiones</w:t>
      </w:r>
    </w:p>
    <w:p w14:paraId="30D373F8" w14:textId="77777777" w:rsidR="00D03C17" w:rsidRDefault="00D03C17">
      <w:pPr>
        <w:pStyle w:val="Bodytext20"/>
        <w:spacing w:after="420"/>
      </w:pPr>
      <w:r>
        <w:t>Persona que ha recibido concentrado inmunoglobulínico o sangre</w:t>
      </w:r>
    </w:p>
    <w:p w14:paraId="3B14C1DE" w14:textId="77777777" w:rsidR="00D03C17" w:rsidRDefault="00D03C17">
      <w:pPr>
        <w:pStyle w:val="Bodytext20"/>
      </w:pPr>
      <w:r>
        <w:t>Se recomienda un plan con dos dosis (con vacuna triple). Se recomienda aplicar la primera dosis entre los 12 y 15 meses de edad y la segunda entre el cuarto y sexto año de vida</w:t>
      </w:r>
    </w:p>
    <w:p w14:paraId="265E3425" w14:textId="77777777" w:rsidR="00D03C17" w:rsidRDefault="00D03C17">
      <w:pPr>
        <w:pStyle w:val="Bodytext20"/>
        <w:spacing w:after="420"/>
      </w:pPr>
      <w:r>
        <w:t>Vacunar (con vacuna monovalente contra el sarampión y si no se dispone de ella, vacuna triple); se necesita revacunar (con vacuna triple) entre los 12 y 15 meses de edad y la tercera dosis está indicada entre los 4 y 6 años de vida Revacunar (una dosis)</w:t>
      </w:r>
    </w:p>
    <w:p w14:paraId="070348C2" w14:textId="77777777" w:rsidR="00D03C17" w:rsidRDefault="00D03C17">
      <w:pPr>
        <w:pStyle w:val="Bodytext20"/>
        <w:spacing w:after="840"/>
      </w:pPr>
      <w:r>
        <w:t>Revacunar (una dosis)</w:t>
      </w:r>
    </w:p>
    <w:p w14:paraId="240B01BC" w14:textId="77777777" w:rsidR="00D03C17" w:rsidRDefault="00D03C17">
      <w:pPr>
        <w:pStyle w:val="Bodytext20"/>
      </w:pPr>
      <w:r>
        <w:t>Considerar al niño como susceptible y vacunarlo (dos dosis)</w:t>
      </w:r>
    </w:p>
    <w:p w14:paraId="554E592B" w14:textId="77777777" w:rsidR="00D03C17" w:rsidRDefault="00D03C17">
      <w:pPr>
        <w:pStyle w:val="Bodytext20"/>
        <w:spacing w:after="200"/>
      </w:pPr>
      <w:r>
        <w:t>Considerar al niño como susceptible y vacunarlo (dos dosis)</w:t>
      </w:r>
    </w:p>
    <w:p w14:paraId="39BFB896" w14:textId="77777777" w:rsidR="00D03C17" w:rsidRDefault="00D03C17">
      <w:pPr>
        <w:pStyle w:val="Bodytext20"/>
        <w:spacing w:after="200"/>
      </w:pPr>
      <w:r>
        <w:t>Considerar al niño como susceptible y vacunarlo (dos dosis)</w:t>
      </w:r>
    </w:p>
    <w:p w14:paraId="0B1936E6" w14:textId="77777777" w:rsidR="00D03C17" w:rsidRDefault="00D03C17">
      <w:pPr>
        <w:pStyle w:val="Bodytext20"/>
      </w:pPr>
      <w:r>
        <w:t>Vacunar; es posible que no surjan reacciones (véase el texto)</w:t>
      </w:r>
    </w:p>
    <w:p w14:paraId="615BD850" w14:textId="77777777" w:rsidR="00D03C17" w:rsidRDefault="00D03C17">
      <w:pPr>
        <w:pStyle w:val="Bodytext20"/>
      </w:pPr>
      <w:r>
        <w:t>Vacunar; es posible que no surjan reacciones</w:t>
      </w:r>
    </w:p>
    <w:p w14:paraId="1B866F33" w14:textId="77777777" w:rsidR="00D03C17" w:rsidRDefault="00D03C17">
      <w:pPr>
        <w:pStyle w:val="Bodytext20"/>
      </w:pPr>
      <w:r>
        <w:t>(véase el texto)</w:t>
      </w:r>
    </w:p>
    <w:p w14:paraId="0F64ADDB" w14:textId="77777777" w:rsidR="00D03C17" w:rsidRDefault="00D03C17">
      <w:pPr>
        <w:pStyle w:val="Bodytext20"/>
        <w:spacing w:after="200"/>
      </w:pPr>
      <w:r>
        <w:t>No vacunar</w:t>
      </w:r>
    </w:p>
    <w:p w14:paraId="246E521F" w14:textId="77777777" w:rsidR="00D03C17" w:rsidRDefault="00D03C17">
      <w:pPr>
        <w:pStyle w:val="Bodytext20"/>
      </w:pPr>
      <w:r>
        <w:t>Vacunar (véase “Tuberculosis” en esta sección); la vacuna no exacerba la infección</w:t>
      </w:r>
    </w:p>
    <w:p w14:paraId="37514581" w14:textId="77777777" w:rsidR="00D03C17" w:rsidRDefault="00D03C17">
      <w:pPr>
        <w:pStyle w:val="Bodytext20"/>
      </w:pPr>
      <w:r>
        <w:t>Vacunar, administrar concentrado IG o practicar ambas medidas, según la circunstancia (véase texto en este resumen)</w:t>
      </w:r>
    </w:p>
    <w:p w14:paraId="43E44253" w14:textId="77777777" w:rsidR="00D03C17" w:rsidRDefault="00D03C17">
      <w:pPr>
        <w:pStyle w:val="Bodytext20"/>
      </w:pPr>
      <w:r>
        <w:t>Vacunar (dos dosis), salvo que haya inmunodeficiencia profunda (véase texto en este resumen)</w:t>
      </w:r>
    </w:p>
    <w:p w14:paraId="26D1498A" w14:textId="77777777" w:rsidR="00D03C17" w:rsidRDefault="00D03C17">
      <w:pPr>
        <w:pStyle w:val="Bodytext20"/>
      </w:pPr>
      <w:r>
        <w:t>Vacunar; señalar a los padres que existe un riesgo levemente mayor de convulsiones</w:t>
      </w:r>
    </w:p>
    <w:p w14:paraId="45FEEF60" w14:textId="77777777" w:rsidR="00D03C17" w:rsidRDefault="00D03C17">
      <w:pPr>
        <w:pStyle w:val="Bodytext20"/>
      </w:pPr>
      <w:r>
        <w:t>Vacunar al intervalo apropiado</w:t>
      </w:r>
    </w:p>
    <w:p w14:paraId="60321136" w14:textId="77777777" w:rsidR="00D03C17" w:rsidRDefault="00D03C17">
      <w:pPr>
        <w:pStyle w:val="Bodytext20"/>
        <w:spacing w:after="300"/>
        <w:sectPr w:rsidR="00D03C17" w:rsidSect="00D03C17">
          <w:type w:val="continuous"/>
          <w:pgSz w:w="8501" w:h="13022"/>
          <w:pgMar w:top="893" w:right="729" w:bottom="893" w:left="1181" w:header="0" w:footer="3" w:gutter="0"/>
          <w:cols w:num="2" w:space="100"/>
          <w:noEndnote/>
          <w:docGrid w:linePitch="360"/>
          <w15:footnoteColumns w:val="1"/>
        </w:sectPr>
      </w:pPr>
      <w:r>
        <w:t>(véase cuadro 3-62)</w:t>
      </w:r>
    </w:p>
    <w:p w14:paraId="7BCB2E90" w14:textId="77777777" w:rsidR="00D03C17" w:rsidRDefault="00D03C17">
      <w:pPr>
        <w:pStyle w:val="BodyText"/>
        <w:spacing w:before="300"/>
        <w:ind w:firstLine="0"/>
      </w:pPr>
      <w:r>
        <w:t>primera y la segunda dosis sea de cuatro semanas, como mínimo. Los niños que no fueron revacunados al incorporarse a la escuela deben recibir la segunda dosis entre los 11 y los 12 años de vida. Si el menor recibe una dosis de la vacuna antes de los 12 meses de vida, se necesitan dos dosis adicionales, que se comenzarán entre los 12 y 15 meses de edad y que estarán separadas por una diferencia mínima de cuatro semanas. En 2001, en Estados Unidos todos los escolares debieron haber recibido dos dosis de vacuna que contenía la fracción antisarampionosa.</w:t>
      </w:r>
    </w:p>
    <w:p w14:paraId="3CC6445F" w14:textId="77777777" w:rsidR="00D03C17" w:rsidRDefault="00D03C17">
      <w:pPr>
        <w:pStyle w:val="BodyText"/>
        <w:spacing w:line="276" w:lineRule="auto"/>
        <w:ind w:firstLine="360"/>
      </w:pPr>
      <w:r>
        <w:rPr>
          <w:rFonts w:ascii="Times New Roman" w:eastAsia="Times New Roman" w:hAnsi="Times New Roman" w:cs="Times New Roman"/>
          <w:b/>
          <w:bCs/>
          <w:i/>
          <w:iCs/>
          <w:sz w:val="16"/>
          <w:szCs w:val="16"/>
        </w:rPr>
        <w:t>Estudiantes de preparatoria y personas de mayor edad.</w:t>
      </w:r>
      <w:r>
        <w:t xml:space="preserve"> Ante la aparición ininterrumpida del sarampión en niños de mayor edad y adultos jóvenes, habrá que conceder enorme importancia a identificar y vacunar de manera apropiada a adolescentes y adultos jóvenes que puedan ser susceptibles, y que estén en preparatoria, universidad y en el entorno asistencial. Habrá que considerar a toda persona como susceptible salvo que haya corroboración escrita de dos dosis de la vacuna antisarampionosa administradas con una diferencia de un mes, sarampión diagnosticado por médico o datos de estudio de laboratorio de inmunidad a la enfermedad o personas que nacieron antes de 1957. En el caso de niños, adolescentes y adultos que nacieron en 1957 o en fecha ulterior, se necesitan dos dosis de vacuna antisarampionosa como prueba de inmunidad. Se considera que no es documentación adecuada el señalamiento de la vacunación hecho por un padre. Los médicos deben llevar un registro de vacunaciones para los pacientes, sólo si ellos aplicaron la vacuna o se han enterado de un registro en que se corrobora la vacunación.</w:t>
      </w:r>
    </w:p>
    <w:p w14:paraId="1D39C64F" w14:textId="77777777" w:rsidR="00D03C17" w:rsidRDefault="00D03C17">
      <w:pPr>
        <w:pStyle w:val="BodyText"/>
        <w:spacing w:line="276" w:lineRule="auto"/>
        <w:ind w:firstLine="360"/>
      </w:pPr>
      <w:r>
        <w:rPr>
          <w:rFonts w:ascii="Times New Roman" w:eastAsia="Times New Roman" w:hAnsi="Times New Roman" w:cs="Times New Roman"/>
          <w:b/>
          <w:bCs/>
          <w:i/>
          <w:iCs/>
          <w:sz w:val="16"/>
          <w:szCs w:val="16"/>
        </w:rPr>
        <w:t>Universidades y otras instituciones educativas después de la preparatoria.</w:t>
      </w:r>
      <w:r>
        <w:t xml:space="preserve"> Las universidades y otras instituciones deben exigir que todos los estudiantes que a ella se incorporan cuenten con documentos de que un médico diagnosticó el sarampión, pruebas serológicas de inmunidad o haber recibido dos dosis de vacuna que contenían la fracción antisarampionosa. Es importante en todo estudiante que no tiene la documentación de la vacunación ni de inmunidad, reciba una dosis al comenzar sus estudios, seguido de otra dosis más cuatro semanas después.</w:t>
      </w:r>
    </w:p>
    <w:p w14:paraId="4C79775A" w14:textId="77777777" w:rsidR="00D03C17" w:rsidRDefault="00D03C17">
      <w:pPr>
        <w:pStyle w:val="BodyText"/>
        <w:spacing w:line="276" w:lineRule="auto"/>
        <w:ind w:firstLine="360"/>
      </w:pPr>
      <w:r>
        <w:rPr>
          <w:rFonts w:ascii="Times New Roman" w:eastAsia="Times New Roman" w:hAnsi="Times New Roman" w:cs="Times New Roman"/>
          <w:b/>
          <w:bCs/>
          <w:i/>
          <w:iCs/>
          <w:sz w:val="16"/>
          <w:szCs w:val="16"/>
        </w:rPr>
        <w:t>Vacunación durante un brote.</w:t>
      </w:r>
      <w:r>
        <w:t xml:space="preserve"> En un brote, puede aplicarse vacuna monovalente a pequeños incluso de seis meses de edad (véase después en este resumen “Erradicación de brotes”). Si no se dispone de dicha vacuna puede aplicarse la vacuna triple. Sin embargo, las cifras de seroconversión después de usar esta última son significativamente menores en niños vacunados antes de cumplir el primer año de vida, que las cifras de seroconversión en niños vacunados después de esa fecha. Por todo lo comentado, los menores vacunados antes de cumplir el primer año de vida deben recibir la vacuna triple entre los 12 y 15 meses de edad (cuando menos cuatro semanas después de la primera vacuna antisarampionosa) y de nuevo al incorporarse a la escuela (cuatro a seis años).</w:t>
      </w:r>
    </w:p>
    <w:p w14:paraId="6AE48971" w14:textId="77777777" w:rsidR="00D03C17" w:rsidRDefault="00D03C17">
      <w:pPr>
        <w:pStyle w:val="BodyText"/>
        <w:spacing w:line="276" w:lineRule="auto"/>
        <w:ind w:firstLine="360"/>
      </w:pPr>
      <w:r>
        <w:rPr>
          <w:rFonts w:ascii="Times New Roman" w:eastAsia="Times New Roman" w:hAnsi="Times New Roman" w:cs="Times New Roman"/>
          <w:b/>
          <w:bCs/>
          <w:i/>
          <w:iCs/>
          <w:sz w:val="16"/>
          <w:szCs w:val="16"/>
        </w:rPr>
        <w:t>Viajes internacionales.</w:t>
      </w:r>
      <w:r>
        <w:t xml:space="preserve"> Los niños que viajan a otras naciones deben ser inmunes al sarampión. En el caso de menores de corta edad que acuden a zonas en que la enfermedad es endémica o epidémica quizá haya necesidad de disminuir la edad para recibir la primera vacuna. Los lactantes de seis a 11 meses deben recibir una dosis de vacuna monovalente antes de emprender el viaje y después una vacuna triple entre los 12 y 15 meses de vida (cuando menos cuatro semanas después de la primera vacuna) y de nuevo entre los cuatro y seis años de vida. La primera dosis de vacuna triple debe aplicarse antes del viaje a los niños de 12 a 15 meses. Los menores que han recibido una dosis y que viajan a una zona en que es endémico o epidémico el sarampión deben recibir la segunda dosis antes del viaje, siempre y cuando el intervalo entre una y otra dosis sea de cuatro semanas o más.</w:t>
      </w:r>
    </w:p>
    <w:p w14:paraId="5C799468" w14:textId="77777777" w:rsidR="00D03C17" w:rsidRDefault="00D03C17">
      <w:pPr>
        <w:pStyle w:val="BodyText"/>
        <w:ind w:firstLine="360"/>
      </w:pPr>
      <w:r>
        <w:rPr>
          <w:rFonts w:ascii="Times New Roman" w:eastAsia="Times New Roman" w:hAnsi="Times New Roman" w:cs="Times New Roman"/>
          <w:b/>
          <w:bCs/>
          <w:i/>
          <w:iCs/>
          <w:sz w:val="16"/>
          <w:szCs w:val="16"/>
        </w:rPr>
        <w:t>Instituciones asistenciales.</w:t>
      </w:r>
      <w:r>
        <w:t xml:space="preserve"> Antes de que comiencen sus labores todos los profesionales asistenciales nacidos en 1957 o después, aportarán pruebas de haber tenido sarampión, inmunidad a la enfermedad o de haber recibido dos dosis de vacuna antisarampionosa (véase “Personal asistencial”, sección 1). En cuanto a recomendaciones durante un brote, véase después en este resumen “Erradicación de brotes”.</w:t>
      </w:r>
    </w:p>
    <w:p w14:paraId="3F3F4A66" w14:textId="77777777" w:rsidR="00D03C17" w:rsidRDefault="00D03C17">
      <w:pPr>
        <w:pStyle w:val="BodyText"/>
        <w:ind w:firstLine="360"/>
      </w:pPr>
      <w:r>
        <w:rPr>
          <w:rFonts w:ascii="Arial" w:eastAsia="Arial" w:hAnsi="Arial" w:cs="Arial"/>
          <w:b/>
          <w:bCs/>
          <w:i/>
          <w:iCs/>
          <w:sz w:val="15"/>
          <w:szCs w:val="15"/>
        </w:rPr>
        <w:t>Reacciones adversas.</w:t>
      </w:r>
      <w:r>
        <w:t xml:space="preserve"> En 5 a 15% de los niños susceptibles que reciben la vacuna surge una temperatura de 39.4°C o mayor, seis a 12 días después de recibir la vacuna triple; la fiebre suele durar uno o dos días pero puede prolongarse cinco días. Casi todos los menores con fiebre por lo demás están asintomáticos. Se han señalado erupciones transitorias en 5%, aproximadamente, de quienes reciben la vacuna. La trombocitopenia transitoria se observa en un caso en 25 000 personas a un caso en dos millones de personas después de utilizar vacunas que contienen la fracción antisarampionosa, en particular la triple (véase “Trombocitopenia” en esta sección). La frecuencia notificada de reacciones en el sistema nervioso central después de aplicar la vacuna antisarampionosa, que incluyen encefalitis y encefalopatía, es menos de un caso por millón de dosis aplicadas en Estados Unidos. La incidencia de los dos cuadros en el sistema nervioso después de la vacunación antisarampionosa en Estados Unidos es menor que la observada en cuanto a encefalitis de causa desconocida, razón por la cual muchos de los raros trastornos neurológicos graves pudieran guardar una relación de coincidencia y no de causa con la vacunación antisarampionosa. Después de aplicar dicha vacuna se han notificado casos de autismo y enteropatía inflamatoria, pero innumerables estudios rechazan una relación causal entre las enfermedades mencionadas y la vacuna triple. Después de revacunación se espera que las reacciones sean similares clínicamente, pero su frecuencia mucho menor porque la mayoría de quienes reciben la vacuna están ya inmunizados.</w:t>
      </w:r>
    </w:p>
    <w:p w14:paraId="7A16051E" w14:textId="77777777" w:rsidR="00D03C17" w:rsidRDefault="00D03C17">
      <w:pPr>
        <w:pStyle w:val="BodyText"/>
        <w:ind w:firstLine="360"/>
      </w:pPr>
      <w:r>
        <w:rPr>
          <w:rFonts w:ascii="Times New Roman" w:eastAsia="Times New Roman" w:hAnsi="Times New Roman" w:cs="Times New Roman"/>
          <w:b/>
          <w:bCs/>
          <w:i/>
          <w:iCs/>
          <w:sz w:val="16"/>
          <w:szCs w:val="16"/>
        </w:rPr>
        <w:t>Convulsiones.</w:t>
      </w:r>
      <w:r>
        <w:t xml:space="preserve"> Los niños predispuestos a convulsiones por fiebre pueden mostrar este tipo de problemas después de ser vacunados contra el sarampión. Los menores con el antecedente de convulsiones, o los que tienen parientes de primer grado con el antecedente de dicho problema, quizá tengan un riesgo levemente mayor de una convulsión, pero deben ser vacunados porque los beneficios rebasan con mucho los riesgos.</w:t>
      </w:r>
    </w:p>
    <w:p w14:paraId="39CF367A" w14:textId="77777777" w:rsidR="00D03C17" w:rsidRDefault="00D03C17">
      <w:pPr>
        <w:pStyle w:val="BodyText"/>
        <w:spacing w:line="283" w:lineRule="auto"/>
        <w:ind w:firstLine="360"/>
      </w:pPr>
      <w:r>
        <w:rPr>
          <w:rFonts w:ascii="Times New Roman" w:eastAsia="Times New Roman" w:hAnsi="Times New Roman" w:cs="Times New Roman"/>
          <w:b/>
          <w:bCs/>
          <w:i/>
          <w:iCs/>
          <w:sz w:val="16"/>
          <w:szCs w:val="16"/>
        </w:rPr>
        <w:t>Panencefalitis esclerosante subaguda.</w:t>
      </w:r>
      <w:r>
        <w:t xml:space="preserve"> La vacuna antisarampionosa, al proteger contra el sarampión disminuye significativamente la posibilidad de que surja la panencefalitis mencionada.</w:t>
      </w:r>
    </w:p>
    <w:p w14:paraId="5D69B36C" w14:textId="77777777" w:rsidR="00D03C17" w:rsidRDefault="00D03C17">
      <w:pPr>
        <w:pStyle w:val="Bodytext80"/>
        <w:ind w:firstLine="360"/>
        <w:rPr>
          <w:sz w:val="19"/>
          <w:szCs w:val="19"/>
        </w:rPr>
      </w:pPr>
      <w:r>
        <w:rPr>
          <w:b/>
          <w:bCs/>
          <w:i/>
          <w:iCs/>
          <w:sz w:val="15"/>
          <w:szCs w:val="15"/>
        </w:rPr>
        <w:t>Precauciones y contraindicaciones</w:t>
      </w:r>
      <w:r>
        <w:rPr>
          <w:rFonts w:ascii="Garamond" w:eastAsia="Garamond" w:hAnsi="Garamond" w:cs="Garamond"/>
          <w:sz w:val="19"/>
          <w:szCs w:val="19"/>
        </w:rPr>
        <w:t xml:space="preserve"> (véase también cuadro 3-62)</w:t>
      </w:r>
    </w:p>
    <w:p w14:paraId="3B150C8D" w14:textId="77777777" w:rsidR="00D03C17" w:rsidRDefault="00D03C17">
      <w:pPr>
        <w:pStyle w:val="BodyText"/>
        <w:ind w:firstLine="360"/>
      </w:pPr>
      <w:r>
        <w:rPr>
          <w:rFonts w:ascii="Times New Roman" w:eastAsia="Times New Roman" w:hAnsi="Times New Roman" w:cs="Times New Roman"/>
          <w:b/>
          <w:bCs/>
          <w:i/>
          <w:iCs/>
          <w:sz w:val="16"/>
          <w:szCs w:val="16"/>
        </w:rPr>
        <w:t>Enfermedades febriles.</w:t>
      </w:r>
      <w:r>
        <w:t xml:space="preserve"> Los niños con enfermedades poco graves, como infecciones de vías respiratorias altas, pueden ser vacunados (véase “Seguridad y contraindicaciones de las vacunas”, sección 1). La fiebre no constituye contraindicación para la vacunación; sin embargo, será mejor no vacunar al niño hasta su recuperación, en caso de que otras manifestaciones sugieran un cuadro más grave.</w:t>
      </w:r>
    </w:p>
    <w:p w14:paraId="318F60A7" w14:textId="77777777" w:rsidR="00D03C17" w:rsidRDefault="00D03C17">
      <w:pPr>
        <w:pStyle w:val="BodyText"/>
        <w:ind w:firstLine="360"/>
      </w:pPr>
      <w:r>
        <w:rPr>
          <w:rFonts w:ascii="Times New Roman" w:eastAsia="Times New Roman" w:hAnsi="Times New Roman" w:cs="Times New Roman"/>
          <w:b/>
          <w:bCs/>
          <w:i/>
          <w:iCs/>
          <w:sz w:val="16"/>
          <w:szCs w:val="16"/>
        </w:rPr>
        <w:t>Reacciones alérgicas.</w:t>
      </w:r>
      <w:r>
        <w:t xml:space="preserve"> En raras ocasiones aparecen reacciones de hipersensibilidad, y por lo común son de poca monta y consisten en reacciones de roncha y eritema o urticaria en el sitio de la inyección. Tales reacciones podrían atribuirse a cantidades ínfimas de neomicina o gelatina u otro componente en la fórmula de la vacuna. La anafilaxia rara vez aparece. La vacuna antisarampionosa se obtiene en cultivo de células de embrión de pollo y no incluye cantidades significativas de proteínas de clara de huevo (ovalbúmina) que pudieran generar reacciones cruzadas. Los menores con alergia a huevos están expuestos a un riesgo pequeño de reacciones anafilácticas a vacunas que contienen fracción antisarampionosa (incluida la triple). Las cutirreacciones de niños para identificar alergia a huevos no permiten predecir las reacciones a la vacuna triple y no son necesarias antes de administrar esta última u otras vacunas que contengan la fracción antisarampionosa. Las personas con alergia a pollo o plumas no están expuestas a un mayor peligro de reacción a la vacuna.</w:t>
      </w:r>
    </w:p>
    <w:p w14:paraId="647BC1EE" w14:textId="77777777" w:rsidR="00D03C17" w:rsidRDefault="00D03C17">
      <w:pPr>
        <w:pStyle w:val="BodyText"/>
        <w:ind w:firstLine="360"/>
      </w:pPr>
      <w:r>
        <w:t>Las medidas que deben aplicarse en niños que han tenido notable reacción de hipersensibilidad después de la primera dosis de vacuna antisarampionosa incluyen: 1) someterse a pruebas para valorar su inmunidad contra el sarampión y, si están inmunes, no recibirán una segunda dosis; o 2) valoración y posible cutirreacción antes de recibir la segunda dosis. Las personas que han mostrado una reacción anafiláctica inmediata a un intento previo de aplicar la vacuna no deben ser revacunadas, pero se necesitará la práctica de pruebas para saber si son inmunes.</w:t>
      </w:r>
    </w:p>
    <w:p w14:paraId="7ACBAA70" w14:textId="77777777" w:rsidR="00D03C17" w:rsidRDefault="00D03C17">
      <w:pPr>
        <w:pStyle w:val="BodyText"/>
        <w:ind w:firstLine="360"/>
      </w:pPr>
      <w:r>
        <w:t>Los niños que han mostrado reacciones anafilácticas a la gelatina o a la neomicina tópica o sistémica deben recibir vacuna antisarampionosa sólo en circunstancias en que sea posible tratar y combatir tales reacciones y después de consulta con un alergólogo o un inmunólogo. Sin embargo, muy a menudo la alergia a la neomicina se manifiesta por dermatitis de contacto, que no constituye contraindicación para la aplicación de la vacuna antisarampionosa.</w:t>
      </w:r>
    </w:p>
    <w:p w14:paraId="725688DD" w14:textId="77777777" w:rsidR="00D03C17" w:rsidRDefault="00D03C17">
      <w:pPr>
        <w:pStyle w:val="BodyText"/>
        <w:spacing w:line="276" w:lineRule="auto"/>
        <w:ind w:firstLine="360"/>
      </w:pPr>
      <w:r>
        <w:rPr>
          <w:rFonts w:ascii="Times New Roman" w:eastAsia="Times New Roman" w:hAnsi="Times New Roman" w:cs="Times New Roman"/>
          <w:b/>
          <w:bCs/>
          <w:i/>
          <w:iCs/>
          <w:sz w:val="16"/>
          <w:szCs w:val="16"/>
        </w:rPr>
        <w:t>Trombocitopenia.</w:t>
      </w:r>
      <w:r>
        <w:t xml:space="preserve"> En raras ocasiones la vacuna triple puede acompañarse de trombocitopenia en término de dos meses de aplicada, con un “agrupamiento” cronológico de dos a tres semanas después de la vacunación. Con base en notificaciones de casos, el riesgo de trombocitopenia posvacunal puede ser mayor en personas que han mostrado dicho problema, en particular cuando surgió en relación cronológica con la aplicación previa de la vacuna triple. La decisión de vacunar a estos niños debe basarse en los beneficios de la protección contra sarampión, parotiditis y rubéola, en comparación con los riesgos de que reaparezca la trombocitopenia después de la vacunación. No se han publicado casos de trombocitopenia vinculada con la aplicación de vacuna triple que haya culminado en la muerte.</w:t>
      </w:r>
    </w:p>
    <w:p w14:paraId="7CCD81FD" w14:textId="77777777" w:rsidR="00D03C17" w:rsidRDefault="00D03C17">
      <w:pPr>
        <w:pStyle w:val="BodyText"/>
        <w:spacing w:line="276" w:lineRule="auto"/>
        <w:ind w:firstLine="360"/>
      </w:pPr>
      <w:r>
        <w:rPr>
          <w:rFonts w:ascii="Times New Roman" w:eastAsia="Times New Roman" w:hAnsi="Times New Roman" w:cs="Times New Roman"/>
          <w:b/>
          <w:bCs/>
          <w:i/>
          <w:iCs/>
          <w:sz w:val="16"/>
          <w:szCs w:val="16"/>
        </w:rPr>
        <w:t>Administración reciente de concentrado de IG.</w:t>
      </w:r>
      <w:r>
        <w:t xml:space="preserve"> Los concentrados de IG interfieren en las respuestas serológicas a la vacuna antisarampionosa durante lapsos variables según la dosis administrada. Los intervalos sugeridos entre la aplicación del concentrado o un hemoderivado y la vacunación contra el sarampión se señalan en el cuadro 3-62. Si la vacuna se aplica a intervalos más cortos de los indicados, como pudiera estar justificado si es inminente el peligro de exposición a la enfermedad, el menor debe ser revacunado en el intervalo apropiado para la vacunación o después del mismo (como mínimo, cuatro semanas después de la vacunación más temprana), salvo que las pruebas serológicas indiquen que se produjeron anticuerpos específicos contra el sarampión.</w:t>
      </w:r>
    </w:p>
    <w:p w14:paraId="7300C2EA" w14:textId="77777777" w:rsidR="00D03C17" w:rsidRDefault="00D03C17">
      <w:pPr>
        <w:pStyle w:val="BodyText"/>
        <w:ind w:firstLine="360"/>
      </w:pPr>
      <w:r>
        <w:t>Si se pretende administrar el concentrado IG como preparativo para un viaje internacional, por lo menos dos semanas antes se aplicará la vacuna como paso previo a la aplicación del concentrado y así no interferir con la réplica de los virus vacunales.</w:t>
      </w:r>
    </w:p>
    <w:p w14:paraId="7F427C85" w14:textId="77777777" w:rsidR="00D03C17" w:rsidRDefault="00D03C17">
      <w:pPr>
        <w:pStyle w:val="BodyText"/>
        <w:spacing w:line="276" w:lineRule="auto"/>
        <w:ind w:firstLine="360"/>
      </w:pPr>
      <w:r>
        <w:rPr>
          <w:rFonts w:ascii="Times New Roman" w:eastAsia="Times New Roman" w:hAnsi="Times New Roman" w:cs="Times New Roman"/>
          <w:b/>
          <w:bCs/>
          <w:i/>
          <w:iCs/>
          <w:sz w:val="16"/>
          <w:szCs w:val="16"/>
        </w:rPr>
        <w:t>Tuberculosis.</w:t>
      </w:r>
      <w:r>
        <w:t xml:space="preserve"> La cutirreación con tuberculina no es un requisito previo para la vacunación antisarampionosa. Ante la duda teórica de que la vacuna pudiera exacerbar la tuberculosis, habrá que emprender la terapia antifímica antes de administrar la vacuna triple a niños con tuberculosis activa no tratada. Si por lo demás conviene la cutirreacción con tuberculina, podrá hacerse el día mismo de la vacunación. En caso contrario, habrá que diferir cuatro a seis semanas la prueba en cuestión porque la vacunación antisarampionosa temporalmente suprime la reactividad a la prueba cutánea con tuberculina.</w:t>
      </w:r>
    </w:p>
    <w:p w14:paraId="34B001B6" w14:textId="77777777" w:rsidR="00D03C17" w:rsidRDefault="00D03C17">
      <w:pPr>
        <w:pStyle w:val="BodyText"/>
        <w:ind w:firstLine="360"/>
      </w:pPr>
      <w:r>
        <w:rPr>
          <w:rFonts w:ascii="Times New Roman" w:eastAsia="Times New Roman" w:hAnsi="Times New Roman" w:cs="Times New Roman"/>
          <w:b/>
          <w:bCs/>
          <w:i/>
          <w:iCs/>
          <w:sz w:val="16"/>
          <w:szCs w:val="16"/>
        </w:rPr>
        <w:t>Alteraciones de la inmunidad.</w:t>
      </w:r>
      <w:r>
        <w:t xml:space="preserve"> Es importante no aplicar vacuna de virus vivos de sarampión a todo niño inmunodeficiente con cuadros que agravarán las infecciones víricas (véase “Niños inmunodeficientes”, sección 1). El peligro de exposición de los niños inmunodeficientes al sarampión puede disminuir si se vacuna a sus contactos cercanos susceptibles. El tratamiento de los pacientes inmunodeficientes e inmunosuprimidos expuestos al sarampión puede facilitarse si se conoce con antelación su estado de inmunización. Los pacientes susceptibles con inmunodeficiencia deben recibir el concentrado IG después de exposición a sarampión (véase antes en este resumen “Atención de personas expuestas”).</w:t>
      </w:r>
    </w:p>
    <w:p w14:paraId="5F3E85A5" w14:textId="77777777" w:rsidR="00D03C17" w:rsidRDefault="00D03C17">
      <w:pPr>
        <w:pStyle w:val="BodyText"/>
        <w:ind w:firstLine="360"/>
      </w:pPr>
      <w:r>
        <w:rPr>
          <w:rFonts w:ascii="Times New Roman" w:eastAsia="Times New Roman" w:hAnsi="Times New Roman" w:cs="Times New Roman"/>
          <w:b/>
          <w:bCs/>
          <w:i/>
          <w:iCs/>
          <w:sz w:val="16"/>
          <w:szCs w:val="16"/>
        </w:rPr>
        <w:t>Corticosteroides.</w:t>
      </w:r>
      <w:r>
        <w:t xml:space="preserve"> En el caso de pacientes que han recibido dosis altas de corticosteroides durante 14 días o más, o quienes por lo demás no muestran inmunodeficiencia, el intervalo recomendado antes de la vacunación es de un mes, como mínimo (véase “Niños inmunodeficientes”, sección 1).</w:t>
      </w:r>
    </w:p>
    <w:p w14:paraId="7C9A05AC" w14:textId="77777777" w:rsidR="00D03C17" w:rsidRDefault="00D03C17">
      <w:pPr>
        <w:pStyle w:val="BodyText"/>
        <w:ind w:firstLine="360"/>
      </w:pPr>
      <w:r>
        <w:rPr>
          <w:rFonts w:ascii="Times New Roman" w:eastAsia="Times New Roman" w:hAnsi="Times New Roman" w:cs="Times New Roman"/>
          <w:b/>
          <w:bCs/>
          <w:i/>
          <w:iCs/>
          <w:sz w:val="16"/>
          <w:szCs w:val="16"/>
        </w:rPr>
        <w:t>Infección por VIH.</w:t>
      </w:r>
      <w:r>
        <w:t xml:space="preserve"> La vacunación antisarampionosa (por medio de la vacuna triple) se recomienda en las edades usuales en personas con infección por VIH asintomática o en aquellas con infección sintomática, pero que no muestran inmunodeficiencia profunda, porque el sarampión puede ser grave y a veces letal en los pacientes con la infección por dicho virus (véase “Humana, infección por virus de inmunodeficiencia [VIH]” en esta sección). Lactantes, niños, adolescentes y adultos jóvenes infectados por VIH y con inmunodeficiencia profunda, tal como lo definen los bajos recuentos de linfocitos T CD4+ o el porcentaje de linfocitos totales, no deben recibir vacuna que contenga virus del sarampión porque se han señalado casos de neumonía vinculada con la vacuna (véase “Humana, infección por virus de inmunodeficiencia [VIH]” en esta sección).</w:t>
      </w:r>
      <w:r>
        <w:footnoteReference w:id="7"/>
      </w:r>
      <w:r>
        <w:t xml:space="preserve"> Es importante aplicar la vacuna antisarampionosa a todos los miembros del círculo familiar de un niño infectado por VIH (de preferencia en la vacuna triple) </w:t>
      </w:r>
      <w:r>
        <w:rPr>
          <w:rFonts w:ascii="Times New Roman" w:eastAsia="Times New Roman" w:hAnsi="Times New Roman" w:cs="Times New Roman"/>
          <w:i/>
          <w:iCs/>
          <w:sz w:val="16"/>
          <w:szCs w:val="16"/>
        </w:rPr>
        <w:t>salvo</w:t>
      </w:r>
      <w:r>
        <w:t xml:space="preserve"> que muestren infección por VIH e inmunosupresión profunda, si nacieron antes de 1957, si un médico diagnosticó sarampión, muestran pruebas de laboratorio de inmunidad al sarampión, han recibido vacunaciones apropiadas a su edad o bien muestran una contraindicación a la vacuna antisarampionosa.</w:t>
      </w:r>
    </w:p>
    <w:p w14:paraId="3BD8858E" w14:textId="77777777" w:rsidR="00D03C17" w:rsidRDefault="00D03C17">
      <w:pPr>
        <w:pStyle w:val="BodyText"/>
        <w:ind w:firstLine="360"/>
      </w:pPr>
      <w:r>
        <w:t>Sea cual sea el estado de vacunación, los pacientes sintomáticos infectados por VIH expuestos al sarampión deben recibir profilaxia con concentrado IG, porque con la vacunación no se obtiene protección (véase antes en este resumen “Cuidados de personas expuestas”).</w:t>
      </w:r>
    </w:p>
    <w:p w14:paraId="7C886BFA" w14:textId="77777777" w:rsidR="00D03C17" w:rsidRDefault="00D03C17">
      <w:pPr>
        <w:pStyle w:val="BodyText"/>
        <w:spacing w:line="276" w:lineRule="auto"/>
        <w:ind w:firstLine="360"/>
      </w:pPr>
      <w:r>
        <w:rPr>
          <w:rFonts w:ascii="Times New Roman" w:eastAsia="Times New Roman" w:hAnsi="Times New Roman" w:cs="Times New Roman"/>
          <w:b/>
          <w:bCs/>
          <w:i/>
          <w:iCs/>
          <w:sz w:val="16"/>
          <w:szCs w:val="16"/>
        </w:rPr>
        <w:t>Antecedentes personales o familiares de convulsiones.</w:t>
      </w:r>
      <w:r>
        <w:t xml:space="preserve"> Los niños con tales antecedentes deben ser vacunados después de notificar a los padres o tutores que aumenta poco el peligro de convulsiones después de la vacunación contra el sarampión (véase antes en este resumen “Reacciones adversas”). La fiebre inducida por la vacuna antisarampionosa suele aparecer seis a 12 días después de la vacunación, y por ello es difícil evitar las convulsiones febriles vinculadas con la vacuna. Los niños que reciben anticonvulsivos deben seguir recibiéndolos después de la vacunación antisarampionosa.</w:t>
      </w:r>
    </w:p>
    <w:p w14:paraId="18A35C65" w14:textId="77777777" w:rsidR="00D03C17" w:rsidRDefault="00D03C17">
      <w:pPr>
        <w:pStyle w:val="BodyText"/>
        <w:ind w:firstLine="360"/>
        <w:sectPr w:rsidR="00D03C17" w:rsidSect="00D03C17">
          <w:footnotePr>
            <w:numFmt w:val="chicago"/>
          </w:footnotePr>
          <w:pgSz w:w="8501" w:h="13022"/>
          <w:pgMar w:top="701" w:right="812" w:bottom="461" w:left="766" w:header="0" w:footer="3" w:gutter="0"/>
          <w:cols w:space="720"/>
          <w:noEndnote/>
          <w:docGrid w:linePitch="360"/>
          <w15:footnoteColumns w:val="1"/>
        </w:sectPr>
      </w:pPr>
      <w:r>
        <w:rPr>
          <w:rFonts w:ascii="Times New Roman" w:eastAsia="Times New Roman" w:hAnsi="Times New Roman" w:cs="Times New Roman"/>
          <w:b/>
          <w:bCs/>
          <w:i/>
          <w:iCs/>
          <w:sz w:val="16"/>
          <w:szCs w:val="16"/>
        </w:rPr>
        <w:t>Embarazo.</w:t>
      </w:r>
      <w:r>
        <w:t xml:space="preserve"> Las mujeres embarazadas no deben recibir vacuna hecha de virus vivo de sarampión, en la forma de vacuna monovalente o como componente de MR o de la vacuna triple. Toda mujer a quien se aplique la vacuna triple no debe embarazarse en un lapso mínimo de 28 días. La precaución anterior se basa en el peligro teórico de infección del feto, situación que es válida para la aplicación de todas las vacunas de virus vivos a mujeres que pudieran embarazarse o que se embarazan poco después de la vacunación. Sin embargo, ningún dato refuerza este riesgo teórico. En la vacunación de </w:t>
      </w:r>
    </w:p>
    <w:p w14:paraId="4E1C4ADC" w14:textId="77777777" w:rsidR="00D03C17" w:rsidRDefault="00D03C17">
      <w:pPr>
        <w:pStyle w:val="BodyText"/>
        <w:ind w:firstLine="0"/>
      </w:pPr>
      <w:r>
        <w:t>adolescentes y adultos jóvenes contra el sarampión, habrá que interrogar a las mujeres si están embarazadas, descartar a quienes lo están y explicar los riesgos teóricos a las demás, y todo esto constituye las precauciones recomendadas.</w:t>
      </w:r>
    </w:p>
    <w:p w14:paraId="2E70AE4B" w14:textId="77777777" w:rsidR="00D03C17" w:rsidRDefault="00D03C17">
      <w:pPr>
        <w:pStyle w:val="BodyText"/>
        <w:spacing w:line="276" w:lineRule="auto"/>
        <w:ind w:firstLine="360"/>
      </w:pPr>
      <w:r>
        <w:rPr>
          <w:rFonts w:ascii="Arial" w:eastAsia="Arial" w:hAnsi="Arial" w:cs="Arial"/>
          <w:b/>
          <w:bCs/>
          <w:i/>
          <w:iCs/>
          <w:sz w:val="15"/>
          <w:szCs w:val="15"/>
        </w:rPr>
        <w:t>Erradicación de brotes.</w:t>
      </w:r>
      <w:r>
        <w:t xml:space="preserve"> Es importante notificar inmediatamente al departamento de salud local cualquier caso sospechado de sarampión; se harán todos los intentos para verificar que efectivamente es sarampión, en particular si tal trastorno pudiera ser el primer caso en la comunidad. La prevención de la propagación ulterior de la enfermedad depende de la vacunación inmediata de personas en peligro de exposición o expuestos que no pueden documentar la vacunación antisarampionosa, incluida la fecha en que se practicó. Hay que excluir de escuelas, centros de atención infantil e instituciones asistenciales a toda persona no vacunada que haya sido eximida de la vacunación antisarampionosa por razones médicas, religiosas o de otra índole, hasta dos semanas como mínimo después que comenzó la erupción en el último caso de sarampión, si no han sido vacunados 72 h antes de la exposición.</w:t>
      </w:r>
    </w:p>
    <w:p w14:paraId="33DB3AF4" w14:textId="77777777" w:rsidR="00D03C17" w:rsidRDefault="00D03C17">
      <w:pPr>
        <w:pStyle w:val="BodyText"/>
        <w:spacing w:line="276" w:lineRule="auto"/>
        <w:ind w:firstLine="360"/>
      </w:pPr>
      <w:r>
        <w:rPr>
          <w:rFonts w:ascii="Times New Roman" w:eastAsia="Times New Roman" w:hAnsi="Times New Roman" w:cs="Times New Roman"/>
          <w:b/>
          <w:bCs/>
          <w:i/>
          <w:iCs/>
          <w:sz w:val="16"/>
          <w:szCs w:val="16"/>
        </w:rPr>
        <w:t>Escuelas y centros pediátricos.</w:t>
      </w:r>
      <w:r>
        <w:t xml:space="preserve"> Durante brotes de sarampión en instituciones de atención pediátrica, escuelas, universidades y otras instituciones de educación superior, habrá que vacunar a todos los estudiantes, a sus hermanos y al personal que nació en 1957 o después que no aporte documentación de que recibieron dos dosis de vacuna que contenía la fracción antisarampionosa al cumplir el primer año de vida o después de ello, o que no tienen otras pruebas de inmunidad al sarampión. Habrá que readmitir inmediatamente al colegio a todo niño o persona que recibió su segunda dosis y también a sujetos no vacunados que recibieron su primera dosis como parte del programa de erradicación del brote.</w:t>
      </w:r>
    </w:p>
    <w:p w14:paraId="7C7175F5" w14:textId="77777777" w:rsidR="00D03C17" w:rsidRDefault="00D03C17">
      <w:pPr>
        <w:pStyle w:val="BodyText"/>
        <w:spacing w:after="100" w:line="276" w:lineRule="auto"/>
        <w:ind w:firstLine="360"/>
      </w:pPr>
      <w:r>
        <w:rPr>
          <w:rFonts w:ascii="Times New Roman" w:eastAsia="Times New Roman" w:hAnsi="Times New Roman" w:cs="Times New Roman"/>
          <w:b/>
          <w:bCs/>
          <w:i/>
          <w:iCs/>
          <w:sz w:val="16"/>
          <w:szCs w:val="16"/>
        </w:rPr>
        <w:t>Instalaciones asistenciales.</w:t>
      </w:r>
      <w:r>
        <w:t xml:space="preserve"> Si surge un brote en una zona atendida por un hospital u ocurre dentro del hospital, deben recibir una dosis de vacuna antisarampionosa todos los empleados que están en contacto directo con los pacientes y que nacieron en 1957 o después y que no aporten documentación de que recibieron dos dosis de la vacuna antisarampionosa al cumplir un año de vida o después de tal fecha u otras pruebas de inmunidad a la enfermedad. Algunos profesionales asistenciales que se han contagiado de sarampión en instituciones asistenciales nacieron antes de 1957, razón por la cual hay que pensar en la vacunación de los empleados de mayor edad que pudieran estar expuestos por su ocupación al sarampión. El personal susceptible que quedó expuesto será relevado del contacto directo con pacientes desde el quinto hasta el vigésimo primer días después de la exposición, hayan recibido o no vacuna o concentrado inmunoglobulínico después de la exposición. El personal que muestra la enfermedad debe ser relevado del contacto con el paciente durante cuatro días de haber surgido la erupción.</w:t>
      </w:r>
    </w:p>
    <w:p w14:paraId="27C7379C" w14:textId="77777777" w:rsidR="00D03C17" w:rsidRDefault="00D03C17">
      <w:pPr>
        <w:pStyle w:val="Bodytext70"/>
        <w:spacing w:after="0"/>
      </w:pPr>
      <w:r>
        <w:rPr>
          <w:i/>
          <w:iCs/>
        </w:rPr>
        <w:t>Shigella</w:t>
      </w:r>
      <w:r>
        <w:rPr>
          <w:i/>
          <w:iCs/>
          <w:w w:val="100"/>
        </w:rPr>
        <w:t>,</w:t>
      </w:r>
      <w:r>
        <w:t xml:space="preserve"> infecciones</w:t>
      </w:r>
    </w:p>
    <w:p w14:paraId="20AD1C0A" w14:textId="77777777" w:rsidR="00D03C17" w:rsidRDefault="00D03C17">
      <w:pPr>
        <w:pStyle w:val="BodyText"/>
        <w:spacing w:line="276" w:lineRule="auto"/>
        <w:ind w:firstLine="0"/>
        <w:sectPr w:rsidR="00D03C17" w:rsidSect="00D03C17">
          <w:headerReference w:type="even" r:id="rId44"/>
          <w:headerReference w:type="default" r:id="rId45"/>
          <w:footerReference w:type="even" r:id="rId46"/>
          <w:footerReference w:type="default" r:id="rId47"/>
          <w:footnotePr>
            <w:numFmt w:val="chicago"/>
          </w:footnotePr>
          <w:type w:val="continuous"/>
          <w:pgSz w:w="8501" w:h="13022"/>
          <w:pgMar w:top="701" w:right="812" w:bottom="461" w:left="766" w:header="0" w:footer="33" w:gutter="0"/>
          <w:cols w:space="720"/>
          <w:noEndnote/>
          <w:docGrid w:linePitch="360"/>
          <w15:footnoteColumns w:val="1"/>
        </w:sectPr>
      </w:pPr>
      <w:r>
        <w:rPr>
          <w:b/>
          <w:bCs/>
        </w:rPr>
        <w:t>M</w:t>
      </w:r>
      <w:r>
        <w:rPr>
          <w:b/>
          <w:bCs/>
          <w:sz w:val="13"/>
          <w:szCs w:val="13"/>
        </w:rPr>
        <w:t>ANIFESTACIONES CLÍNICAS</w:t>
      </w:r>
      <w:r>
        <w:rPr>
          <w:b/>
          <w:bCs/>
        </w:rPr>
        <w:t xml:space="preserve">: </w:t>
      </w:r>
      <w:r>
        <w:t xml:space="preserve">Las especies de </w:t>
      </w:r>
      <w:r>
        <w:rPr>
          <w:rFonts w:ascii="Times New Roman" w:eastAsia="Times New Roman" w:hAnsi="Times New Roman" w:cs="Times New Roman"/>
          <w:i/>
          <w:iCs/>
          <w:sz w:val="16"/>
          <w:szCs w:val="16"/>
        </w:rPr>
        <w:t>Shigella</w:t>
      </w:r>
      <w:r>
        <w:t xml:space="preserve"> infectan más bien el colon y originan manifestaciones clínicas que van desde la expulsión de excrementos acuosos o laxos con síntomas generales mínimos o sin ellos hasta un cuadro más grave que incluye fiebre, cólicos o dolor abdominales, tenesmo y excrementos mucoides con sangre o sin ella. El cuadro inicial varía con cada especie de </w:t>
      </w:r>
      <w:r>
        <w:rPr>
          <w:rFonts w:ascii="Times New Roman" w:eastAsia="Times New Roman" w:hAnsi="Times New Roman" w:cs="Times New Roman"/>
          <w:i/>
          <w:iCs/>
          <w:sz w:val="16"/>
          <w:szCs w:val="16"/>
        </w:rPr>
        <w:t>Shigella</w:t>
      </w:r>
      <w:r>
        <w:rPr>
          <w:i/>
          <w:iCs/>
        </w:rPr>
        <w:t>;</w:t>
      </w:r>
      <w:r>
        <w:t xml:space="preserve"> los niños atacados con </w:t>
      </w:r>
      <w:r>
        <w:rPr>
          <w:rFonts w:ascii="Times New Roman" w:eastAsia="Times New Roman" w:hAnsi="Times New Roman" w:cs="Times New Roman"/>
          <w:i/>
          <w:iCs/>
          <w:sz w:val="16"/>
          <w:szCs w:val="16"/>
        </w:rPr>
        <w:t>Shigella sonnei</w:t>
      </w:r>
      <w:r>
        <w:t xml:space="preserve"> por lo común presentan diarrea acuosa, los afectados por </w:t>
      </w:r>
      <w:r>
        <w:rPr>
          <w:rFonts w:ascii="Times New Roman" w:eastAsia="Times New Roman" w:hAnsi="Times New Roman" w:cs="Times New Roman"/>
          <w:i/>
          <w:iCs/>
          <w:sz w:val="16"/>
          <w:szCs w:val="16"/>
        </w:rPr>
        <w:t>Shigella flexneri</w:t>
      </w:r>
      <w:r>
        <w:rPr>
          <w:i/>
          <w:iCs/>
        </w:rPr>
        <w:t xml:space="preserve">, </w:t>
      </w:r>
      <w:r>
        <w:rPr>
          <w:rFonts w:ascii="Times New Roman" w:eastAsia="Times New Roman" w:hAnsi="Times New Roman" w:cs="Times New Roman"/>
          <w:i/>
          <w:iCs/>
          <w:sz w:val="16"/>
          <w:szCs w:val="16"/>
        </w:rPr>
        <w:t xml:space="preserve">boydii </w:t>
      </w:r>
      <w:r>
        <w:t xml:space="preserve">o </w:t>
      </w:r>
      <w:r>
        <w:rPr>
          <w:rFonts w:ascii="Times New Roman" w:eastAsia="Times New Roman" w:hAnsi="Times New Roman" w:cs="Times New Roman"/>
          <w:i/>
          <w:iCs/>
          <w:sz w:val="16"/>
          <w:szCs w:val="16"/>
        </w:rPr>
        <w:t>dysenteriae</w:t>
      </w:r>
      <w:r>
        <w:t xml:space="preserve"> típicamente muestran diarrea sanguinolenta y síntomas generales graves. Entre las complicaciones raras están bacteriemia, síndrome de Reiter (después de infección por </w:t>
      </w:r>
      <w:r>
        <w:rPr>
          <w:rFonts w:ascii="Times New Roman" w:eastAsia="Times New Roman" w:hAnsi="Times New Roman" w:cs="Times New Roman"/>
          <w:i/>
          <w:iCs/>
          <w:sz w:val="16"/>
          <w:szCs w:val="16"/>
        </w:rPr>
        <w:t>S. flexnen</w:t>
      </w:r>
      <w:r>
        <w:rPr>
          <w:i/>
          <w:iCs/>
        </w:rPr>
        <w:t>),</w:t>
      </w:r>
      <w:r>
        <w:t xml:space="preserve"> síndrome hemolítico-urémico (después de infección por </w:t>
      </w:r>
      <w:r>
        <w:rPr>
          <w:rFonts w:ascii="Times New Roman" w:eastAsia="Times New Roman" w:hAnsi="Times New Roman" w:cs="Times New Roman"/>
          <w:i/>
          <w:iCs/>
          <w:sz w:val="16"/>
          <w:szCs w:val="16"/>
        </w:rPr>
        <w:t xml:space="preserve">S. dysenteriae </w:t>
      </w:r>
      <w:r>
        <w:t xml:space="preserve">tipo 1), megacolon tóxico y perforación y encefalopatía tóxica (síndrome de ekiri). </w:t>
      </w:r>
    </w:p>
    <w:p w14:paraId="2C19603C" w14:textId="77777777" w:rsidR="00D03C17" w:rsidRDefault="00D03C17">
      <w:pPr>
        <w:pStyle w:val="BodyText"/>
        <w:spacing w:line="276" w:lineRule="auto"/>
        <w:ind w:firstLine="0"/>
      </w:pPr>
      <w:r>
        <w:t>hiperendémicas, el régimen anterior puede ocasionar con mayor frecuencia efectos adversos y no es recomendable. No se ha probado la eficacia de la amoxicilina con fin profiláctico.</w:t>
      </w:r>
    </w:p>
    <w:p w14:paraId="648DA4E7" w14:textId="77777777" w:rsidR="00D03C17" w:rsidRDefault="00D03C17">
      <w:pPr>
        <w:pStyle w:val="BodyText"/>
        <w:spacing w:line="283" w:lineRule="auto"/>
        <w:ind w:firstLine="360"/>
      </w:pPr>
      <w:r>
        <w:rPr>
          <w:rFonts w:ascii="Arial" w:eastAsia="Arial" w:hAnsi="Arial" w:cs="Arial"/>
          <w:b/>
          <w:bCs/>
          <w:i/>
          <w:iCs/>
          <w:sz w:val="15"/>
          <w:szCs w:val="15"/>
        </w:rPr>
        <w:t>Donación de sangre.</w:t>
      </w:r>
      <w:r>
        <w:t xml:space="preserve"> Las personas con enfermedad activa no deben donar sangre porque en fase temprana de la enfermedad de Lyme surge la espiroquetría. Los pacientes que han recibido tratamiento para la enfermedad de Lyme pueden ser candidatos para donar sangre.</w:t>
      </w:r>
    </w:p>
    <w:p w14:paraId="28FC1A38" w14:textId="77777777" w:rsidR="00D03C17" w:rsidRDefault="00D03C17">
      <w:pPr>
        <w:pStyle w:val="BodyText"/>
        <w:spacing w:after="80" w:line="295" w:lineRule="auto"/>
        <w:ind w:firstLine="360"/>
      </w:pPr>
      <w:r>
        <w:rPr>
          <w:rFonts w:ascii="Arial" w:eastAsia="Arial" w:hAnsi="Arial" w:cs="Arial"/>
          <w:b/>
          <w:bCs/>
          <w:i/>
          <w:iCs/>
          <w:sz w:val="15"/>
          <w:szCs w:val="15"/>
        </w:rPr>
        <w:t>Vacunas.</w:t>
      </w:r>
      <w:r>
        <w:rPr>
          <w:rFonts w:ascii="Arial" w:eastAsia="Arial" w:hAnsi="Arial" w:cs="Arial"/>
          <w:b/>
          <w:bCs/>
          <w:i/>
          <w:iCs/>
          <w:sz w:val="15"/>
          <w:szCs w:val="15"/>
        </w:rPr>
        <w:footnoteReference w:id="8"/>
      </w:r>
      <w:r>
        <w:t xml:space="preserve"> El 21 de diciembre de 1998 en Estados Unidos la </w:t>
      </w:r>
      <w:r>
        <w:rPr>
          <w:rFonts w:ascii="Times New Roman" w:eastAsia="Times New Roman" w:hAnsi="Times New Roman" w:cs="Times New Roman"/>
          <w:i/>
          <w:iCs/>
          <w:sz w:val="16"/>
          <w:szCs w:val="16"/>
        </w:rPr>
        <w:t>Food and Drug Administration</w:t>
      </w:r>
      <w:r>
        <w:t xml:space="preserve"> (FDA) aprobó la distribución de una vacuna contra la enfermedad de Lyme para personas de 15 a 70 años, pero en los comienzos de 2002 fue retirada de los mercados ante su escasa demanda, y ya no se cuenta con ella.</w:t>
      </w:r>
    </w:p>
    <w:p w14:paraId="6A86AA30" w14:textId="77777777" w:rsidR="00D03C17" w:rsidRDefault="00D03C17">
      <w:pPr>
        <w:pStyle w:val="Bodytext70"/>
        <w:spacing w:after="0"/>
      </w:pPr>
      <w:r>
        <w:t>Meningocócicas, infecciones</w:t>
      </w:r>
    </w:p>
    <w:p w14:paraId="4B3BD717" w14:textId="77777777" w:rsidR="00D03C17" w:rsidRDefault="00D03C17">
      <w:pPr>
        <w:pStyle w:val="BodyText"/>
        <w:ind w:firstLine="0"/>
      </w:pPr>
      <w:r>
        <w:rPr>
          <w:b/>
          <w:bCs/>
          <w:smallCaps/>
          <w:sz w:val="20"/>
          <w:szCs w:val="20"/>
        </w:rPr>
        <w:t>M</w:t>
      </w:r>
      <w:r>
        <w:rPr>
          <w:b/>
          <w:bCs/>
          <w:smallCaps/>
          <w:sz w:val="16"/>
          <w:szCs w:val="16"/>
        </w:rPr>
        <w:t>anifestaciones clínicas</w:t>
      </w:r>
      <w:r>
        <w:rPr>
          <w:b/>
          <w:bCs/>
          <w:smallCaps/>
          <w:sz w:val="20"/>
          <w:szCs w:val="20"/>
        </w:rPr>
        <w:t>:</w:t>
      </w:r>
      <w:r>
        <w:t xml:space="preserve"> La infección invasora suele originar meningococcemia, meningitis o ambos cuadros. El trastorno suele comenzar en forma repentina en el caso de la meningococcemia, e incluye fiebre, escalofríos, malestar general, postración y una erupción que en comienzo puede ser macular, maculopapular o petequial. En casos fulminantes (síndrome de Waterhouse-Friderichsen), aparecen ulteriormente púrpura, coagulación intravascular diseminada, choque, coma y muerte en término de horas a pesar del tratamiento apropiado. Los signos y síntomas de la meningitis meningocócica son idénticos a los de la meningitis aguda causada por </w:t>
      </w:r>
      <w:r>
        <w:rPr>
          <w:rFonts w:ascii="Times New Roman" w:eastAsia="Times New Roman" w:hAnsi="Times New Roman" w:cs="Times New Roman"/>
          <w:i/>
          <w:iCs/>
          <w:sz w:val="16"/>
          <w:szCs w:val="16"/>
        </w:rPr>
        <w:t>Streptococcus pneumoniae</w:t>
      </w:r>
      <w:r>
        <w:t xml:space="preserve"> u otros patógenos que afectan las meninges. Entre las manifestaciones menos frecuentes están neumonía, bacteriemia febril oculta, conjuntivitis y meningococcemia crónica. Las infecciones invasoras por meningococos pueden complicarse por la aparición de artritis, miocarditis, pericarditis y endoftalmitis.</w:t>
      </w:r>
    </w:p>
    <w:p w14:paraId="51B77D86" w14:textId="77777777" w:rsidR="00D03C17" w:rsidRDefault="00D03C17">
      <w:pPr>
        <w:pStyle w:val="BodyText"/>
        <w:ind w:firstLine="0"/>
      </w:pPr>
      <w:r>
        <w:rPr>
          <w:b/>
          <w:bCs/>
        </w:rPr>
        <w:t>C</w:t>
      </w:r>
      <w:r>
        <w:rPr>
          <w:b/>
          <w:bCs/>
          <w:sz w:val="13"/>
          <w:szCs w:val="13"/>
        </w:rPr>
        <w:t>AUSAS</w:t>
      </w:r>
      <w:r>
        <w:rPr>
          <w:b/>
          <w:bCs/>
        </w:rPr>
        <w:t xml:space="preserve">: </w:t>
      </w:r>
      <w:r>
        <w:rPr>
          <w:rFonts w:ascii="Times New Roman" w:eastAsia="Times New Roman" w:hAnsi="Times New Roman" w:cs="Times New Roman"/>
          <w:i/>
          <w:iCs/>
          <w:sz w:val="16"/>
          <w:szCs w:val="16"/>
        </w:rPr>
        <w:t>Neisseria meningitidis</w:t>
      </w:r>
      <w:r>
        <w:t xml:space="preserve"> es un diplococo gramnegativo que tiene como mínimo 13 serogrupos. Las cepas que pertenecen a los grupos A, B, C, Y y W-135, según los expertos son las que causan más a menudo enfermedad sistémica. En años recientes ha cambiado la distribución de los serogrupos de meningococos en Estados Unidos. De manera individual, los serogrupos B, C e Y causan en promedio 30% de los casos notificados, pero la distribución de dichos serogrupos puede variar en sitio y tiempo. El serogrupo A se ha vinculado a menudo con epidemias en otros países del mundo, en particular los subsaharianos. A nivel mundial, el serogrupo W-135 causa menos de 5% de los casos notificados. En el año 2000 se notificó la primera epidemia causada por el serogrupo W-135, en el grupo Hajj en Arabia Saudita; en el 2002, se señaló una epidemia por el serogrupo W-135 en países subsaharianos.</w:t>
      </w:r>
    </w:p>
    <w:p w14:paraId="0757544D" w14:textId="77777777" w:rsidR="00D03C17" w:rsidRDefault="00D03C17">
      <w:pPr>
        <w:pStyle w:val="BodyText"/>
        <w:ind w:firstLine="0"/>
      </w:pPr>
      <w:r>
        <w:rPr>
          <w:b/>
          <w:bCs/>
        </w:rPr>
        <w:t>A</w:t>
      </w:r>
      <w:r>
        <w:rPr>
          <w:b/>
          <w:bCs/>
          <w:sz w:val="13"/>
          <w:szCs w:val="13"/>
        </w:rPr>
        <w:t xml:space="preserve">SPECTOS </w:t>
      </w:r>
      <w:r>
        <w:rPr>
          <w:b/>
          <w:bCs/>
          <w:smallCaps/>
          <w:sz w:val="16"/>
          <w:szCs w:val="16"/>
        </w:rPr>
        <w:t>epidemiológicos</w:t>
      </w:r>
      <w:r>
        <w:rPr>
          <w:b/>
          <w:bCs/>
          <w:smallCaps/>
          <w:sz w:val="20"/>
          <w:szCs w:val="20"/>
        </w:rPr>
        <w:t>:</w:t>
      </w:r>
      <w:r>
        <w:t xml:space="preserve"> La colonización asintomática de las vías respiratorias altas establece un foco a partir del cual se propagan los microorganismos. La transmisión se hace en forma directa de una persona a otra a través de gotículas de secreciones de vías respiratorias. Desde que se comenzó la vacunación contra </w:t>
      </w:r>
      <w:r>
        <w:rPr>
          <w:rFonts w:ascii="Times New Roman" w:eastAsia="Times New Roman" w:hAnsi="Times New Roman" w:cs="Times New Roman"/>
          <w:i/>
          <w:iCs/>
          <w:sz w:val="16"/>
          <w:szCs w:val="16"/>
        </w:rPr>
        <w:t>Haemophilus influenzae</w:t>
      </w:r>
      <w:r>
        <w:t xml:space="preserve"> de tipo b en lactantes, </w:t>
      </w:r>
      <w:r>
        <w:rPr>
          <w:rFonts w:ascii="Times New Roman" w:eastAsia="Times New Roman" w:hAnsi="Times New Roman" w:cs="Times New Roman"/>
          <w:i/>
          <w:iCs/>
          <w:sz w:val="16"/>
          <w:szCs w:val="16"/>
        </w:rPr>
        <w:t>N. meningitidis</w:t>
      </w:r>
      <w:r>
        <w:t xml:space="preserve"> ha sido una de las dos causas principales de meningitis bacteriana en niños de corta edad y siguen siendo una causa importante de septicemia. El trastorno suele atacar a niños menores de cinco años, y la cifra de ataque máximo se observa entre los tres y los cinco meses. En promedio, la mitad de los casos aparecen en personas de 16 años o mayores. Los contactos cercanos de pacientes de enfermedad meningocócica están expuestos a un mayor riesgo de presentar la infección. Han surgido brotes en comunidades semicerradas que incluyen centros de atención pediátrica, escuelas, universidades y campos de reclutamiento militar. En el decenio de 1990 hubo informes más frecuentes de brotes por el serogrupo C meningocócico en Estados Unidos. A pesar de ello, muchos de los casos son esporádicos y menos de 5% surge en brotes. Antes del brote se advierte un cambio en la distribución de casos, es decir, se localiza en un grupo de mayor edad. Pueden utilizarse como métodos epidemiológicos la electroforesis de enzimas de múltiples sitios y la electroforesis con gel en campos pulsados de fragmentos de DNA sometidos a restricción enzimática durante un brote sospechado para detectar la diversidad entre las cepas. Están expuestos a mayor peligro de enfermedad invasora o recurrente por meningococos los niños con deficiencia de un componente terminal del complemento (C5 a C9), deficiencias de C3 o properdina o asplenia anatómica o funcional. Se considera que los enfermos pueden transmitir el microorganismo incluso 24 h después de comenzar la administración de antimicrobianos eficaces.</w:t>
      </w:r>
    </w:p>
    <w:p w14:paraId="3C49C08D" w14:textId="77777777" w:rsidR="00D03C17" w:rsidRDefault="00D03C17">
      <w:pPr>
        <w:pStyle w:val="BodyText"/>
        <w:ind w:firstLine="0"/>
      </w:pPr>
      <w:r>
        <w:t xml:space="preserve">El </w:t>
      </w:r>
      <w:r>
        <w:rPr>
          <w:b/>
          <w:bCs/>
        </w:rPr>
        <w:t xml:space="preserve">periodo de incubación </w:t>
      </w:r>
      <w:r>
        <w:t xml:space="preserve">va de uno a 10 días, y por lo común es menor de cuatro días. </w:t>
      </w:r>
      <w:r>
        <w:rPr>
          <w:b/>
          <w:bCs/>
        </w:rPr>
        <w:t>M</w:t>
      </w:r>
      <w:r>
        <w:rPr>
          <w:b/>
          <w:bCs/>
          <w:sz w:val="13"/>
          <w:szCs w:val="13"/>
        </w:rPr>
        <w:t>ÉTODOS DIAGNÓSTICOS</w:t>
      </w:r>
      <w:r>
        <w:rPr>
          <w:b/>
          <w:bCs/>
        </w:rPr>
        <w:t xml:space="preserve">: </w:t>
      </w:r>
      <w:r>
        <w:t xml:space="preserve">Conviene hacer cultivos de sangre y líquido cefalorraquídeo (LCR) en los niños en quienes se sospecha enfermedad meningocócica invasora. Se identifica el microorganismo en algunos pacientes, por medio de cultivos del material petequial o del raspado de una zona purpúrica, líquido sinovial, esputo y otras muestras de líquidos corporales. También son útiles la tinción de Gram del material de raspado de una petequia o una zona purpúrica, de una muestra de LCR y frotis de la capa leucocítica de sangre. </w:t>
      </w:r>
      <w:r>
        <w:rPr>
          <w:rFonts w:ascii="Times New Roman" w:eastAsia="Times New Roman" w:hAnsi="Times New Roman" w:cs="Times New Roman"/>
          <w:i/>
          <w:iCs/>
          <w:sz w:val="16"/>
          <w:szCs w:val="16"/>
        </w:rPr>
        <w:t>N. meningitidis</w:t>
      </w:r>
      <w:r>
        <w:t xml:space="preserve"> puede ser parte de la flora nasofaríngea, por lo que identificarlo en dicha zona no es útil. La detección del antígeno bacteriano en LCR refuerza el diagnóstico de un caso probable si el cuadro clínico es compatible con enfermedad meningocócica. No se recomiendan los métodos de aglutinación de látex para detectar el antígeno polisacárido meningocócico en suero u orina. En Inglaterra se utiliza sistemáticamente la reacción en cadena de polimerasa con especificidad de serogrupo para detectar </w:t>
      </w:r>
      <w:r>
        <w:rPr>
          <w:rFonts w:ascii="Times New Roman" w:eastAsia="Times New Roman" w:hAnsi="Times New Roman" w:cs="Times New Roman"/>
          <w:i/>
          <w:iCs/>
          <w:sz w:val="16"/>
          <w:szCs w:val="16"/>
        </w:rPr>
        <w:t>N. meningitidis</w:t>
      </w:r>
      <w:r>
        <w:t xml:space="preserve"> en muestras clínicas, y en tal país 30 a 50% de los diagnósticos se confirman con la sola reacción en cadena de polimerasa.</w:t>
      </w:r>
    </w:p>
    <w:p w14:paraId="746CAC00" w14:textId="77777777" w:rsidR="00D03C17" w:rsidRDefault="00D03C17">
      <w:pPr>
        <w:pStyle w:val="BodyText"/>
        <w:ind w:firstLine="360"/>
      </w:pPr>
      <w:r>
        <w:t xml:space="preserve">Las definiciones de casos de enfermedad invasora se incluyen en el cuadro 3-41. </w:t>
      </w:r>
      <w:r>
        <w:rPr>
          <w:b/>
          <w:bCs/>
        </w:rPr>
        <w:t>V</w:t>
      </w:r>
      <w:r>
        <w:rPr>
          <w:b/>
          <w:bCs/>
          <w:sz w:val="13"/>
          <w:szCs w:val="13"/>
        </w:rPr>
        <w:t>ALORACIÓN DE LA SUSCEPTIBILIDAD</w:t>
      </w:r>
      <w:r>
        <w:rPr>
          <w:b/>
          <w:bCs/>
        </w:rPr>
        <w:t xml:space="preserve">: </w:t>
      </w:r>
      <w:r>
        <w:t xml:space="preserve">No se recomienda valorar en forma sistemática la susceptibilidad de meningococos aislados (por medio de antibioticograma). Sin embargo, se han identificado en forma esporádica en algunas regiones de Estados Unidos y en forma amplia en España, Italia y parte de África, cepas de </w:t>
      </w:r>
      <w:r>
        <w:rPr>
          <w:rFonts w:ascii="Times New Roman" w:eastAsia="Times New Roman" w:hAnsi="Times New Roman" w:cs="Times New Roman"/>
          <w:i/>
          <w:iCs/>
          <w:sz w:val="16"/>
          <w:szCs w:val="16"/>
        </w:rPr>
        <w:t xml:space="preserve">N. meningitidis </w:t>
      </w:r>
      <w:r>
        <w:t xml:space="preserve">resistentes a la penicilina. Rara vez hay cepas de meningococos resistentes en que la concentración inhibitoria mínima de penicilina excede 1 </w:t>
      </w:r>
      <w:r>
        <w:rPr>
          <w:rFonts w:ascii="Arial" w:eastAsia="Arial" w:hAnsi="Arial" w:cs="Arial"/>
        </w:rPr>
        <w:t>^</w:t>
      </w:r>
      <w:r>
        <w:t xml:space="preserve">g/ml. Casi todas las cepas señaladas son moderadamente susceptibles y en ellas la concentración inhibitoria mínima de la penicilina va de 0.12 y 1.0 </w:t>
      </w:r>
      <w:r>
        <w:rPr>
          <w:rFonts w:ascii="Arial" w:eastAsia="Arial" w:hAnsi="Arial" w:cs="Arial"/>
        </w:rPr>
        <w:t>^</w:t>
      </w:r>
      <w:r>
        <w:t xml:space="preserve">g/ml. La administración de dosis altas de penicilina es eficaz contra las cepas moderadamente susceptibles. La cefotaxima y la ceftriaxona disódicas muestran un alto grado de actividad </w:t>
      </w:r>
      <w:r>
        <w:rPr>
          <w:rFonts w:ascii="Times New Roman" w:eastAsia="Times New Roman" w:hAnsi="Times New Roman" w:cs="Times New Roman"/>
          <w:i/>
          <w:iCs/>
          <w:sz w:val="16"/>
          <w:szCs w:val="16"/>
        </w:rPr>
        <w:t>in vitro</w:t>
      </w:r>
      <w:r>
        <w:t xml:space="preserve"> contra meningococos moderadamente susceptibles. Se necesita vigilancia ininterrumpida para conocer las tendencias de la susceptibilidad de los meningococos a los antimicrobianos, en Estados Unidos.</w:t>
      </w:r>
    </w:p>
    <w:p w14:paraId="080F607C" w14:textId="77777777" w:rsidR="00D03C17" w:rsidRDefault="00D03C17">
      <w:pPr>
        <w:pStyle w:val="Other0"/>
        <w:spacing w:line="240" w:lineRule="auto"/>
        <w:ind w:firstLine="0"/>
      </w:pPr>
      <w:r>
        <w:rPr>
          <w:b/>
          <w:bCs/>
        </w:rPr>
        <w:t>T</w:t>
      </w:r>
      <w:r>
        <w:rPr>
          <w:b/>
          <w:bCs/>
          <w:sz w:val="13"/>
          <w:szCs w:val="13"/>
        </w:rPr>
        <w:t>RATAMIENTO</w:t>
      </w:r>
      <w:r>
        <w:rPr>
          <w:b/>
          <w:bCs/>
        </w:rPr>
        <w:t>:</w:t>
      </w:r>
    </w:p>
    <w:p w14:paraId="50F5187D" w14:textId="77777777" w:rsidR="00D03C17" w:rsidRDefault="00D03C17">
      <w:pPr>
        <w:pStyle w:val="BodyText"/>
        <w:ind w:left="360" w:hanging="360"/>
      </w:pPr>
      <w:r>
        <w:t>• Es necesario administrar por vía endovenosa penicilina G en dosis de 250 000 U/kg de peso al día, con una dosis máxima de 12 millones de U/día, en fracciones</w:t>
      </w:r>
    </w:p>
    <w:p w14:paraId="65B94A06" w14:textId="77777777" w:rsidR="00D03C17" w:rsidRDefault="00D03C17">
      <w:pPr>
        <w:pStyle w:val="Heading31"/>
        <w:keepNext/>
        <w:keepLines/>
        <w:spacing w:after="400"/>
      </w:pPr>
      <w:bookmarkStart w:id="31" w:name="bookmark1057"/>
      <w:bookmarkStart w:id="32" w:name="bookmark1058"/>
      <w:bookmarkStart w:id="33" w:name="bookmark1059"/>
      <w:r>
        <w:rPr>
          <w:b w:val="0"/>
          <w:bCs w:val="0"/>
          <w:u w:val="single"/>
        </w:rPr>
        <w:t xml:space="preserve">Cuadro 3-41. </w:t>
      </w:r>
      <w:r>
        <w:rPr>
          <w:u w:val="single"/>
        </w:rPr>
        <w:t>Definiciones de casos de enfermedad meningocócica invasora</w:t>
      </w:r>
      <w:bookmarkEnd w:id="31"/>
      <w:bookmarkEnd w:id="32"/>
      <w:bookmarkEnd w:id="33"/>
    </w:p>
    <w:p w14:paraId="1059C77C" w14:textId="77777777" w:rsidR="00D03C17" w:rsidRDefault="00D03C17">
      <w:pPr>
        <w:pStyle w:val="Bodytext20"/>
      </w:pPr>
      <w:r>
        <w:rPr>
          <w:b/>
          <w:bCs/>
        </w:rPr>
        <w:t>Confirmado</w:t>
      </w:r>
    </w:p>
    <w:p w14:paraId="5F46AAD3" w14:textId="77777777" w:rsidR="00D03C17" w:rsidRDefault="00D03C17">
      <w:pPr>
        <w:pStyle w:val="Bodytext20"/>
        <w:numPr>
          <w:ilvl w:val="0"/>
          <w:numId w:val="80"/>
        </w:numPr>
        <w:tabs>
          <w:tab w:val="left" w:pos="278"/>
        </w:tabs>
        <w:ind w:left="360" w:hanging="360"/>
      </w:pPr>
      <w:bookmarkStart w:id="34" w:name="bookmark1060"/>
      <w:bookmarkEnd w:id="34"/>
      <w:r>
        <w:t xml:space="preserve">Aislamiento de </w:t>
      </w:r>
      <w:r>
        <w:rPr>
          <w:i/>
          <w:iCs/>
        </w:rPr>
        <w:t>Neisseria meningitidis</w:t>
      </w:r>
      <w:r>
        <w:t xml:space="preserve"> de un sitio que por lo regular es estéril, por ejemplo: Sangre</w:t>
      </w:r>
    </w:p>
    <w:p w14:paraId="35144522" w14:textId="77777777" w:rsidR="00D03C17" w:rsidRDefault="00D03C17">
      <w:pPr>
        <w:pStyle w:val="Bodytext20"/>
        <w:ind w:firstLine="360"/>
      </w:pPr>
      <w:r>
        <w:t>Líquido cefalorraquídeo</w:t>
      </w:r>
    </w:p>
    <w:p w14:paraId="65ACF314" w14:textId="77777777" w:rsidR="00D03C17" w:rsidRDefault="00D03C17">
      <w:pPr>
        <w:pStyle w:val="Bodytext20"/>
        <w:ind w:firstLine="360"/>
      </w:pPr>
      <w:r>
        <w:t>Líquido sinovial</w:t>
      </w:r>
    </w:p>
    <w:p w14:paraId="36F63C47" w14:textId="77777777" w:rsidR="00D03C17" w:rsidRDefault="00D03C17">
      <w:pPr>
        <w:pStyle w:val="Bodytext20"/>
        <w:ind w:firstLine="360"/>
      </w:pPr>
      <w:r>
        <w:t>Líquido pleural</w:t>
      </w:r>
    </w:p>
    <w:p w14:paraId="1F734CDB" w14:textId="77777777" w:rsidR="00D03C17" w:rsidRDefault="00D03C17">
      <w:pPr>
        <w:pStyle w:val="Bodytext20"/>
        <w:ind w:firstLine="360"/>
      </w:pPr>
      <w:r>
        <w:t>Líquido pericárdico</w:t>
      </w:r>
    </w:p>
    <w:p w14:paraId="255837F7" w14:textId="77777777" w:rsidR="00D03C17" w:rsidRDefault="00D03C17">
      <w:pPr>
        <w:pStyle w:val="Bodytext20"/>
        <w:ind w:firstLine="360"/>
      </w:pPr>
      <w:r>
        <w:t xml:space="preserve">Lesiones petequiales o purpúricas en una persona con enfermedad clínicamente compatible </w:t>
      </w:r>
      <w:r>
        <w:rPr>
          <w:b/>
          <w:bCs/>
        </w:rPr>
        <w:t>Presuncional</w:t>
      </w:r>
    </w:p>
    <w:p w14:paraId="4467C05E" w14:textId="77777777" w:rsidR="00D03C17" w:rsidRDefault="00D03C17">
      <w:pPr>
        <w:pStyle w:val="Bodytext20"/>
        <w:numPr>
          <w:ilvl w:val="0"/>
          <w:numId w:val="80"/>
        </w:numPr>
        <w:tabs>
          <w:tab w:val="left" w:pos="278"/>
        </w:tabs>
        <w:ind w:left="360" w:hanging="360"/>
      </w:pPr>
      <w:bookmarkStart w:id="35" w:name="bookmark1061"/>
      <w:bookmarkEnd w:id="35"/>
      <w:r>
        <w:t>Presencia de diplococos gramnegativos en cualquier líquido estéril, como el cefalorraquídeo y el sinovial, o material de raspado de una lesión petequial o purpúrica</w:t>
      </w:r>
    </w:p>
    <w:p w14:paraId="5B4BB47B" w14:textId="77777777" w:rsidR="00D03C17" w:rsidRDefault="00D03C17">
      <w:pPr>
        <w:pStyle w:val="Bodytext20"/>
      </w:pPr>
      <w:r>
        <w:rPr>
          <w:b/>
          <w:bCs/>
        </w:rPr>
        <w:t>Probable</w:t>
      </w:r>
    </w:p>
    <w:p w14:paraId="0257C6D4" w14:textId="77777777" w:rsidR="00D03C17" w:rsidRDefault="00D03C17">
      <w:pPr>
        <w:pStyle w:val="Bodytext20"/>
        <w:numPr>
          <w:ilvl w:val="0"/>
          <w:numId w:val="80"/>
        </w:numPr>
        <w:pBdr>
          <w:bottom w:val="single" w:sz="4" w:space="0" w:color="auto"/>
        </w:pBdr>
        <w:tabs>
          <w:tab w:val="left" w:pos="278"/>
        </w:tabs>
        <w:spacing w:after="660"/>
        <w:ind w:left="360" w:hanging="360"/>
      </w:pPr>
      <w:bookmarkStart w:id="36" w:name="bookmark1062"/>
      <w:bookmarkEnd w:id="36"/>
      <w:r>
        <w:t xml:space="preserve">Positividad del antígeno de </w:t>
      </w:r>
      <w:r>
        <w:rPr>
          <w:i/>
          <w:iCs/>
        </w:rPr>
        <w:t>N. meningitidis</w:t>
      </w:r>
      <w:r>
        <w:t xml:space="preserve"> en líquido cefalorraquídeo, en ausencia de un cultivo positivo de un sitio estéril en una persona con un cuadro clínico compatible con enfermedad meningocócica o púrpura fulminante sin que haya un cultivo positivo de sangre</w:t>
      </w:r>
    </w:p>
    <w:p w14:paraId="7C7354F4" w14:textId="77777777" w:rsidR="00D03C17" w:rsidRDefault="00D03C17">
      <w:pPr>
        <w:pStyle w:val="BodyText"/>
        <w:ind w:left="360" w:firstLine="0"/>
      </w:pPr>
      <w:r>
        <w:t>cada 4 a 6 h, en pacientes que tengan enfermedad invasora por meningococos, incluida la meningitis. Otros fármacos a los que cabe recurrir son cefotaxima, ceftriaxona y ampicilina. En el niño con alergia a la penicilina caracterizada por anafilaxia se recomienda usar cloranfenicol. En el caso de niños que viajen a zonas como España en que se ha señalado resistencia a la penicilina, se recomienda usar cefotaxima, ceftriaxona o cloranfenicol. Bastan cinco a siete días con la administración de antimicrobianos en casi todos los casos de enfermedad meningocócica invasora.</w:t>
      </w:r>
    </w:p>
    <w:p w14:paraId="6F8F1FB5" w14:textId="77777777" w:rsidR="00D03C17" w:rsidRDefault="00D03C17">
      <w:pPr>
        <w:pStyle w:val="BodyText"/>
        <w:ind w:firstLine="0"/>
      </w:pPr>
      <w:r>
        <w:rPr>
          <w:b/>
          <w:bCs/>
        </w:rPr>
        <w:t>A</w:t>
      </w:r>
      <w:r>
        <w:rPr>
          <w:b/>
          <w:bCs/>
          <w:sz w:val="13"/>
          <w:szCs w:val="13"/>
        </w:rPr>
        <w:t xml:space="preserve">ISLAMIENTO </w:t>
      </w:r>
      <w:r>
        <w:rPr>
          <w:b/>
          <w:bCs/>
          <w:smallCaps/>
          <w:sz w:val="16"/>
          <w:szCs w:val="16"/>
        </w:rPr>
        <w:t>del</w:t>
      </w:r>
      <w:r>
        <w:rPr>
          <w:b/>
          <w:bCs/>
          <w:sz w:val="13"/>
          <w:szCs w:val="13"/>
        </w:rPr>
        <w:t xml:space="preserve"> PACIENTE HOSPITALIZADO</w:t>
      </w:r>
      <w:r>
        <w:rPr>
          <w:b/>
          <w:bCs/>
        </w:rPr>
        <w:t xml:space="preserve">: </w:t>
      </w:r>
      <w:r>
        <w:t>Además de las precauciones estándar, se recomienda seguir las precauciones para evitar la transmisión por gotículas incluso 24 h después de haber iniciado la administración de antimicrobianos eficaces.</w:t>
      </w:r>
    </w:p>
    <w:p w14:paraId="60C05877" w14:textId="77777777" w:rsidR="00D03C17" w:rsidRDefault="00D03C17">
      <w:pPr>
        <w:pStyle w:val="Other0"/>
        <w:spacing w:line="257" w:lineRule="auto"/>
        <w:ind w:firstLine="0"/>
        <w:rPr>
          <w:sz w:val="20"/>
          <w:szCs w:val="20"/>
        </w:rPr>
      </w:pPr>
      <w:r>
        <w:rPr>
          <w:b/>
          <w:bCs/>
          <w:smallCaps/>
          <w:sz w:val="20"/>
          <w:szCs w:val="20"/>
        </w:rPr>
        <w:t>M</w:t>
      </w:r>
      <w:r>
        <w:rPr>
          <w:b/>
          <w:bCs/>
          <w:smallCaps/>
          <w:sz w:val="16"/>
          <w:szCs w:val="16"/>
        </w:rPr>
        <w:t>edidas preventivas</w:t>
      </w:r>
      <w:r>
        <w:rPr>
          <w:b/>
          <w:bCs/>
          <w:smallCaps/>
          <w:sz w:val="20"/>
          <w:szCs w:val="20"/>
        </w:rPr>
        <w:t>:</w:t>
      </w:r>
    </w:p>
    <w:p w14:paraId="4E0EB4DB" w14:textId="77777777" w:rsidR="00D03C17" w:rsidRDefault="00D03C17">
      <w:pPr>
        <w:pStyle w:val="Bodytext80"/>
        <w:spacing w:line="334" w:lineRule="auto"/>
        <w:rPr>
          <w:sz w:val="15"/>
          <w:szCs w:val="15"/>
        </w:rPr>
      </w:pPr>
      <w:r>
        <w:rPr>
          <w:b/>
          <w:bCs/>
          <w:i/>
          <w:iCs/>
          <w:sz w:val="15"/>
          <w:szCs w:val="15"/>
        </w:rPr>
        <w:t>Cuidados de personas expuestas</w:t>
      </w:r>
    </w:p>
    <w:p w14:paraId="253D176B" w14:textId="77777777" w:rsidR="00D03C17" w:rsidRDefault="00D03C17">
      <w:pPr>
        <w:pStyle w:val="BodyText"/>
        <w:spacing w:line="276" w:lineRule="auto"/>
        <w:ind w:firstLine="0"/>
      </w:pPr>
      <w:r>
        <w:rPr>
          <w:rFonts w:ascii="Times New Roman" w:eastAsia="Times New Roman" w:hAnsi="Times New Roman" w:cs="Times New Roman"/>
          <w:b/>
          <w:bCs/>
          <w:i/>
          <w:iCs/>
          <w:sz w:val="16"/>
          <w:szCs w:val="16"/>
        </w:rPr>
        <w:t>Observación cuidadosa.</w:t>
      </w:r>
      <w:r>
        <w:t xml:space="preserve"> Se necesita la observación cuidadosa de los contactos expuestos en el círculo familiar, la escuela y centros de atención pediátrica. La persona expuesta que muestra un cuadro febril debe ser sometida inmediatamente a valoración médica, y si así conviene, recibir antimicrobianos adecuados contra la infección meningocócica invasora.</w:t>
      </w:r>
    </w:p>
    <w:p w14:paraId="33B81FE4" w14:textId="77777777" w:rsidR="00D03C17" w:rsidRDefault="00D03C17">
      <w:pPr>
        <w:pStyle w:val="BodyText"/>
        <w:spacing w:line="276" w:lineRule="auto"/>
        <w:ind w:firstLine="360"/>
      </w:pPr>
      <w:r>
        <w:rPr>
          <w:rFonts w:ascii="Times New Roman" w:eastAsia="Times New Roman" w:hAnsi="Times New Roman" w:cs="Times New Roman"/>
          <w:b/>
          <w:bCs/>
          <w:i/>
          <w:iCs/>
          <w:sz w:val="16"/>
          <w:szCs w:val="16"/>
        </w:rPr>
        <w:t>Quimioprofilaxia.</w:t>
      </w:r>
      <w:r>
        <w:t xml:space="preserve"> El peligro de contraer la enfermedad meningocócica invasora entre los contactos de personas infectadas es el factor determinante para emprender o no quimioprofilaxia (véase cuadro 3-42). Los contactos muy cercanos de todas las personas con enfermedad invasora (véase cuadro 3-42), esporádica o en un brote, están expuestos a alto riesgo y deben recibir profilaxia preferentemente en término de 24 h de haber sido diagnosticado el caso primario. Los cultivos de exudado faríngeo y nasofaríngeo no son útiles para seleccionar a los pacientes que deben recibir profilaxia.</w:t>
      </w:r>
    </w:p>
    <w:p w14:paraId="39AC3443" w14:textId="77777777" w:rsidR="00D03C17" w:rsidRDefault="00D03C17">
      <w:pPr>
        <w:pStyle w:val="BodyText"/>
        <w:spacing w:line="286" w:lineRule="auto"/>
        <w:ind w:firstLine="360"/>
      </w:pPr>
      <w:r>
        <w:rPr>
          <w:rFonts w:ascii="Times New Roman" w:eastAsia="Times New Roman" w:hAnsi="Times New Roman" w:cs="Times New Roman"/>
          <w:b/>
          <w:bCs/>
          <w:i/>
          <w:iCs/>
          <w:sz w:val="16"/>
          <w:szCs w:val="16"/>
        </w:rPr>
        <w:t>Contactos en el círculo familiar, instituciones de cuidado pediátrico y colegios de preescolares.</w:t>
      </w:r>
      <w:r>
        <w:t xml:space="preserve"> Los contactos en las tres situaciones están expuestos a un gran riesgo de contraer la enfermedad y por ello se les considera como muy cercanos. La tasa de ataque en el caso de los contactos del círculo familiar, es 300 veces mayor que la que corresponde a la población general.</w:t>
      </w:r>
    </w:p>
    <w:p w14:paraId="1E5DBE4A" w14:textId="77777777" w:rsidR="00D03C17" w:rsidRDefault="00D03C17">
      <w:pPr>
        <w:pStyle w:val="BodyText"/>
        <w:ind w:firstLine="360"/>
      </w:pPr>
      <w:r>
        <w:rPr>
          <w:rFonts w:ascii="Times New Roman" w:eastAsia="Times New Roman" w:hAnsi="Times New Roman" w:cs="Times New Roman"/>
          <w:b/>
          <w:bCs/>
          <w:i/>
          <w:iCs/>
          <w:sz w:val="16"/>
          <w:szCs w:val="16"/>
        </w:rPr>
        <w:t>Otros contactos.</w:t>
      </w:r>
      <w:r>
        <w:t xml:space="preserve"> Están justificadas las medidas profilácticas en personas que han estado en contacto con las secreciones de la boca del paciente, por beso o por compartir cepillos dentales o utensilios de la mesa, marcadores de contacto social cercano, en los siete días anteriores al comienzo de la enfermedad en el caso original. También deben recibir quimioprofilaxia las personas que comen o duermen frecuentemente en la misma estancia que la persona infectada, en el lapso mencionado. En el caso de vuelos en aeroplanos, que han durado más de 8 h, los pasajeros sentados junto a la persona infectada deben ser considerados como candidatos para recibir profilaxia. No se recomienda la profilaxia sistemática en profesionales asistenciales (cuadro 3-42) salvo que hayan tenido exposición muy cercana como ocurre con la reanimación boca a boca sin protección, intubación o aspiración (succión) antes de emprender la administración de antimicrobianos.</w:t>
      </w:r>
    </w:p>
    <w:p w14:paraId="0D59EF75" w14:textId="77777777" w:rsidR="00D03C17" w:rsidRDefault="00D03C17">
      <w:pPr>
        <w:pStyle w:val="BodyText"/>
        <w:spacing w:line="276" w:lineRule="auto"/>
        <w:ind w:firstLine="360"/>
      </w:pPr>
      <w:r>
        <w:rPr>
          <w:rFonts w:ascii="Times New Roman" w:eastAsia="Times New Roman" w:hAnsi="Times New Roman" w:cs="Times New Roman"/>
          <w:b/>
          <w:bCs/>
          <w:i/>
          <w:iCs/>
          <w:sz w:val="16"/>
          <w:szCs w:val="16"/>
        </w:rPr>
        <w:t>Regímenes con antimicrobianos para la profilaxia (véase cuadro 3-43).</w:t>
      </w:r>
      <w:r>
        <w:t xml:space="preserve"> Los fármacos apropiados para la quimioprofilaxia en los adultos son rifampicina, ceftriaxona y ciprofloxacina. El medicamento más indicado en casi todos los niños es la rifampicina, y su régimen recomendado se incluye en el cuadro 3-43. Algunos expertos recomiendan la azitromicina dihidratada, que es eficaz para la erradicación.</w:t>
      </w:r>
    </w:p>
    <w:p w14:paraId="4E44156C" w14:textId="77777777" w:rsidR="00D03C17" w:rsidRDefault="00D03C17">
      <w:pPr>
        <w:pStyle w:val="BodyText"/>
        <w:spacing w:after="180"/>
        <w:ind w:firstLine="360"/>
      </w:pPr>
      <w:r>
        <w:t>Se ha demostrado que una sola dosis intramuscular de ceftriaxona tiene la misma eficacia que la rifampicina oral para erradicar el estado de portador faríngeo de meningococos del grupo A. La eficacia de la ceftriaxona ha sido confirmada sólo contra las cepas del grupo A, pero su efecto posiblemente sea semejante con otros serogrupos. Tiene la ventaja de que se administra fácilmente, lo cual mejora el cumplimiento de las órdenes terapéuticas, y es inocua durante el embarazo. No se recomienda usar rifampicina en embarazadas.</w:t>
      </w:r>
    </w:p>
    <w:p w14:paraId="24F6B9BC" w14:textId="77777777" w:rsidR="00D03C17" w:rsidRDefault="00D03C17">
      <w:pPr>
        <w:pStyle w:val="Heading31"/>
        <w:keepNext/>
        <w:keepLines/>
        <w:pBdr>
          <w:bottom w:val="single" w:sz="4" w:space="0" w:color="auto"/>
        </w:pBdr>
        <w:spacing w:after="400" w:line="211" w:lineRule="auto"/>
        <w:jc w:val="center"/>
      </w:pPr>
      <w:bookmarkStart w:id="37" w:name="bookmark1063"/>
      <w:bookmarkStart w:id="38" w:name="bookmark1064"/>
      <w:bookmarkStart w:id="39" w:name="bookmark1065"/>
      <w:r>
        <w:rPr>
          <w:b w:val="0"/>
          <w:bCs w:val="0"/>
        </w:rPr>
        <w:t xml:space="preserve">Cuadro 3-42. </w:t>
      </w:r>
      <w:r>
        <w:t>Peligro de enfermedad en contactos de individuos</w:t>
      </w:r>
      <w:r>
        <w:br/>
        <w:t>con enfermedad meningocócica</w:t>
      </w:r>
      <w:bookmarkEnd w:id="37"/>
      <w:bookmarkEnd w:id="38"/>
      <w:bookmarkEnd w:id="39"/>
    </w:p>
    <w:p w14:paraId="2840318C" w14:textId="77777777" w:rsidR="00D03C17" w:rsidRDefault="00D03C17">
      <w:pPr>
        <w:pStyle w:val="Bodytext20"/>
      </w:pPr>
      <w:r>
        <w:rPr>
          <w:b/>
          <w:bCs/>
        </w:rPr>
        <w:t>Alto riesgo: se recomienda la quimioprofilaxia, contacto muy cercano</w:t>
      </w:r>
    </w:p>
    <w:p w14:paraId="41B98FF1" w14:textId="77777777" w:rsidR="00D03C17" w:rsidRDefault="00D03C17">
      <w:pPr>
        <w:pStyle w:val="Bodytext20"/>
        <w:numPr>
          <w:ilvl w:val="0"/>
          <w:numId w:val="80"/>
        </w:numPr>
        <w:tabs>
          <w:tab w:val="left" w:pos="283"/>
        </w:tabs>
      </w:pPr>
      <w:bookmarkStart w:id="40" w:name="bookmark1066"/>
      <w:bookmarkEnd w:id="40"/>
      <w:r>
        <w:t>Contacto en el círculo familiar: especialmente en niños de corta edad</w:t>
      </w:r>
    </w:p>
    <w:p w14:paraId="06D3E05A" w14:textId="77777777" w:rsidR="00D03C17" w:rsidRDefault="00D03C17">
      <w:pPr>
        <w:pStyle w:val="Bodytext20"/>
        <w:numPr>
          <w:ilvl w:val="0"/>
          <w:numId w:val="80"/>
        </w:numPr>
        <w:tabs>
          <w:tab w:val="left" w:pos="283"/>
        </w:tabs>
        <w:ind w:left="360" w:hanging="360"/>
      </w:pPr>
      <w:bookmarkStart w:id="41" w:name="bookmark1067"/>
      <w:bookmarkEnd w:id="41"/>
      <w:r>
        <w:t>Contacto en el centro pediátrico o escuela de preescolares durante siete días anteriores al comienzo de la enfermedad</w:t>
      </w:r>
    </w:p>
    <w:p w14:paraId="0952A155" w14:textId="77777777" w:rsidR="00D03C17" w:rsidRDefault="00D03C17">
      <w:pPr>
        <w:pStyle w:val="Bodytext20"/>
        <w:numPr>
          <w:ilvl w:val="0"/>
          <w:numId w:val="80"/>
        </w:numPr>
        <w:tabs>
          <w:tab w:val="left" w:pos="283"/>
        </w:tabs>
        <w:ind w:left="360" w:hanging="360"/>
      </w:pPr>
      <w:bookmarkStart w:id="42" w:name="bookmark1068"/>
      <w:bookmarkEnd w:id="42"/>
      <w:r>
        <w:t>Exposición directa a las secreciones del paciente original (índice) por besos o al compartir cepillos dentales o utensilios de la comida, marcadores del contacto social muy cercano durante siete días anteriores al comienzo de la enfermedad</w:t>
      </w:r>
    </w:p>
    <w:p w14:paraId="4203FC0A" w14:textId="77777777" w:rsidR="00D03C17" w:rsidRDefault="00D03C17">
      <w:pPr>
        <w:pStyle w:val="Bodytext20"/>
        <w:numPr>
          <w:ilvl w:val="0"/>
          <w:numId w:val="80"/>
        </w:numPr>
        <w:tabs>
          <w:tab w:val="left" w:pos="283"/>
        </w:tabs>
        <w:ind w:left="360" w:hanging="360"/>
      </w:pPr>
      <w:bookmarkStart w:id="43" w:name="bookmark1069"/>
      <w:bookmarkEnd w:id="43"/>
      <w:r>
        <w:t>Reanimación boca a boca, contacto no protegido durante la intubación endotraqueal durante siete días anteriores al comienzo de la enfermedad</w:t>
      </w:r>
    </w:p>
    <w:p w14:paraId="2DE8F462" w14:textId="77777777" w:rsidR="00D03C17" w:rsidRDefault="00D03C17">
      <w:pPr>
        <w:pStyle w:val="Bodytext20"/>
        <w:numPr>
          <w:ilvl w:val="0"/>
          <w:numId w:val="80"/>
        </w:numPr>
        <w:tabs>
          <w:tab w:val="left" w:pos="283"/>
        </w:tabs>
        <w:ind w:left="360" w:hanging="360"/>
      </w:pPr>
      <w:bookmarkStart w:id="44" w:name="bookmark1070"/>
      <w:bookmarkEnd w:id="44"/>
      <w:r>
        <w:t>Persona que a menudo duerme o come en la misma estancia que el paciente original durante siete días antes de que comience la enfermedad</w:t>
      </w:r>
    </w:p>
    <w:p w14:paraId="5CF42AE4" w14:textId="77777777" w:rsidR="00D03C17" w:rsidRDefault="00D03C17">
      <w:pPr>
        <w:pStyle w:val="Bodytext20"/>
      </w:pPr>
      <w:r>
        <w:rPr>
          <w:b/>
          <w:bCs/>
        </w:rPr>
        <w:t>Riesgo bajo: no se recomienda la quimioprofilaxia</w:t>
      </w:r>
    </w:p>
    <w:p w14:paraId="1E1E5E1F" w14:textId="77777777" w:rsidR="00D03C17" w:rsidRDefault="00D03C17">
      <w:pPr>
        <w:pStyle w:val="Bodytext20"/>
        <w:numPr>
          <w:ilvl w:val="0"/>
          <w:numId w:val="80"/>
        </w:numPr>
        <w:tabs>
          <w:tab w:val="left" w:pos="283"/>
        </w:tabs>
        <w:ind w:left="360" w:hanging="360"/>
      </w:pPr>
      <w:bookmarkStart w:id="45" w:name="bookmark1071"/>
      <w:bookmarkEnd w:id="45"/>
      <w:r>
        <w:t>Contacto casual: no hay antecedente de exposición directa a las secreciones de la boca del paciente original (índice) (como los compañeros de escuela o de trabajo)</w:t>
      </w:r>
    </w:p>
    <w:p w14:paraId="0E0D9751" w14:textId="77777777" w:rsidR="00D03C17" w:rsidRDefault="00D03C17">
      <w:pPr>
        <w:pStyle w:val="Bodytext20"/>
        <w:numPr>
          <w:ilvl w:val="0"/>
          <w:numId w:val="80"/>
        </w:numPr>
        <w:tabs>
          <w:tab w:val="left" w:pos="283"/>
        </w:tabs>
        <w:ind w:left="360" w:hanging="360"/>
      </w:pPr>
      <w:bookmarkStart w:id="46" w:name="bookmark1072"/>
      <w:bookmarkEnd w:id="46"/>
      <w:r>
        <w:t>Contacto indirecto: contacto únicamente con otro contacto de alto riesgo; no hay contacto directo con el paciente original</w:t>
      </w:r>
    </w:p>
    <w:p w14:paraId="3A72BFEA" w14:textId="77777777" w:rsidR="00D03C17" w:rsidRDefault="00D03C17">
      <w:pPr>
        <w:pStyle w:val="Bodytext20"/>
        <w:numPr>
          <w:ilvl w:val="0"/>
          <w:numId w:val="80"/>
        </w:numPr>
        <w:tabs>
          <w:tab w:val="left" w:pos="283"/>
        </w:tabs>
      </w:pPr>
      <w:bookmarkStart w:id="47" w:name="bookmark1073"/>
      <w:bookmarkEnd w:id="47"/>
      <w:r>
        <w:t>Profesionales sanitarios sin exposición directa a las secreciones de la boca del paciente</w:t>
      </w:r>
    </w:p>
    <w:p w14:paraId="5F394467" w14:textId="77777777" w:rsidR="00D03C17" w:rsidRDefault="00D03C17">
      <w:pPr>
        <w:pStyle w:val="Bodytext20"/>
      </w:pPr>
      <w:r>
        <w:rPr>
          <w:b/>
          <w:bCs/>
        </w:rPr>
        <w:t>En un brote o “grupo”</w:t>
      </w:r>
    </w:p>
    <w:p w14:paraId="33021FCD" w14:textId="77777777" w:rsidR="00D03C17" w:rsidRDefault="00D03C17">
      <w:pPr>
        <w:pStyle w:val="Bodytext20"/>
        <w:numPr>
          <w:ilvl w:val="0"/>
          <w:numId w:val="80"/>
        </w:numPr>
        <w:pBdr>
          <w:bottom w:val="single" w:sz="4" w:space="0" w:color="auto"/>
        </w:pBdr>
        <w:tabs>
          <w:tab w:val="left" w:pos="283"/>
        </w:tabs>
        <w:spacing w:after="300"/>
        <w:ind w:left="360" w:hanging="360"/>
      </w:pPr>
      <w:bookmarkStart w:id="48" w:name="bookmark1074"/>
      <w:bookmarkEnd w:id="48"/>
      <w:r>
        <w:t>La quimioprofilaxia (de personas distintas de las que están expuestas a alto riesgo) debe practicarse sólo después de consulta con las autoridades sanitarias locales</w:t>
      </w: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1685"/>
        <w:gridCol w:w="1474"/>
        <w:gridCol w:w="1022"/>
        <w:gridCol w:w="1142"/>
        <w:gridCol w:w="1598"/>
      </w:tblGrid>
      <w:tr w:rsidR="00D03C17" w14:paraId="2D68CF4B" w14:textId="77777777">
        <w:tblPrEx>
          <w:tblCellMar>
            <w:top w:w="0" w:type="dxa"/>
            <w:bottom w:w="0" w:type="dxa"/>
          </w:tblCellMar>
        </w:tblPrEx>
        <w:trPr>
          <w:trHeight w:hRule="exact" w:val="869"/>
          <w:jc w:val="center"/>
        </w:trPr>
        <w:tc>
          <w:tcPr>
            <w:tcW w:w="6921" w:type="dxa"/>
            <w:gridSpan w:val="5"/>
            <w:tcBorders>
              <w:top w:val="single" w:sz="4" w:space="0" w:color="auto"/>
            </w:tcBorders>
            <w:shd w:val="clear" w:color="auto" w:fill="FFFFFF"/>
            <w:vAlign w:val="bottom"/>
          </w:tcPr>
          <w:p w14:paraId="738AC307" w14:textId="77777777" w:rsidR="00D03C17" w:rsidRDefault="00D03C17">
            <w:pPr>
              <w:pStyle w:val="Other0"/>
              <w:spacing w:line="211" w:lineRule="auto"/>
              <w:ind w:firstLine="0"/>
              <w:jc w:val="center"/>
              <w:rPr>
                <w:sz w:val="26"/>
                <w:szCs w:val="26"/>
              </w:rPr>
            </w:pPr>
            <w:r>
              <w:rPr>
                <w:rFonts w:ascii="Arial" w:eastAsia="Arial" w:hAnsi="Arial" w:cs="Arial"/>
                <w:w w:val="70"/>
                <w:sz w:val="26"/>
                <w:szCs w:val="26"/>
              </w:rPr>
              <w:t xml:space="preserve">Cuadro 3-43. </w:t>
            </w:r>
            <w:r>
              <w:rPr>
                <w:rFonts w:ascii="Arial" w:eastAsia="Arial" w:hAnsi="Arial" w:cs="Arial"/>
                <w:b/>
                <w:bCs/>
                <w:w w:val="70"/>
                <w:sz w:val="26"/>
                <w:szCs w:val="26"/>
              </w:rPr>
              <w:t>Regímenes quimioprofilácticos recomendados para contactos de alto riesgo y personas con enfermedad meningocócica invasora</w:t>
            </w:r>
          </w:p>
        </w:tc>
      </w:tr>
      <w:tr w:rsidR="00D03C17" w14:paraId="18497B70" w14:textId="77777777">
        <w:tblPrEx>
          <w:tblCellMar>
            <w:top w:w="0" w:type="dxa"/>
            <w:bottom w:w="0" w:type="dxa"/>
          </w:tblCellMar>
        </w:tblPrEx>
        <w:trPr>
          <w:trHeight w:hRule="exact" w:val="552"/>
          <w:jc w:val="center"/>
        </w:trPr>
        <w:tc>
          <w:tcPr>
            <w:tcW w:w="1685" w:type="dxa"/>
            <w:shd w:val="clear" w:color="auto" w:fill="231F20"/>
            <w:vAlign w:val="bottom"/>
          </w:tcPr>
          <w:p w14:paraId="28E52B84" w14:textId="77777777" w:rsidR="00D03C17" w:rsidRDefault="00D03C17">
            <w:pPr>
              <w:pStyle w:val="Other0"/>
              <w:pBdr>
                <w:top w:val="single" w:sz="0" w:space="0" w:color="231F20"/>
                <w:left w:val="single" w:sz="0" w:space="0" w:color="231F20"/>
                <w:bottom w:val="single" w:sz="0" w:space="0" w:color="231F20"/>
                <w:right w:val="single" w:sz="0" w:space="0" w:color="231F20"/>
              </w:pBdr>
              <w:shd w:val="clear" w:color="auto" w:fill="231F20"/>
              <w:spacing w:line="209" w:lineRule="auto"/>
              <w:ind w:firstLine="0"/>
              <w:rPr>
                <w:sz w:val="24"/>
                <w:szCs w:val="24"/>
              </w:rPr>
            </w:pPr>
            <w:r>
              <w:rPr>
                <w:rFonts w:ascii="Arial" w:eastAsia="Arial" w:hAnsi="Arial" w:cs="Arial"/>
                <w:b/>
                <w:bCs/>
                <w:color w:val="FFFFFF"/>
                <w:w w:val="70"/>
                <w:sz w:val="24"/>
                <w:szCs w:val="24"/>
              </w:rPr>
              <w:t>Edad de lactantes, niños y adultos</w:t>
            </w:r>
          </w:p>
        </w:tc>
        <w:tc>
          <w:tcPr>
            <w:tcW w:w="1474" w:type="dxa"/>
            <w:shd w:val="clear" w:color="auto" w:fill="231F20"/>
          </w:tcPr>
          <w:p w14:paraId="7AC3346D" w14:textId="77777777" w:rsidR="00D03C17" w:rsidRDefault="00D03C17">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Dosis</w:t>
            </w:r>
          </w:p>
        </w:tc>
        <w:tc>
          <w:tcPr>
            <w:tcW w:w="1022" w:type="dxa"/>
            <w:shd w:val="clear" w:color="auto" w:fill="231F20"/>
          </w:tcPr>
          <w:p w14:paraId="2DBF32C2" w14:textId="77777777" w:rsidR="00D03C17" w:rsidRDefault="00D03C17">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Duración</w:t>
            </w:r>
          </w:p>
        </w:tc>
        <w:tc>
          <w:tcPr>
            <w:tcW w:w="1142" w:type="dxa"/>
            <w:shd w:val="clear" w:color="auto" w:fill="231F20"/>
            <w:vAlign w:val="bottom"/>
          </w:tcPr>
          <w:p w14:paraId="1B0B0B61" w14:textId="77777777" w:rsidR="00D03C17" w:rsidRDefault="00D03C17">
            <w:pPr>
              <w:pStyle w:val="Other0"/>
              <w:pBdr>
                <w:top w:val="single" w:sz="0" w:space="0" w:color="231F20"/>
                <w:left w:val="single" w:sz="0" w:space="0" w:color="231F20"/>
                <w:bottom w:val="single" w:sz="0" w:space="0" w:color="231F20"/>
                <w:right w:val="single" w:sz="0" w:space="0" w:color="231F20"/>
              </w:pBdr>
              <w:shd w:val="clear" w:color="auto" w:fill="231F20"/>
              <w:spacing w:line="209" w:lineRule="auto"/>
              <w:ind w:left="140"/>
              <w:rPr>
                <w:sz w:val="24"/>
                <w:szCs w:val="24"/>
              </w:rPr>
            </w:pPr>
            <w:r>
              <w:rPr>
                <w:rFonts w:ascii="Arial" w:eastAsia="Arial" w:hAnsi="Arial" w:cs="Arial"/>
                <w:b/>
                <w:bCs/>
                <w:color w:val="FFFFFF"/>
                <w:w w:val="70"/>
                <w:sz w:val="24"/>
                <w:szCs w:val="24"/>
              </w:rPr>
              <w:t>Eficacia porcentual</w:t>
            </w:r>
          </w:p>
        </w:tc>
        <w:tc>
          <w:tcPr>
            <w:tcW w:w="1598" w:type="dxa"/>
            <w:shd w:val="clear" w:color="auto" w:fill="231F20"/>
          </w:tcPr>
          <w:p w14:paraId="11C045FB" w14:textId="77777777" w:rsidR="00D03C17" w:rsidRDefault="00D03C17">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Precauciones</w:t>
            </w:r>
          </w:p>
        </w:tc>
      </w:tr>
      <w:tr w:rsidR="00D03C17" w14:paraId="2DEF1EB5" w14:textId="77777777">
        <w:tblPrEx>
          <w:tblCellMar>
            <w:top w:w="0" w:type="dxa"/>
            <w:bottom w:w="0" w:type="dxa"/>
          </w:tblCellMar>
        </w:tblPrEx>
        <w:trPr>
          <w:trHeight w:hRule="exact" w:val="926"/>
          <w:jc w:val="center"/>
        </w:trPr>
        <w:tc>
          <w:tcPr>
            <w:tcW w:w="1685" w:type="dxa"/>
            <w:shd w:val="clear" w:color="auto" w:fill="FFFFFF"/>
          </w:tcPr>
          <w:p w14:paraId="56113594" w14:textId="77777777" w:rsidR="00D03C17" w:rsidRDefault="00D03C17">
            <w:pPr>
              <w:pStyle w:val="Other0"/>
              <w:spacing w:line="240" w:lineRule="auto"/>
              <w:ind w:firstLine="0"/>
              <w:rPr>
                <w:sz w:val="16"/>
                <w:szCs w:val="16"/>
              </w:rPr>
            </w:pPr>
            <w:r>
              <w:rPr>
                <w:rFonts w:ascii="Times New Roman" w:eastAsia="Times New Roman" w:hAnsi="Times New Roman" w:cs="Times New Roman"/>
                <w:b/>
                <w:bCs/>
                <w:sz w:val="16"/>
                <w:szCs w:val="16"/>
              </w:rPr>
              <w:t>Rifampicina</w:t>
            </w:r>
            <w:r>
              <w:rPr>
                <w:rFonts w:ascii="Times New Roman" w:eastAsia="Times New Roman" w:hAnsi="Times New Roman" w:cs="Times New Roman"/>
                <w:b/>
                <w:bCs/>
                <w:sz w:val="16"/>
                <w:szCs w:val="16"/>
                <w:vertAlign w:val="superscript"/>
              </w:rPr>
              <w:t>1</w:t>
            </w:r>
          </w:p>
          <w:p w14:paraId="6D4149F3"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1 mes o menos</w:t>
            </w:r>
          </w:p>
        </w:tc>
        <w:tc>
          <w:tcPr>
            <w:tcW w:w="1474" w:type="dxa"/>
            <w:shd w:val="clear" w:color="auto" w:fill="FFFFFF"/>
            <w:vAlign w:val="bottom"/>
          </w:tcPr>
          <w:p w14:paraId="7CBEF1A6" w14:textId="77777777" w:rsidR="00D03C17" w:rsidRDefault="00D03C17">
            <w:pPr>
              <w:pStyle w:val="Other0"/>
              <w:spacing w:line="283" w:lineRule="auto"/>
              <w:ind w:left="180" w:hanging="180"/>
              <w:rPr>
                <w:sz w:val="16"/>
                <w:szCs w:val="16"/>
              </w:rPr>
            </w:pPr>
            <w:r>
              <w:rPr>
                <w:rFonts w:ascii="Times New Roman" w:eastAsia="Times New Roman" w:hAnsi="Times New Roman" w:cs="Times New Roman"/>
                <w:sz w:val="16"/>
                <w:szCs w:val="16"/>
              </w:rPr>
              <w:t>5 mg/kg de peso por vía oral, cada 12 h</w:t>
            </w:r>
          </w:p>
        </w:tc>
        <w:tc>
          <w:tcPr>
            <w:tcW w:w="1022" w:type="dxa"/>
            <w:shd w:val="clear" w:color="auto" w:fill="FFFFFF"/>
            <w:vAlign w:val="center"/>
          </w:tcPr>
          <w:p w14:paraId="44496F9B"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2 días</w:t>
            </w:r>
          </w:p>
        </w:tc>
        <w:tc>
          <w:tcPr>
            <w:tcW w:w="1142" w:type="dxa"/>
            <w:shd w:val="clear" w:color="auto" w:fill="FFFFFF"/>
          </w:tcPr>
          <w:p w14:paraId="504B625A" w14:textId="77777777" w:rsidR="00D03C17" w:rsidRDefault="00D03C17">
            <w:pPr>
              <w:rPr>
                <w:sz w:val="10"/>
                <w:szCs w:val="10"/>
              </w:rPr>
            </w:pPr>
          </w:p>
        </w:tc>
        <w:tc>
          <w:tcPr>
            <w:tcW w:w="1598" w:type="dxa"/>
            <w:shd w:val="clear" w:color="auto" w:fill="FFFFFF"/>
          </w:tcPr>
          <w:p w14:paraId="7708F6C0" w14:textId="77777777" w:rsidR="00D03C17" w:rsidRDefault="00D03C17">
            <w:pPr>
              <w:rPr>
                <w:sz w:val="10"/>
                <w:szCs w:val="10"/>
              </w:rPr>
            </w:pPr>
          </w:p>
        </w:tc>
      </w:tr>
      <w:tr w:rsidR="00D03C17" w14:paraId="33E1832B" w14:textId="77777777">
        <w:tblPrEx>
          <w:tblCellMar>
            <w:top w:w="0" w:type="dxa"/>
            <w:bottom w:w="0" w:type="dxa"/>
          </w:tblCellMar>
        </w:tblPrEx>
        <w:trPr>
          <w:trHeight w:hRule="exact" w:val="221"/>
          <w:jc w:val="center"/>
        </w:trPr>
        <w:tc>
          <w:tcPr>
            <w:tcW w:w="1685" w:type="dxa"/>
            <w:shd w:val="clear" w:color="auto" w:fill="FFFFFF"/>
            <w:vAlign w:val="bottom"/>
          </w:tcPr>
          <w:p w14:paraId="4979E271"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Más de 1 mes</w:t>
            </w:r>
          </w:p>
        </w:tc>
        <w:tc>
          <w:tcPr>
            <w:tcW w:w="1474" w:type="dxa"/>
            <w:shd w:val="clear" w:color="auto" w:fill="FFFFFF"/>
            <w:vAlign w:val="bottom"/>
          </w:tcPr>
          <w:p w14:paraId="63F0D6F9"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10 mg/kg (dosis</w:t>
            </w:r>
          </w:p>
        </w:tc>
        <w:tc>
          <w:tcPr>
            <w:tcW w:w="1022" w:type="dxa"/>
            <w:shd w:val="clear" w:color="auto" w:fill="FFFFFF"/>
            <w:vAlign w:val="bottom"/>
          </w:tcPr>
          <w:p w14:paraId="29740B11"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2 días</w:t>
            </w:r>
          </w:p>
        </w:tc>
        <w:tc>
          <w:tcPr>
            <w:tcW w:w="1142" w:type="dxa"/>
            <w:shd w:val="clear" w:color="auto" w:fill="FFFFFF"/>
            <w:vAlign w:val="bottom"/>
          </w:tcPr>
          <w:p w14:paraId="63D94146" w14:textId="77777777" w:rsidR="00D03C17" w:rsidRDefault="00D03C17">
            <w:pPr>
              <w:pStyle w:val="Other0"/>
              <w:spacing w:line="240" w:lineRule="auto"/>
              <w:ind w:firstLine="140"/>
              <w:rPr>
                <w:sz w:val="16"/>
                <w:szCs w:val="16"/>
              </w:rPr>
            </w:pPr>
            <w:r>
              <w:rPr>
                <w:rFonts w:ascii="Times New Roman" w:eastAsia="Times New Roman" w:hAnsi="Times New Roman" w:cs="Times New Roman"/>
                <w:sz w:val="16"/>
                <w:szCs w:val="16"/>
              </w:rPr>
              <w:t>72-90</w:t>
            </w:r>
          </w:p>
        </w:tc>
        <w:tc>
          <w:tcPr>
            <w:tcW w:w="1598" w:type="dxa"/>
            <w:shd w:val="clear" w:color="auto" w:fill="FFFFFF"/>
            <w:vAlign w:val="bottom"/>
          </w:tcPr>
          <w:p w14:paraId="20A9F9D1"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Puede interferir en</w:t>
            </w:r>
          </w:p>
        </w:tc>
      </w:tr>
      <w:tr w:rsidR="00D03C17" w14:paraId="62E31EC8" w14:textId="77777777">
        <w:tblPrEx>
          <w:tblCellMar>
            <w:top w:w="0" w:type="dxa"/>
            <w:bottom w:w="0" w:type="dxa"/>
          </w:tblCellMar>
        </w:tblPrEx>
        <w:trPr>
          <w:trHeight w:hRule="exact" w:val="216"/>
          <w:jc w:val="center"/>
        </w:trPr>
        <w:tc>
          <w:tcPr>
            <w:tcW w:w="1685" w:type="dxa"/>
            <w:shd w:val="clear" w:color="auto" w:fill="FFFFFF"/>
          </w:tcPr>
          <w:p w14:paraId="6D71E3F5" w14:textId="77777777" w:rsidR="00D03C17" w:rsidRDefault="00D03C17">
            <w:pPr>
              <w:rPr>
                <w:sz w:val="10"/>
                <w:szCs w:val="10"/>
              </w:rPr>
            </w:pPr>
          </w:p>
        </w:tc>
        <w:tc>
          <w:tcPr>
            <w:tcW w:w="1474" w:type="dxa"/>
            <w:shd w:val="clear" w:color="auto" w:fill="FFFFFF"/>
            <w:vAlign w:val="bottom"/>
          </w:tcPr>
          <w:p w14:paraId="454317F4" w14:textId="77777777" w:rsidR="00D03C17" w:rsidRDefault="00D03C17">
            <w:pPr>
              <w:pStyle w:val="Other0"/>
              <w:spacing w:line="240" w:lineRule="auto"/>
              <w:ind w:firstLine="180"/>
              <w:rPr>
                <w:sz w:val="16"/>
                <w:szCs w:val="16"/>
              </w:rPr>
            </w:pPr>
            <w:r>
              <w:rPr>
                <w:rFonts w:ascii="Times New Roman" w:eastAsia="Times New Roman" w:hAnsi="Times New Roman" w:cs="Times New Roman"/>
                <w:sz w:val="16"/>
                <w:szCs w:val="16"/>
              </w:rPr>
              <w:t>máxima, 600 mg)</w:t>
            </w:r>
          </w:p>
        </w:tc>
        <w:tc>
          <w:tcPr>
            <w:tcW w:w="1022" w:type="dxa"/>
            <w:shd w:val="clear" w:color="auto" w:fill="FFFFFF"/>
          </w:tcPr>
          <w:p w14:paraId="39FABF7C" w14:textId="77777777" w:rsidR="00D03C17" w:rsidRDefault="00D03C17">
            <w:pPr>
              <w:rPr>
                <w:sz w:val="10"/>
                <w:szCs w:val="10"/>
              </w:rPr>
            </w:pPr>
          </w:p>
        </w:tc>
        <w:tc>
          <w:tcPr>
            <w:tcW w:w="1142" w:type="dxa"/>
            <w:shd w:val="clear" w:color="auto" w:fill="FFFFFF"/>
          </w:tcPr>
          <w:p w14:paraId="6390DBB3" w14:textId="77777777" w:rsidR="00D03C17" w:rsidRDefault="00D03C17">
            <w:pPr>
              <w:rPr>
                <w:sz w:val="10"/>
                <w:szCs w:val="10"/>
              </w:rPr>
            </w:pPr>
          </w:p>
        </w:tc>
        <w:tc>
          <w:tcPr>
            <w:tcW w:w="1598" w:type="dxa"/>
            <w:shd w:val="clear" w:color="auto" w:fill="FFFFFF"/>
            <w:vAlign w:val="bottom"/>
          </w:tcPr>
          <w:p w14:paraId="47495232" w14:textId="77777777" w:rsidR="00D03C17" w:rsidRDefault="00D03C17">
            <w:pPr>
              <w:pStyle w:val="Other0"/>
              <w:spacing w:line="240" w:lineRule="auto"/>
              <w:ind w:firstLine="240"/>
              <w:rPr>
                <w:sz w:val="16"/>
                <w:szCs w:val="16"/>
              </w:rPr>
            </w:pPr>
            <w:r>
              <w:rPr>
                <w:rFonts w:ascii="Times New Roman" w:eastAsia="Times New Roman" w:hAnsi="Times New Roman" w:cs="Times New Roman"/>
                <w:sz w:val="16"/>
                <w:szCs w:val="16"/>
              </w:rPr>
              <w:t>la eficacia de los</w:t>
            </w:r>
          </w:p>
        </w:tc>
      </w:tr>
      <w:tr w:rsidR="00D03C17" w14:paraId="29AAE3C7" w14:textId="77777777">
        <w:tblPrEx>
          <w:tblCellMar>
            <w:top w:w="0" w:type="dxa"/>
            <w:bottom w:w="0" w:type="dxa"/>
          </w:tblCellMar>
        </w:tblPrEx>
        <w:trPr>
          <w:trHeight w:hRule="exact" w:val="235"/>
          <w:jc w:val="center"/>
        </w:trPr>
        <w:tc>
          <w:tcPr>
            <w:tcW w:w="1685" w:type="dxa"/>
            <w:shd w:val="clear" w:color="auto" w:fill="FFFFFF"/>
          </w:tcPr>
          <w:p w14:paraId="3E20B799" w14:textId="77777777" w:rsidR="00D03C17" w:rsidRDefault="00D03C17">
            <w:pPr>
              <w:rPr>
                <w:sz w:val="10"/>
                <w:szCs w:val="10"/>
              </w:rPr>
            </w:pPr>
          </w:p>
        </w:tc>
        <w:tc>
          <w:tcPr>
            <w:tcW w:w="1474" w:type="dxa"/>
            <w:shd w:val="clear" w:color="auto" w:fill="FFFFFF"/>
            <w:vAlign w:val="bottom"/>
          </w:tcPr>
          <w:p w14:paraId="0830335D" w14:textId="77777777" w:rsidR="00D03C17" w:rsidRDefault="00D03C17">
            <w:pPr>
              <w:pStyle w:val="Other0"/>
              <w:spacing w:line="240" w:lineRule="auto"/>
              <w:ind w:firstLine="180"/>
              <w:rPr>
                <w:sz w:val="16"/>
                <w:szCs w:val="16"/>
              </w:rPr>
            </w:pPr>
            <w:r>
              <w:rPr>
                <w:rFonts w:ascii="Times New Roman" w:eastAsia="Times New Roman" w:hAnsi="Times New Roman" w:cs="Times New Roman"/>
                <w:sz w:val="16"/>
                <w:szCs w:val="16"/>
              </w:rPr>
              <w:t>por vía oral, cada</w:t>
            </w:r>
          </w:p>
        </w:tc>
        <w:tc>
          <w:tcPr>
            <w:tcW w:w="1022" w:type="dxa"/>
            <w:shd w:val="clear" w:color="auto" w:fill="FFFFFF"/>
          </w:tcPr>
          <w:p w14:paraId="3C2F34E7" w14:textId="77777777" w:rsidR="00D03C17" w:rsidRDefault="00D03C17">
            <w:pPr>
              <w:rPr>
                <w:sz w:val="10"/>
                <w:szCs w:val="10"/>
              </w:rPr>
            </w:pPr>
          </w:p>
        </w:tc>
        <w:tc>
          <w:tcPr>
            <w:tcW w:w="1142" w:type="dxa"/>
            <w:shd w:val="clear" w:color="auto" w:fill="FFFFFF"/>
          </w:tcPr>
          <w:p w14:paraId="7A0D4BA5" w14:textId="77777777" w:rsidR="00D03C17" w:rsidRDefault="00D03C17">
            <w:pPr>
              <w:rPr>
                <w:sz w:val="10"/>
                <w:szCs w:val="10"/>
              </w:rPr>
            </w:pPr>
          </w:p>
        </w:tc>
        <w:tc>
          <w:tcPr>
            <w:tcW w:w="1598" w:type="dxa"/>
            <w:shd w:val="clear" w:color="auto" w:fill="FFFFFF"/>
            <w:vAlign w:val="bottom"/>
          </w:tcPr>
          <w:p w14:paraId="6B1BEEF3" w14:textId="77777777" w:rsidR="00D03C17" w:rsidRDefault="00D03C17">
            <w:pPr>
              <w:pStyle w:val="Other0"/>
              <w:spacing w:line="240" w:lineRule="auto"/>
              <w:ind w:firstLine="240"/>
              <w:rPr>
                <w:sz w:val="16"/>
                <w:szCs w:val="16"/>
              </w:rPr>
            </w:pPr>
            <w:r>
              <w:rPr>
                <w:rFonts w:ascii="Times New Roman" w:eastAsia="Times New Roman" w:hAnsi="Times New Roman" w:cs="Times New Roman"/>
                <w:sz w:val="16"/>
                <w:szCs w:val="16"/>
              </w:rPr>
              <w:t>anticonceptivos</w:t>
            </w:r>
          </w:p>
        </w:tc>
      </w:tr>
      <w:tr w:rsidR="00D03C17" w14:paraId="27C52DF6" w14:textId="77777777">
        <w:tblPrEx>
          <w:tblCellMar>
            <w:top w:w="0" w:type="dxa"/>
            <w:bottom w:w="0" w:type="dxa"/>
          </w:tblCellMar>
        </w:tblPrEx>
        <w:trPr>
          <w:trHeight w:hRule="exact" w:val="1507"/>
          <w:jc w:val="center"/>
        </w:trPr>
        <w:tc>
          <w:tcPr>
            <w:tcW w:w="1685" w:type="dxa"/>
            <w:shd w:val="clear" w:color="auto" w:fill="FFFFFF"/>
          </w:tcPr>
          <w:p w14:paraId="1BF11ABE" w14:textId="77777777" w:rsidR="00D03C17" w:rsidRDefault="00D03C17">
            <w:pPr>
              <w:rPr>
                <w:sz w:val="10"/>
                <w:szCs w:val="10"/>
              </w:rPr>
            </w:pPr>
          </w:p>
        </w:tc>
        <w:tc>
          <w:tcPr>
            <w:tcW w:w="1474" w:type="dxa"/>
            <w:shd w:val="clear" w:color="auto" w:fill="FFFFFF"/>
          </w:tcPr>
          <w:p w14:paraId="0B9BAF83" w14:textId="77777777" w:rsidR="00D03C17" w:rsidRDefault="00D03C17">
            <w:pPr>
              <w:pStyle w:val="Other0"/>
              <w:spacing w:line="240" w:lineRule="auto"/>
              <w:ind w:firstLine="180"/>
              <w:rPr>
                <w:sz w:val="16"/>
                <w:szCs w:val="16"/>
              </w:rPr>
            </w:pPr>
            <w:r>
              <w:rPr>
                <w:rFonts w:ascii="Times New Roman" w:eastAsia="Times New Roman" w:hAnsi="Times New Roman" w:cs="Times New Roman"/>
                <w:sz w:val="16"/>
                <w:szCs w:val="16"/>
              </w:rPr>
              <w:t>12 h</w:t>
            </w:r>
          </w:p>
        </w:tc>
        <w:tc>
          <w:tcPr>
            <w:tcW w:w="1022" w:type="dxa"/>
            <w:shd w:val="clear" w:color="auto" w:fill="FFFFFF"/>
          </w:tcPr>
          <w:p w14:paraId="6EA8E8D0" w14:textId="77777777" w:rsidR="00D03C17" w:rsidRDefault="00D03C17">
            <w:pPr>
              <w:rPr>
                <w:sz w:val="10"/>
                <w:szCs w:val="10"/>
              </w:rPr>
            </w:pPr>
          </w:p>
        </w:tc>
        <w:tc>
          <w:tcPr>
            <w:tcW w:w="1142" w:type="dxa"/>
            <w:shd w:val="clear" w:color="auto" w:fill="FFFFFF"/>
          </w:tcPr>
          <w:p w14:paraId="60F8648D" w14:textId="77777777" w:rsidR="00D03C17" w:rsidRDefault="00D03C17">
            <w:pPr>
              <w:rPr>
                <w:sz w:val="10"/>
                <w:szCs w:val="10"/>
              </w:rPr>
            </w:pPr>
          </w:p>
        </w:tc>
        <w:tc>
          <w:tcPr>
            <w:tcW w:w="1598" w:type="dxa"/>
            <w:shd w:val="clear" w:color="auto" w:fill="FFFFFF"/>
          </w:tcPr>
          <w:p w14:paraId="34367221" w14:textId="77777777" w:rsidR="00D03C17" w:rsidRDefault="00D03C17">
            <w:pPr>
              <w:pStyle w:val="Other0"/>
              <w:spacing w:line="283" w:lineRule="auto"/>
              <w:ind w:left="240" w:firstLine="0"/>
              <w:rPr>
                <w:sz w:val="16"/>
                <w:szCs w:val="16"/>
              </w:rPr>
            </w:pPr>
            <w:r>
              <w:rPr>
                <w:rFonts w:ascii="Times New Roman" w:eastAsia="Times New Roman" w:hAnsi="Times New Roman" w:cs="Times New Roman"/>
                <w:sz w:val="16"/>
                <w:szCs w:val="16"/>
              </w:rPr>
              <w:t>ingeribles y algunos fármacos usados para evitar convulsiones y los anticoagulantes; puede manchar las lentes blandas</w:t>
            </w:r>
          </w:p>
        </w:tc>
      </w:tr>
      <w:tr w:rsidR="00D03C17" w14:paraId="3572B9BB" w14:textId="77777777">
        <w:tblPrEx>
          <w:tblCellMar>
            <w:top w:w="0" w:type="dxa"/>
            <w:bottom w:w="0" w:type="dxa"/>
          </w:tblCellMar>
        </w:tblPrEx>
        <w:trPr>
          <w:trHeight w:hRule="exact" w:val="197"/>
          <w:jc w:val="center"/>
        </w:trPr>
        <w:tc>
          <w:tcPr>
            <w:tcW w:w="1685" w:type="dxa"/>
            <w:shd w:val="clear" w:color="auto" w:fill="FFFFFF"/>
          </w:tcPr>
          <w:p w14:paraId="52810544" w14:textId="77777777" w:rsidR="00D03C17" w:rsidRDefault="00D03C17">
            <w:pPr>
              <w:rPr>
                <w:sz w:val="10"/>
                <w:szCs w:val="10"/>
              </w:rPr>
            </w:pPr>
          </w:p>
        </w:tc>
        <w:tc>
          <w:tcPr>
            <w:tcW w:w="1474" w:type="dxa"/>
            <w:shd w:val="clear" w:color="auto" w:fill="FFFFFF"/>
          </w:tcPr>
          <w:p w14:paraId="3AB3E5CF" w14:textId="77777777" w:rsidR="00D03C17" w:rsidRDefault="00D03C17">
            <w:pPr>
              <w:rPr>
                <w:sz w:val="10"/>
                <w:szCs w:val="10"/>
              </w:rPr>
            </w:pPr>
          </w:p>
        </w:tc>
        <w:tc>
          <w:tcPr>
            <w:tcW w:w="1022" w:type="dxa"/>
            <w:shd w:val="clear" w:color="auto" w:fill="FFFFFF"/>
          </w:tcPr>
          <w:p w14:paraId="22840374" w14:textId="77777777" w:rsidR="00D03C17" w:rsidRDefault="00D03C17">
            <w:pPr>
              <w:rPr>
                <w:sz w:val="10"/>
                <w:szCs w:val="10"/>
              </w:rPr>
            </w:pPr>
          </w:p>
        </w:tc>
        <w:tc>
          <w:tcPr>
            <w:tcW w:w="1142" w:type="dxa"/>
            <w:shd w:val="clear" w:color="auto" w:fill="FFFFFF"/>
          </w:tcPr>
          <w:p w14:paraId="3D853708" w14:textId="77777777" w:rsidR="00D03C17" w:rsidRDefault="00D03C17">
            <w:pPr>
              <w:rPr>
                <w:sz w:val="10"/>
                <w:szCs w:val="10"/>
              </w:rPr>
            </w:pPr>
          </w:p>
        </w:tc>
        <w:tc>
          <w:tcPr>
            <w:tcW w:w="1598" w:type="dxa"/>
            <w:shd w:val="clear" w:color="auto" w:fill="FFFFFF"/>
          </w:tcPr>
          <w:p w14:paraId="3A9D0918" w14:textId="77777777" w:rsidR="00D03C17" w:rsidRDefault="00D03C17">
            <w:pPr>
              <w:pStyle w:val="Other0"/>
              <w:spacing w:line="240" w:lineRule="auto"/>
              <w:ind w:firstLine="240"/>
              <w:rPr>
                <w:sz w:val="16"/>
                <w:szCs w:val="16"/>
              </w:rPr>
            </w:pPr>
            <w:r>
              <w:rPr>
                <w:rFonts w:ascii="Times New Roman" w:eastAsia="Times New Roman" w:hAnsi="Times New Roman" w:cs="Times New Roman"/>
                <w:sz w:val="16"/>
                <w:szCs w:val="16"/>
              </w:rPr>
              <w:t>de contacto</w:t>
            </w:r>
          </w:p>
        </w:tc>
      </w:tr>
      <w:tr w:rsidR="00D03C17" w14:paraId="5BCFE9B0" w14:textId="77777777">
        <w:tblPrEx>
          <w:tblCellMar>
            <w:top w:w="0" w:type="dxa"/>
            <w:bottom w:w="0" w:type="dxa"/>
          </w:tblCellMar>
        </w:tblPrEx>
        <w:trPr>
          <w:trHeight w:hRule="exact" w:val="442"/>
          <w:jc w:val="center"/>
        </w:trPr>
        <w:tc>
          <w:tcPr>
            <w:tcW w:w="1685" w:type="dxa"/>
            <w:shd w:val="clear" w:color="auto" w:fill="FFFFFF"/>
            <w:vAlign w:val="bottom"/>
          </w:tcPr>
          <w:p w14:paraId="0D4C16E0" w14:textId="77777777" w:rsidR="00D03C17" w:rsidRDefault="00D03C17">
            <w:pPr>
              <w:pStyle w:val="Other0"/>
              <w:spacing w:line="283" w:lineRule="auto"/>
              <w:ind w:firstLine="0"/>
              <w:rPr>
                <w:sz w:val="16"/>
                <w:szCs w:val="16"/>
              </w:rPr>
            </w:pPr>
            <w:r>
              <w:rPr>
                <w:rFonts w:ascii="Times New Roman" w:eastAsia="Times New Roman" w:hAnsi="Times New Roman" w:cs="Times New Roman"/>
                <w:b/>
                <w:bCs/>
                <w:sz w:val="16"/>
                <w:szCs w:val="16"/>
              </w:rPr>
              <w:t xml:space="preserve">Ceftriaxona </w:t>
            </w:r>
            <w:r>
              <w:rPr>
                <w:rFonts w:ascii="Times New Roman" w:eastAsia="Times New Roman" w:hAnsi="Times New Roman" w:cs="Times New Roman"/>
                <w:sz w:val="16"/>
                <w:szCs w:val="16"/>
              </w:rPr>
              <w:t>15 años o menos</w:t>
            </w:r>
          </w:p>
        </w:tc>
        <w:tc>
          <w:tcPr>
            <w:tcW w:w="1474" w:type="dxa"/>
            <w:shd w:val="clear" w:color="auto" w:fill="FFFFFF"/>
            <w:vAlign w:val="bottom"/>
          </w:tcPr>
          <w:p w14:paraId="3B163DFB"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125 mg por vía</w:t>
            </w:r>
          </w:p>
        </w:tc>
        <w:tc>
          <w:tcPr>
            <w:tcW w:w="1022" w:type="dxa"/>
            <w:shd w:val="clear" w:color="auto" w:fill="FFFFFF"/>
            <w:vAlign w:val="bottom"/>
          </w:tcPr>
          <w:p w14:paraId="5F549F46"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Dosis única</w:t>
            </w:r>
          </w:p>
        </w:tc>
        <w:tc>
          <w:tcPr>
            <w:tcW w:w="1142" w:type="dxa"/>
            <w:shd w:val="clear" w:color="auto" w:fill="FFFFFF"/>
            <w:vAlign w:val="bottom"/>
          </w:tcPr>
          <w:p w14:paraId="4C6F1925" w14:textId="77777777" w:rsidR="00D03C17" w:rsidRDefault="00D03C17">
            <w:pPr>
              <w:pStyle w:val="Other0"/>
              <w:spacing w:line="240" w:lineRule="auto"/>
              <w:ind w:firstLine="140"/>
              <w:rPr>
                <w:sz w:val="16"/>
                <w:szCs w:val="16"/>
              </w:rPr>
            </w:pPr>
            <w:r>
              <w:rPr>
                <w:rFonts w:ascii="Times New Roman" w:eastAsia="Times New Roman" w:hAnsi="Times New Roman" w:cs="Times New Roman"/>
                <w:sz w:val="16"/>
                <w:szCs w:val="16"/>
              </w:rPr>
              <w:t>97</w:t>
            </w:r>
          </w:p>
        </w:tc>
        <w:tc>
          <w:tcPr>
            <w:tcW w:w="1598" w:type="dxa"/>
            <w:shd w:val="clear" w:color="auto" w:fill="FFFFFF"/>
            <w:vAlign w:val="bottom"/>
          </w:tcPr>
          <w:p w14:paraId="5D247CAD"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Para aplacar el</w:t>
            </w:r>
          </w:p>
        </w:tc>
      </w:tr>
      <w:tr w:rsidR="00D03C17" w14:paraId="4DA00ADA" w14:textId="77777777">
        <w:tblPrEx>
          <w:tblCellMar>
            <w:top w:w="0" w:type="dxa"/>
            <w:bottom w:w="0" w:type="dxa"/>
          </w:tblCellMar>
        </w:tblPrEx>
        <w:trPr>
          <w:trHeight w:hRule="exact" w:val="864"/>
          <w:jc w:val="center"/>
        </w:trPr>
        <w:tc>
          <w:tcPr>
            <w:tcW w:w="1685" w:type="dxa"/>
            <w:shd w:val="clear" w:color="auto" w:fill="FFFFFF"/>
          </w:tcPr>
          <w:p w14:paraId="5244F3E8" w14:textId="77777777" w:rsidR="00D03C17" w:rsidRDefault="00D03C17">
            <w:pPr>
              <w:rPr>
                <w:sz w:val="10"/>
                <w:szCs w:val="10"/>
              </w:rPr>
            </w:pPr>
          </w:p>
        </w:tc>
        <w:tc>
          <w:tcPr>
            <w:tcW w:w="1474" w:type="dxa"/>
            <w:shd w:val="clear" w:color="auto" w:fill="FFFFFF"/>
          </w:tcPr>
          <w:p w14:paraId="3A4DE57F" w14:textId="77777777" w:rsidR="00D03C17" w:rsidRDefault="00D03C17">
            <w:pPr>
              <w:pStyle w:val="Other0"/>
              <w:spacing w:line="240" w:lineRule="auto"/>
              <w:ind w:firstLine="180"/>
              <w:rPr>
                <w:sz w:val="16"/>
                <w:szCs w:val="16"/>
              </w:rPr>
            </w:pPr>
            <w:r>
              <w:rPr>
                <w:rFonts w:ascii="Times New Roman" w:eastAsia="Times New Roman" w:hAnsi="Times New Roman" w:cs="Times New Roman"/>
                <w:sz w:val="16"/>
                <w:szCs w:val="16"/>
              </w:rPr>
              <w:t>intramuscular</w:t>
            </w:r>
          </w:p>
        </w:tc>
        <w:tc>
          <w:tcPr>
            <w:tcW w:w="1022" w:type="dxa"/>
            <w:shd w:val="clear" w:color="auto" w:fill="FFFFFF"/>
          </w:tcPr>
          <w:p w14:paraId="596A0749" w14:textId="77777777" w:rsidR="00D03C17" w:rsidRDefault="00D03C17">
            <w:pPr>
              <w:rPr>
                <w:sz w:val="10"/>
                <w:szCs w:val="10"/>
              </w:rPr>
            </w:pPr>
          </w:p>
        </w:tc>
        <w:tc>
          <w:tcPr>
            <w:tcW w:w="1142" w:type="dxa"/>
            <w:shd w:val="clear" w:color="auto" w:fill="FFFFFF"/>
          </w:tcPr>
          <w:p w14:paraId="53A666AB" w14:textId="77777777" w:rsidR="00D03C17" w:rsidRDefault="00D03C17">
            <w:pPr>
              <w:rPr>
                <w:sz w:val="10"/>
                <w:szCs w:val="10"/>
              </w:rPr>
            </w:pPr>
          </w:p>
        </w:tc>
        <w:tc>
          <w:tcPr>
            <w:tcW w:w="1598" w:type="dxa"/>
            <w:shd w:val="clear" w:color="auto" w:fill="FFFFFF"/>
          </w:tcPr>
          <w:p w14:paraId="31BD7E38" w14:textId="77777777" w:rsidR="00D03C17" w:rsidRDefault="00D03C17">
            <w:pPr>
              <w:pStyle w:val="Other0"/>
              <w:spacing w:line="283" w:lineRule="auto"/>
              <w:ind w:left="240" w:firstLine="0"/>
              <w:rPr>
                <w:sz w:val="16"/>
                <w:szCs w:val="16"/>
              </w:rPr>
            </w:pPr>
            <w:r>
              <w:rPr>
                <w:rFonts w:ascii="Times New Roman" w:eastAsia="Times New Roman" w:hAnsi="Times New Roman" w:cs="Times New Roman"/>
                <w:sz w:val="16"/>
                <w:szCs w:val="16"/>
              </w:rPr>
              <w:t>dolor en el sitio de la inyección, diluir con lidocaína al 1%</w:t>
            </w:r>
          </w:p>
        </w:tc>
      </w:tr>
      <w:tr w:rsidR="00D03C17" w14:paraId="2E7B6E95" w14:textId="77777777">
        <w:tblPrEx>
          <w:tblCellMar>
            <w:top w:w="0" w:type="dxa"/>
            <w:bottom w:w="0" w:type="dxa"/>
          </w:tblCellMar>
        </w:tblPrEx>
        <w:trPr>
          <w:trHeight w:hRule="exact" w:val="216"/>
          <w:jc w:val="center"/>
        </w:trPr>
        <w:tc>
          <w:tcPr>
            <w:tcW w:w="1685" w:type="dxa"/>
            <w:shd w:val="clear" w:color="auto" w:fill="FFFFFF"/>
            <w:vAlign w:val="bottom"/>
          </w:tcPr>
          <w:p w14:paraId="0FCD253D"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Más de 15 años</w:t>
            </w:r>
          </w:p>
        </w:tc>
        <w:tc>
          <w:tcPr>
            <w:tcW w:w="1474" w:type="dxa"/>
            <w:shd w:val="clear" w:color="auto" w:fill="FFFFFF"/>
            <w:vAlign w:val="bottom"/>
          </w:tcPr>
          <w:p w14:paraId="4C1A590B"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250 mg por vía</w:t>
            </w:r>
          </w:p>
        </w:tc>
        <w:tc>
          <w:tcPr>
            <w:tcW w:w="1022" w:type="dxa"/>
            <w:shd w:val="clear" w:color="auto" w:fill="FFFFFF"/>
            <w:vAlign w:val="bottom"/>
          </w:tcPr>
          <w:p w14:paraId="29D6EA91"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Dosis única</w:t>
            </w:r>
          </w:p>
        </w:tc>
        <w:tc>
          <w:tcPr>
            <w:tcW w:w="1142" w:type="dxa"/>
            <w:shd w:val="clear" w:color="auto" w:fill="FFFFFF"/>
          </w:tcPr>
          <w:p w14:paraId="34F181E9" w14:textId="77777777" w:rsidR="00D03C17" w:rsidRDefault="00D03C17">
            <w:pPr>
              <w:rPr>
                <w:sz w:val="10"/>
                <w:szCs w:val="10"/>
              </w:rPr>
            </w:pPr>
          </w:p>
        </w:tc>
        <w:tc>
          <w:tcPr>
            <w:tcW w:w="1598" w:type="dxa"/>
            <w:shd w:val="clear" w:color="auto" w:fill="FFFFFF"/>
          </w:tcPr>
          <w:p w14:paraId="30119B31" w14:textId="77777777" w:rsidR="00D03C17" w:rsidRDefault="00D03C17">
            <w:pPr>
              <w:rPr>
                <w:sz w:val="10"/>
                <w:szCs w:val="10"/>
              </w:rPr>
            </w:pPr>
          </w:p>
        </w:tc>
      </w:tr>
      <w:tr w:rsidR="00D03C17" w14:paraId="3512F30A" w14:textId="77777777">
        <w:tblPrEx>
          <w:tblCellMar>
            <w:top w:w="0" w:type="dxa"/>
            <w:bottom w:w="0" w:type="dxa"/>
          </w:tblCellMar>
        </w:tblPrEx>
        <w:trPr>
          <w:trHeight w:hRule="exact" w:val="211"/>
          <w:jc w:val="center"/>
        </w:trPr>
        <w:tc>
          <w:tcPr>
            <w:tcW w:w="1685" w:type="dxa"/>
            <w:shd w:val="clear" w:color="auto" w:fill="FFFFFF"/>
          </w:tcPr>
          <w:p w14:paraId="504E246B" w14:textId="77777777" w:rsidR="00D03C17" w:rsidRDefault="00D03C17">
            <w:pPr>
              <w:rPr>
                <w:sz w:val="10"/>
                <w:szCs w:val="10"/>
              </w:rPr>
            </w:pPr>
          </w:p>
        </w:tc>
        <w:tc>
          <w:tcPr>
            <w:tcW w:w="1474" w:type="dxa"/>
            <w:shd w:val="clear" w:color="auto" w:fill="FFFFFF"/>
          </w:tcPr>
          <w:p w14:paraId="60D7F1FD" w14:textId="77777777" w:rsidR="00D03C17" w:rsidRDefault="00D03C17">
            <w:pPr>
              <w:pStyle w:val="Other0"/>
              <w:spacing w:line="240" w:lineRule="auto"/>
              <w:ind w:firstLine="180"/>
              <w:rPr>
                <w:sz w:val="16"/>
                <w:szCs w:val="16"/>
              </w:rPr>
            </w:pPr>
            <w:r>
              <w:rPr>
                <w:rFonts w:ascii="Times New Roman" w:eastAsia="Times New Roman" w:hAnsi="Times New Roman" w:cs="Times New Roman"/>
                <w:sz w:val="16"/>
                <w:szCs w:val="16"/>
              </w:rPr>
              <w:t>intramuscular</w:t>
            </w:r>
          </w:p>
        </w:tc>
        <w:tc>
          <w:tcPr>
            <w:tcW w:w="1022" w:type="dxa"/>
            <w:shd w:val="clear" w:color="auto" w:fill="FFFFFF"/>
          </w:tcPr>
          <w:p w14:paraId="576B5DEF" w14:textId="77777777" w:rsidR="00D03C17" w:rsidRDefault="00D03C17">
            <w:pPr>
              <w:rPr>
                <w:sz w:val="10"/>
                <w:szCs w:val="10"/>
              </w:rPr>
            </w:pPr>
          </w:p>
        </w:tc>
        <w:tc>
          <w:tcPr>
            <w:tcW w:w="1142" w:type="dxa"/>
            <w:shd w:val="clear" w:color="auto" w:fill="FFFFFF"/>
          </w:tcPr>
          <w:p w14:paraId="4CFF90A9" w14:textId="77777777" w:rsidR="00D03C17" w:rsidRDefault="00D03C17">
            <w:pPr>
              <w:rPr>
                <w:sz w:val="10"/>
                <w:szCs w:val="10"/>
              </w:rPr>
            </w:pPr>
          </w:p>
        </w:tc>
        <w:tc>
          <w:tcPr>
            <w:tcW w:w="1598" w:type="dxa"/>
            <w:shd w:val="clear" w:color="auto" w:fill="FFFFFF"/>
          </w:tcPr>
          <w:p w14:paraId="035D8062" w14:textId="77777777" w:rsidR="00D03C17" w:rsidRDefault="00D03C17">
            <w:pPr>
              <w:rPr>
                <w:sz w:val="10"/>
                <w:szCs w:val="10"/>
              </w:rPr>
            </w:pPr>
          </w:p>
        </w:tc>
      </w:tr>
      <w:tr w:rsidR="00D03C17" w14:paraId="04D3561A" w14:textId="77777777">
        <w:tblPrEx>
          <w:tblCellMar>
            <w:top w:w="0" w:type="dxa"/>
            <w:bottom w:w="0" w:type="dxa"/>
          </w:tblCellMar>
        </w:tblPrEx>
        <w:trPr>
          <w:trHeight w:hRule="exact" w:val="250"/>
          <w:jc w:val="center"/>
        </w:trPr>
        <w:tc>
          <w:tcPr>
            <w:tcW w:w="1685" w:type="dxa"/>
            <w:shd w:val="clear" w:color="auto" w:fill="FFFFFF"/>
            <w:vAlign w:val="bottom"/>
          </w:tcPr>
          <w:p w14:paraId="33028C64" w14:textId="77777777" w:rsidR="00D03C17" w:rsidRDefault="00D03C17">
            <w:pPr>
              <w:pStyle w:val="Other0"/>
              <w:spacing w:line="240" w:lineRule="auto"/>
              <w:ind w:firstLine="0"/>
              <w:rPr>
                <w:sz w:val="16"/>
                <w:szCs w:val="16"/>
              </w:rPr>
            </w:pPr>
            <w:r>
              <w:rPr>
                <w:rFonts w:ascii="Times New Roman" w:eastAsia="Times New Roman" w:hAnsi="Times New Roman" w:cs="Times New Roman"/>
                <w:b/>
                <w:bCs/>
                <w:sz w:val="16"/>
                <w:szCs w:val="16"/>
              </w:rPr>
              <w:t>Ciprofloxacina</w:t>
            </w:r>
            <w:r>
              <w:rPr>
                <w:rFonts w:ascii="Times New Roman" w:eastAsia="Times New Roman" w:hAnsi="Times New Roman" w:cs="Times New Roman"/>
                <w:b/>
                <w:bCs/>
                <w:sz w:val="16"/>
                <w:szCs w:val="16"/>
                <w:vertAlign w:val="superscript"/>
              </w:rPr>
              <w:t>1</w:t>
            </w:r>
          </w:p>
        </w:tc>
        <w:tc>
          <w:tcPr>
            <w:tcW w:w="1474" w:type="dxa"/>
            <w:shd w:val="clear" w:color="auto" w:fill="FFFFFF"/>
            <w:vAlign w:val="bottom"/>
          </w:tcPr>
          <w:p w14:paraId="03D0B64B"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500 mg, por vía oral</w:t>
            </w:r>
          </w:p>
        </w:tc>
        <w:tc>
          <w:tcPr>
            <w:tcW w:w="1022" w:type="dxa"/>
            <w:shd w:val="clear" w:color="auto" w:fill="FFFFFF"/>
            <w:vAlign w:val="bottom"/>
          </w:tcPr>
          <w:p w14:paraId="78EE062D"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Dosis única</w:t>
            </w:r>
          </w:p>
        </w:tc>
        <w:tc>
          <w:tcPr>
            <w:tcW w:w="1142" w:type="dxa"/>
            <w:shd w:val="clear" w:color="auto" w:fill="FFFFFF"/>
            <w:vAlign w:val="bottom"/>
          </w:tcPr>
          <w:p w14:paraId="5E6FEF9F" w14:textId="77777777" w:rsidR="00D03C17" w:rsidRDefault="00D03C17">
            <w:pPr>
              <w:pStyle w:val="Other0"/>
              <w:spacing w:line="240" w:lineRule="auto"/>
              <w:ind w:firstLine="140"/>
              <w:rPr>
                <w:sz w:val="16"/>
                <w:szCs w:val="16"/>
              </w:rPr>
            </w:pPr>
            <w:r>
              <w:rPr>
                <w:rFonts w:ascii="Times New Roman" w:eastAsia="Times New Roman" w:hAnsi="Times New Roman" w:cs="Times New Roman"/>
                <w:sz w:val="16"/>
                <w:szCs w:val="16"/>
              </w:rPr>
              <w:t>90-95</w:t>
            </w:r>
          </w:p>
        </w:tc>
        <w:tc>
          <w:tcPr>
            <w:tcW w:w="1598" w:type="dxa"/>
            <w:shd w:val="clear" w:color="auto" w:fill="FFFFFF"/>
            <w:vAlign w:val="bottom"/>
          </w:tcPr>
          <w:p w14:paraId="07488999"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No se ha aprobado</w:t>
            </w:r>
          </w:p>
        </w:tc>
      </w:tr>
      <w:tr w:rsidR="00D03C17" w14:paraId="78EB4ECF" w14:textId="77777777">
        <w:tblPrEx>
          <w:tblCellMar>
            <w:top w:w="0" w:type="dxa"/>
            <w:bottom w:w="0" w:type="dxa"/>
          </w:tblCellMar>
        </w:tblPrEx>
        <w:trPr>
          <w:trHeight w:hRule="exact" w:val="226"/>
          <w:jc w:val="center"/>
        </w:trPr>
        <w:tc>
          <w:tcPr>
            <w:tcW w:w="1685" w:type="dxa"/>
            <w:shd w:val="clear" w:color="auto" w:fill="FFFFFF"/>
          </w:tcPr>
          <w:p w14:paraId="3A9ADAAB"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18 años y mayores</w:t>
            </w:r>
          </w:p>
        </w:tc>
        <w:tc>
          <w:tcPr>
            <w:tcW w:w="1474" w:type="dxa"/>
            <w:shd w:val="clear" w:color="auto" w:fill="FFFFFF"/>
          </w:tcPr>
          <w:p w14:paraId="61C3A6F0" w14:textId="77777777" w:rsidR="00D03C17" w:rsidRDefault="00D03C17">
            <w:pPr>
              <w:rPr>
                <w:sz w:val="10"/>
                <w:szCs w:val="10"/>
              </w:rPr>
            </w:pPr>
          </w:p>
        </w:tc>
        <w:tc>
          <w:tcPr>
            <w:tcW w:w="1022" w:type="dxa"/>
            <w:shd w:val="clear" w:color="auto" w:fill="FFFFFF"/>
          </w:tcPr>
          <w:p w14:paraId="29E836B5" w14:textId="77777777" w:rsidR="00D03C17" w:rsidRDefault="00D03C17">
            <w:pPr>
              <w:rPr>
                <w:sz w:val="10"/>
                <w:szCs w:val="10"/>
              </w:rPr>
            </w:pPr>
          </w:p>
        </w:tc>
        <w:tc>
          <w:tcPr>
            <w:tcW w:w="1142" w:type="dxa"/>
            <w:shd w:val="clear" w:color="auto" w:fill="FFFFFF"/>
          </w:tcPr>
          <w:p w14:paraId="4C877859" w14:textId="77777777" w:rsidR="00D03C17" w:rsidRDefault="00D03C17">
            <w:pPr>
              <w:rPr>
                <w:sz w:val="10"/>
                <w:szCs w:val="10"/>
              </w:rPr>
            </w:pPr>
          </w:p>
        </w:tc>
        <w:tc>
          <w:tcPr>
            <w:tcW w:w="1598" w:type="dxa"/>
            <w:shd w:val="clear" w:color="auto" w:fill="FFFFFF"/>
          </w:tcPr>
          <w:p w14:paraId="0420C9D3" w14:textId="77777777" w:rsidR="00D03C17" w:rsidRDefault="00D03C17">
            <w:pPr>
              <w:pStyle w:val="Other0"/>
              <w:spacing w:line="240" w:lineRule="auto"/>
              <w:ind w:firstLine="240"/>
              <w:rPr>
                <w:sz w:val="16"/>
                <w:szCs w:val="16"/>
              </w:rPr>
            </w:pPr>
            <w:r>
              <w:rPr>
                <w:rFonts w:ascii="Times New Roman" w:eastAsia="Times New Roman" w:hAnsi="Times New Roman" w:cs="Times New Roman"/>
                <w:sz w:val="16"/>
                <w:szCs w:val="16"/>
              </w:rPr>
              <w:t>su uso en</w:t>
            </w:r>
          </w:p>
        </w:tc>
      </w:tr>
      <w:tr w:rsidR="00D03C17" w14:paraId="6DB1F0A2" w14:textId="77777777">
        <w:tblPrEx>
          <w:tblCellMar>
            <w:top w:w="0" w:type="dxa"/>
            <w:bottom w:w="0" w:type="dxa"/>
          </w:tblCellMar>
        </w:tblPrEx>
        <w:trPr>
          <w:trHeight w:hRule="exact" w:val="504"/>
          <w:jc w:val="center"/>
        </w:trPr>
        <w:tc>
          <w:tcPr>
            <w:tcW w:w="1685" w:type="dxa"/>
            <w:tcBorders>
              <w:bottom w:val="single" w:sz="4" w:space="0" w:color="auto"/>
            </w:tcBorders>
            <w:shd w:val="clear" w:color="auto" w:fill="FFFFFF"/>
          </w:tcPr>
          <w:p w14:paraId="763B4D03" w14:textId="77777777" w:rsidR="00D03C17" w:rsidRDefault="00D03C17">
            <w:pPr>
              <w:rPr>
                <w:sz w:val="10"/>
                <w:szCs w:val="10"/>
              </w:rPr>
            </w:pPr>
          </w:p>
        </w:tc>
        <w:tc>
          <w:tcPr>
            <w:tcW w:w="1474" w:type="dxa"/>
            <w:tcBorders>
              <w:bottom w:val="single" w:sz="4" w:space="0" w:color="auto"/>
            </w:tcBorders>
            <w:shd w:val="clear" w:color="auto" w:fill="FFFFFF"/>
          </w:tcPr>
          <w:p w14:paraId="5C0668FE" w14:textId="77777777" w:rsidR="00D03C17" w:rsidRDefault="00D03C17">
            <w:pPr>
              <w:rPr>
                <w:sz w:val="10"/>
                <w:szCs w:val="10"/>
              </w:rPr>
            </w:pPr>
          </w:p>
        </w:tc>
        <w:tc>
          <w:tcPr>
            <w:tcW w:w="1022" w:type="dxa"/>
            <w:tcBorders>
              <w:bottom w:val="single" w:sz="4" w:space="0" w:color="auto"/>
            </w:tcBorders>
            <w:shd w:val="clear" w:color="auto" w:fill="FFFFFF"/>
          </w:tcPr>
          <w:p w14:paraId="7CF6D0AE" w14:textId="77777777" w:rsidR="00D03C17" w:rsidRDefault="00D03C17">
            <w:pPr>
              <w:rPr>
                <w:sz w:val="10"/>
                <w:szCs w:val="10"/>
              </w:rPr>
            </w:pPr>
          </w:p>
        </w:tc>
        <w:tc>
          <w:tcPr>
            <w:tcW w:w="1142" w:type="dxa"/>
            <w:tcBorders>
              <w:bottom w:val="single" w:sz="4" w:space="0" w:color="auto"/>
            </w:tcBorders>
            <w:shd w:val="clear" w:color="auto" w:fill="FFFFFF"/>
          </w:tcPr>
          <w:p w14:paraId="23B09F72" w14:textId="77777777" w:rsidR="00D03C17" w:rsidRDefault="00D03C17">
            <w:pPr>
              <w:rPr>
                <w:sz w:val="10"/>
                <w:szCs w:val="10"/>
              </w:rPr>
            </w:pPr>
          </w:p>
        </w:tc>
        <w:tc>
          <w:tcPr>
            <w:tcW w:w="1598" w:type="dxa"/>
            <w:tcBorders>
              <w:bottom w:val="single" w:sz="4" w:space="0" w:color="auto"/>
            </w:tcBorders>
            <w:shd w:val="clear" w:color="auto" w:fill="FFFFFF"/>
          </w:tcPr>
          <w:p w14:paraId="49E1922F" w14:textId="77777777" w:rsidR="00D03C17" w:rsidRDefault="00D03C17">
            <w:pPr>
              <w:pStyle w:val="Other0"/>
              <w:spacing w:line="283" w:lineRule="auto"/>
              <w:ind w:left="240" w:firstLine="0"/>
              <w:rPr>
                <w:sz w:val="16"/>
                <w:szCs w:val="16"/>
              </w:rPr>
            </w:pPr>
            <w:r>
              <w:rPr>
                <w:rFonts w:ascii="Times New Roman" w:eastAsia="Times New Roman" w:hAnsi="Times New Roman" w:cs="Times New Roman"/>
                <w:sz w:val="16"/>
                <w:szCs w:val="16"/>
              </w:rPr>
              <w:t>personas menores de 18 años</w:t>
            </w:r>
          </w:p>
        </w:tc>
      </w:tr>
    </w:tbl>
    <w:p w14:paraId="5E6975B4" w14:textId="77777777" w:rsidR="00D03C17" w:rsidRDefault="00D03C17">
      <w:pPr>
        <w:pStyle w:val="Tablecaption0"/>
        <w:spacing w:line="240" w:lineRule="auto"/>
        <w:ind w:left="91"/>
      </w:pPr>
      <w:r>
        <w:rPr>
          <w:sz w:val="8"/>
          <w:szCs w:val="8"/>
          <w:vertAlign w:val="superscript"/>
        </w:rPr>
        <w:t>1</w:t>
      </w:r>
      <w:r>
        <w:rPr>
          <w:sz w:val="8"/>
          <w:szCs w:val="8"/>
        </w:rPr>
        <w:t xml:space="preserve"> </w:t>
      </w:r>
      <w:r>
        <w:t>No se recomienda su uso en embarazadas.</w:t>
      </w:r>
    </w:p>
    <w:p w14:paraId="0ED5682A" w14:textId="77777777" w:rsidR="00D03C17" w:rsidRDefault="00D03C17">
      <w:pPr>
        <w:spacing w:after="499" w:line="1" w:lineRule="exact"/>
      </w:pPr>
    </w:p>
    <w:p w14:paraId="2C09CAB5" w14:textId="77777777" w:rsidR="00D03C17" w:rsidRDefault="00D03C17">
      <w:pPr>
        <w:pStyle w:val="BodyText"/>
        <w:ind w:firstLine="380"/>
      </w:pPr>
      <w:r>
        <w:t>La ciprofloxacina administrada a adultos en una sola dosis ingerible también es eficaz para erradicar el estado de portador meningocócico. En la actualidad se recomienda no usarla en personas menores de 18 años ni en embarazadas (véase “Antimicrobianos y fármacos similares”, sección 4).</w:t>
      </w:r>
    </w:p>
    <w:p w14:paraId="0EB2451E" w14:textId="77777777" w:rsidR="00D03C17" w:rsidRDefault="00D03C17">
      <w:pPr>
        <w:pStyle w:val="BodyText"/>
        <w:ind w:firstLine="380"/>
        <w:rPr>
          <w:sz w:val="16"/>
          <w:szCs w:val="16"/>
        </w:rPr>
      </w:pPr>
      <w:r>
        <w:t xml:space="preserve">El caso primario o índice también debe recibir quimioprofilaxia antes de salir del hospital, salvo que la infección haya sido tratada con ceftriaxona o cefotaxima, que son eficaces para la erradicación nasofaríngea de </w:t>
      </w:r>
      <w:r>
        <w:rPr>
          <w:rFonts w:ascii="Times New Roman" w:eastAsia="Times New Roman" w:hAnsi="Times New Roman" w:cs="Times New Roman"/>
          <w:i/>
          <w:iCs/>
          <w:sz w:val="16"/>
          <w:szCs w:val="16"/>
        </w:rPr>
        <w:t>N. meningitidis.</w:t>
      </w:r>
    </w:p>
    <w:p w14:paraId="68124EB0" w14:textId="77777777" w:rsidR="00D03C17" w:rsidRDefault="00D03C17">
      <w:pPr>
        <w:pStyle w:val="BodyText"/>
        <w:spacing w:line="276" w:lineRule="auto"/>
        <w:ind w:firstLine="380"/>
      </w:pPr>
      <w:r>
        <w:rPr>
          <w:rFonts w:ascii="Times New Roman" w:eastAsia="Times New Roman" w:hAnsi="Times New Roman" w:cs="Times New Roman"/>
          <w:b/>
          <w:bCs/>
          <w:i/>
          <w:iCs/>
          <w:sz w:val="16"/>
          <w:szCs w:val="16"/>
        </w:rPr>
        <w:t>Inmunoprofilaxia.</w:t>
      </w:r>
      <w:r>
        <w:t xml:space="preserve"> Semanas o meses después de comenzar la enfermedad en el primer caso (índice) surgen casos secundarios, razón por la cual es posible complementar la quimioprofilaxia con la vacuna antimeningocócica si el brote es causado por un serogrupo contenido dentro de los elementos de la vacuna.</w:t>
      </w:r>
    </w:p>
    <w:p w14:paraId="21619805" w14:textId="77777777" w:rsidR="00D03C17" w:rsidRDefault="00D03C17">
      <w:pPr>
        <w:pStyle w:val="BodyText"/>
        <w:spacing w:line="283" w:lineRule="auto"/>
        <w:ind w:firstLine="380"/>
      </w:pPr>
      <w:r>
        <w:rPr>
          <w:rFonts w:ascii="Arial" w:eastAsia="Arial" w:hAnsi="Arial" w:cs="Arial"/>
          <w:b/>
          <w:bCs/>
          <w:i/>
          <w:iCs/>
          <w:sz w:val="15"/>
          <w:szCs w:val="15"/>
        </w:rPr>
        <w:t>Vacuna antimeningocócica.</w:t>
      </w:r>
      <w:r>
        <w:t xml:space="preserve"> En Estados Unidos se dispone de una vacuna antimeningocócica cuadrivalente con especificidad contra los serogrupos A, C, Y y W-135 de </w:t>
      </w:r>
      <w:r>
        <w:rPr>
          <w:rFonts w:ascii="Times New Roman" w:eastAsia="Times New Roman" w:hAnsi="Times New Roman" w:cs="Times New Roman"/>
          <w:i/>
          <w:iCs/>
          <w:sz w:val="16"/>
          <w:szCs w:val="16"/>
        </w:rPr>
        <w:t>N. meningititis,</w:t>
      </w:r>
      <w:r>
        <w:t xml:space="preserve"> para usar en niños de dos años y mayores. Se aplica por vía subcutánea en una sola dosis de 0.5 ml y se puede administrar al mismo tiempo que otras vacunas, aunque en sitio diferente. No se cuenta en el país mencionado con una vacuna para prevenir la enfermedad por el grupo B.</w:t>
      </w:r>
    </w:p>
    <w:p w14:paraId="3811C8BD" w14:textId="77777777" w:rsidR="00D03C17" w:rsidRDefault="00D03C17">
      <w:pPr>
        <w:pStyle w:val="BodyText"/>
        <w:ind w:firstLine="360"/>
      </w:pPr>
      <w:r>
        <w:t>La vacuna a base del polisacárido meningocócico del serogrupo A es inmunógena en niños de tres meses y mayores, aunque sólo entre los cuatro y cinco años de vida desencadena una respuesta similar a la observada en adultos. En el caso de niños menores de 18 meses de vida se han administrado dos dosis con tres meses de diferencia para el control de una epidemia, si bien no se dispone de datos de la eficacia de este plan vacunal. Cuando se aplica la vacuna cuadrivalente con los serogrupos A, C, Y y W-135 a lactantes durante un brote causado por el grupo A es inadecuada la respuesta a otros polisacáridos meningocócicos. El polisacárido del serogrupo C es poco inmunógeno en niños menores de 24 meses que la reciben. Se ha demostrado que son inmunógenos e inocuos para niños de dos años y mayores las vacunas de polisacáridos de los serogrupos Y y W-135.</w:t>
      </w:r>
    </w:p>
    <w:p w14:paraId="1D4EDB18" w14:textId="77777777" w:rsidR="00D03C17" w:rsidRDefault="00D03C17">
      <w:pPr>
        <w:pStyle w:val="BodyText"/>
        <w:ind w:firstLine="360"/>
      </w:pPr>
      <w:r>
        <w:t>Las vacunas del conjugado polisacárido del serogrupo C han sido aprobadas en Europa y Canadá para utilizar en lactantes y niños.</w:t>
      </w:r>
    </w:p>
    <w:p w14:paraId="7537F8CA" w14:textId="77777777" w:rsidR="00D03C17" w:rsidRDefault="00D03C17">
      <w:pPr>
        <w:pStyle w:val="BodyText"/>
        <w:spacing w:line="271" w:lineRule="auto"/>
        <w:ind w:firstLine="360"/>
      </w:pPr>
      <w:r>
        <w:rPr>
          <w:rFonts w:ascii="Times New Roman" w:eastAsia="Times New Roman" w:hAnsi="Times New Roman" w:cs="Times New Roman"/>
          <w:b/>
          <w:bCs/>
          <w:i/>
          <w:iCs/>
          <w:sz w:val="16"/>
          <w:szCs w:val="16"/>
        </w:rPr>
        <w:t>Indicaciones.</w:t>
      </w:r>
      <w:r>
        <w:t xml:space="preserve"> No se recomienda la vacunación sistemática a base de vacuna con polisacárido meningocócico en niños, porque en la población la tasa de infección es pequeña, la reacción que desencadena la vacuna es débil e inadecuada en niños de corta edad, la inmunidad dura poco tiempo y la respuesta a dosis ulteriores de la vacuna se bloquea en lo que toca a algunos serogrupos y con ello disminuye. Sin embargo, se recomienda la vacunación en niños de dos años de vida y mayores que pertenecen a grupos de alto riesgo, como personas con asplenia funcional o anatómica (véase “Niños asplénicos”, sección 1) e individuos con deficiencias de los componentes terminales de complemento o de properdina. Los universitarios que residen en dormitorios por primera vez están expuestos a un mayor peligro de mostrar enfermedad invasora por meningococos. Es importante que los pediatras los orienten y también a sus padres sobre el peligro de una enfermedad meningocócica evitable con vacuna, y también de que existe una vacuna segura y eficaz. Los médicos deben vacunar a los estudiantes si ellos o sus padres lo solicitan, si así lo exige la institución educativa en que están o si es obligatorio por la ley estatal (</w:t>
      </w:r>
      <w:hyperlink r:id="rId48" w:history="1">
        <w:r>
          <w:t>www.immunize.org/laws</w:t>
        </w:r>
      </w:hyperlink>
      <w:r>
        <w:t>). En la actualidad no hay ningún dato que sugiera que los niños y adolescentes que no hacen uso de dormitorios (extrauniversitarios) están expuestos a un mayor peligro de enfermedad invasora por meningococos.</w:t>
      </w:r>
    </w:p>
    <w:p w14:paraId="7F504BC0" w14:textId="77777777" w:rsidR="00D03C17" w:rsidRDefault="00D03C17">
      <w:pPr>
        <w:pStyle w:val="BodyText"/>
        <w:ind w:firstLine="360"/>
      </w:pPr>
      <w:r>
        <w:t xml:space="preserve">La vacunación puede ser beneficiosa para quienes viajan a países que tienen enfermedad meningocócica hiperendémica o epidémica causada por un serogrupo evitable con la vacuna. En la actualidad se aplica la vacuna a todos los reclutas militares en Estados Unidos. Los datos sugieren que </w:t>
      </w:r>
      <w:r>
        <w:rPr>
          <w:rFonts w:ascii="Times New Roman" w:eastAsia="Times New Roman" w:hAnsi="Times New Roman" w:cs="Times New Roman"/>
          <w:i/>
          <w:iCs/>
          <w:sz w:val="16"/>
          <w:szCs w:val="16"/>
        </w:rPr>
        <w:t>N. meningitidis</w:t>
      </w:r>
      <w:r>
        <w:t xml:space="preserve"> aislados conlleva el posible riesgo para microbiólogos y que tales gérmenes aislados deben ser manipulados de manera que se lleve al mínimo el peligro de exposición a aerosoles o gotículas. Hay que pensar en la vacunación de científicos expuestos todos los días a </w:t>
      </w:r>
      <w:r>
        <w:rPr>
          <w:rFonts w:ascii="Times New Roman" w:eastAsia="Times New Roman" w:hAnsi="Times New Roman" w:cs="Times New Roman"/>
          <w:i/>
          <w:iCs/>
          <w:sz w:val="16"/>
          <w:szCs w:val="16"/>
        </w:rPr>
        <w:t>N. meningitidis</w:t>
      </w:r>
      <w:r>
        <w:t xml:space="preserve"> en solución.</w:t>
      </w:r>
    </w:p>
    <w:p w14:paraId="4676F405" w14:textId="77777777" w:rsidR="00D03C17" w:rsidRDefault="00D03C17">
      <w:pPr>
        <w:pStyle w:val="BodyText"/>
        <w:spacing w:line="276" w:lineRule="auto"/>
        <w:ind w:firstLine="360"/>
        <w:sectPr w:rsidR="00D03C17" w:rsidSect="00D03C17">
          <w:headerReference w:type="even" r:id="rId49"/>
          <w:headerReference w:type="default" r:id="rId50"/>
          <w:footerReference w:type="even" r:id="rId51"/>
          <w:footerReference w:type="default" r:id="rId52"/>
          <w:footnotePr>
            <w:numFmt w:val="chicago"/>
          </w:footnotePr>
          <w:pgSz w:w="8501" w:h="13022"/>
          <w:pgMar w:top="701" w:right="812" w:bottom="461" w:left="766" w:header="0" w:footer="3" w:gutter="0"/>
          <w:pgNumType w:start="483"/>
          <w:cols w:space="720"/>
          <w:noEndnote/>
          <w:docGrid w:linePitch="360"/>
          <w15:footnoteColumns w:val="1"/>
        </w:sectPr>
      </w:pPr>
      <w:r>
        <w:rPr>
          <w:rFonts w:ascii="Times New Roman" w:eastAsia="Times New Roman" w:hAnsi="Times New Roman" w:cs="Times New Roman"/>
          <w:b/>
          <w:bCs/>
          <w:i/>
          <w:iCs/>
          <w:sz w:val="16"/>
          <w:szCs w:val="16"/>
        </w:rPr>
        <w:t>Revacunación.</w:t>
      </w:r>
      <w:r>
        <w:t xml:space="preserve"> Son escasos los datos para valorar la necesidad de revacunación o la fecha para hacerlo, en caso de que persista o reaparezca el peligro de enfermedad. En los niños y en particular los vacunados antes de los cinco años de vida, las concentraciones de anticuerpos disminuyen notablemente en los primeros tres años después de la vacunación. La revacunación pudiera estar indicada para personas expuestas a un gran peligro de infección (quienes residen en zonas en que es epidémica la enfermedad), particularmente menores que recibieron la primera vacuna cuando tenían menos de </w:t>
      </w:r>
    </w:p>
    <w:p w14:paraId="5C7C339D" w14:textId="77777777" w:rsidR="00D03C17" w:rsidRDefault="00D03C17">
      <w:pPr>
        <w:pStyle w:val="BodyText"/>
        <w:spacing w:line="276" w:lineRule="auto"/>
        <w:ind w:firstLine="0"/>
      </w:pPr>
      <w:r>
        <w:t>cuatro años de vida. Habrá que considerar en ellos la revacunación después de dos a tres años si permanecen en un estado de alto riesgo. No se ha precisado la necesidad de revacunar a niños de mayor edad y adultos, pero las concentraciones de anticuerpo disminuyen rápidamente en un lapso de dos a tres años, y si persisten las indicaciones para la vacunación habrá que pensar en la revacunación tres a cinco años después que la persona recibió la dosis inicial.</w:t>
      </w:r>
    </w:p>
    <w:p w14:paraId="23D4F909" w14:textId="77777777" w:rsidR="00D03C17" w:rsidRDefault="00D03C17">
      <w:pPr>
        <w:pStyle w:val="BodyText"/>
        <w:spacing w:line="276" w:lineRule="auto"/>
        <w:ind w:firstLine="360"/>
      </w:pPr>
      <w:r>
        <w:rPr>
          <w:rFonts w:ascii="Times New Roman" w:eastAsia="Times New Roman" w:hAnsi="Times New Roman" w:cs="Times New Roman"/>
          <w:b/>
          <w:bCs/>
          <w:i/>
          <w:iCs/>
          <w:sz w:val="16"/>
          <w:szCs w:val="16"/>
        </w:rPr>
        <w:t>Reacciones adversas y precauciones.</w:t>
      </w:r>
      <w:r>
        <w:t xml:space="preserve"> Surgen reacciones adversas raras y leves, y de ellas la más común es el dolor y el eritema localizados, durante uno o dos días. Los estudios sugieren que no hay que alterar las recomendaciones para la vacunación antimeningocócica, por embarazo.</w:t>
      </w:r>
    </w:p>
    <w:p w14:paraId="3C62906F" w14:textId="77777777" w:rsidR="00D03C17" w:rsidRDefault="00D03C17">
      <w:pPr>
        <w:pStyle w:val="BodyText"/>
        <w:spacing w:line="276" w:lineRule="auto"/>
        <w:ind w:firstLine="360"/>
      </w:pPr>
      <w:r>
        <w:rPr>
          <w:rFonts w:ascii="Arial" w:eastAsia="Arial" w:hAnsi="Arial" w:cs="Arial"/>
          <w:b/>
          <w:bCs/>
          <w:i/>
          <w:iCs/>
          <w:sz w:val="15"/>
          <w:szCs w:val="15"/>
        </w:rPr>
        <w:t>Notificación.</w:t>
      </w:r>
      <w:r>
        <w:t xml:space="preserve"> Es importante notificar al departamento sanitario regional (véase cuadro 3-41) todos los casos confirmados, presuncionales o probables de enfermedad meningocócica invasora. La notificación oportuna facilitará la identificación temprana de brotes de tal forma que se pueda llevar rápidamente a la práctica los programas de prevención apropiada.</w:t>
      </w:r>
    </w:p>
    <w:p w14:paraId="2C4BB4B6" w14:textId="77777777" w:rsidR="00D03C17" w:rsidRDefault="00D03C17">
      <w:pPr>
        <w:pStyle w:val="BodyText"/>
        <w:spacing w:after="80" w:line="276" w:lineRule="auto"/>
        <w:ind w:firstLine="360"/>
      </w:pPr>
      <w:r>
        <w:rPr>
          <w:rFonts w:ascii="Arial" w:eastAsia="Arial" w:hAnsi="Arial" w:cs="Arial"/>
          <w:b/>
          <w:bCs/>
          <w:i/>
          <w:iCs/>
          <w:sz w:val="15"/>
          <w:szCs w:val="15"/>
        </w:rPr>
        <w:t>Consejo y enseñanza del público.</w:t>
      </w:r>
      <w:r>
        <w:t xml:space="preserve"> El médico, si se detecta un caso de enfermedad meningocócica invasora, debe aportar información precisa y oportuna en cuanto a la enfermedad de ese tipo y el peligro de transmisión a familias y contactos de la persona infectada. Las preguntas sobre salud pública, como si se necesita un programa de inmunización masiva, serán planteadas al departamento sanitario local. En situaciones apropiadas, la información oportuna, en colaboración con los departamentos de salud local, a escuelas u otros grupos expuestos a mayor riesgo y a los medios de comunicación, puede aplacar la ansiedad del público y las exigencias inapropiadas o no reales de intervención.</w:t>
      </w:r>
    </w:p>
    <w:p w14:paraId="6F608168" w14:textId="77777777" w:rsidR="00D03C17" w:rsidRDefault="00D03C17">
      <w:pPr>
        <w:pStyle w:val="BodyText"/>
        <w:spacing w:line="262" w:lineRule="auto"/>
        <w:ind w:firstLine="0"/>
        <w:sectPr w:rsidR="00D03C17" w:rsidSect="00D03C17">
          <w:headerReference w:type="even" r:id="rId53"/>
          <w:headerReference w:type="default" r:id="rId54"/>
          <w:footerReference w:type="even" r:id="rId55"/>
          <w:footerReference w:type="default" r:id="rId56"/>
          <w:footnotePr>
            <w:numFmt w:val="chicago"/>
          </w:footnotePr>
          <w:type w:val="continuous"/>
          <w:pgSz w:w="8501" w:h="13022"/>
          <w:pgMar w:top="701" w:right="812" w:bottom="461" w:left="766" w:header="0" w:footer="33" w:gutter="0"/>
          <w:cols w:space="720"/>
          <w:noEndnote/>
          <w:docGrid w:linePitch="360"/>
          <w15:footnoteColumns w:val="1"/>
        </w:sectPr>
      </w:pPr>
      <w:r>
        <w:rPr>
          <w:rFonts w:ascii="Arial" w:eastAsia="Arial" w:hAnsi="Arial" w:cs="Arial"/>
          <w:b/>
          <w:bCs/>
          <w:w w:val="70"/>
          <w:sz w:val="32"/>
          <w:szCs w:val="32"/>
        </w:rPr>
        <w:t xml:space="preserve">Micobacterias no tuberculosas, enfermedades </w:t>
      </w:r>
      <w:r>
        <w:rPr>
          <w:rFonts w:ascii="Arial" w:eastAsia="Arial" w:hAnsi="Arial" w:cs="Arial"/>
          <w:b/>
          <w:bCs/>
          <w:w w:val="70"/>
          <w:sz w:val="20"/>
          <w:szCs w:val="20"/>
        </w:rPr>
        <w:t xml:space="preserve">(Micobacterias atípicas, micobacterias diferentes de </w:t>
      </w:r>
      <w:r>
        <w:rPr>
          <w:rFonts w:ascii="Arial" w:eastAsia="Arial" w:hAnsi="Arial" w:cs="Arial"/>
          <w:b/>
          <w:bCs/>
          <w:i/>
          <w:iCs/>
          <w:sz w:val="15"/>
          <w:szCs w:val="15"/>
        </w:rPr>
        <w:t>Mycobacterium tuberculosis</w:t>
      </w:r>
      <w:r>
        <w:rPr>
          <w:rFonts w:ascii="Arial" w:eastAsia="Arial" w:hAnsi="Arial" w:cs="Arial"/>
          <w:b/>
          <w:bCs/>
          <w:i/>
          <w:iCs/>
          <w:w w:val="70"/>
          <w:sz w:val="20"/>
          <w:szCs w:val="20"/>
        </w:rPr>
        <w:t xml:space="preserve">) </w:t>
      </w:r>
      <w:r>
        <w:rPr>
          <w:b/>
          <w:bCs/>
        </w:rPr>
        <w:t>M</w:t>
      </w:r>
      <w:r>
        <w:rPr>
          <w:b/>
          <w:bCs/>
          <w:sz w:val="13"/>
          <w:szCs w:val="13"/>
        </w:rPr>
        <w:t>ANIFESTACIONES CLÍNICAS</w:t>
      </w:r>
      <w:r>
        <w:rPr>
          <w:b/>
          <w:bCs/>
        </w:rPr>
        <w:t xml:space="preserve">: </w:t>
      </w:r>
      <w:r>
        <w:t xml:space="preserve">Algunos síndromes son causados por micobacterias no tuberculosas </w:t>
      </w:r>
      <w:r>
        <w:rPr>
          <w:i/>
          <w:iCs/>
        </w:rPr>
        <w:t>(</w:t>
      </w:r>
      <w:r>
        <w:rPr>
          <w:rFonts w:ascii="Times New Roman" w:eastAsia="Times New Roman" w:hAnsi="Times New Roman" w:cs="Times New Roman"/>
          <w:i/>
          <w:iCs/>
          <w:sz w:val="16"/>
          <w:szCs w:val="16"/>
        </w:rPr>
        <w:t>nontuberculous mycobacteria</w:t>
      </w:r>
      <w:r>
        <w:rPr>
          <w:i/>
          <w:iCs/>
        </w:rPr>
        <w:t>,</w:t>
      </w:r>
      <w:r>
        <w:t xml:space="preserve"> NTM), y en los niños el más común es la linfadenitis cervical. Entre las infecciones menos frecuentes están las infecciones de la piel, osteomielitis, otitis media, infecciones de catéteres en vena central y enfermedad pulmonar. Las infecciones diseminadas casi siempre surgen en casos de deficiencia inmunitaria de tipo celular, como se observa en defectos inmunitarios congénitos o en la infección por el virus de inmunodeficiencia humana (VIH). Las manifestaciones de las infecciones diseminadas por NTM dependen de la especie y la vía de propagación de la infección, pero incluyen fiebre, sudación nocturna, pérdida ponderal, dolor abdominal, fatiga, diarrea y anemia. En 10 a 20% de los adolescentes y adultos jóvenes con fibrosis quística se identifican micobacterias no tuberculosas, en particular el complejo de </w:t>
      </w:r>
      <w:r>
        <w:rPr>
          <w:rFonts w:ascii="Times New Roman" w:eastAsia="Times New Roman" w:hAnsi="Times New Roman" w:cs="Times New Roman"/>
          <w:i/>
          <w:iCs/>
          <w:sz w:val="16"/>
          <w:szCs w:val="16"/>
        </w:rPr>
        <w:t>M. avium ([M. avium complex,</w:t>
      </w:r>
      <w:r>
        <w:t xml:space="preserve"> MAC</w:t>
      </w:r>
      <w:r>
        <w:rPr>
          <w:rFonts w:ascii="Times New Roman" w:eastAsia="Times New Roman" w:hAnsi="Times New Roman" w:cs="Times New Roman"/>
          <w:i/>
          <w:iCs/>
          <w:sz w:val="16"/>
          <w:szCs w:val="16"/>
        </w:rPr>
        <w:t>]</w:t>
      </w:r>
      <w:r>
        <w:t xml:space="preserve"> [incluidas </w:t>
      </w:r>
      <w:r>
        <w:rPr>
          <w:rFonts w:ascii="Times New Roman" w:eastAsia="Times New Roman" w:hAnsi="Times New Roman" w:cs="Times New Roman"/>
          <w:i/>
          <w:iCs/>
          <w:sz w:val="16"/>
          <w:szCs w:val="16"/>
        </w:rPr>
        <w:t xml:space="preserve">Mycobacterium avium </w:t>
      </w:r>
      <w:r>
        <w:t xml:space="preserve">y </w:t>
      </w:r>
      <w:r>
        <w:rPr>
          <w:rFonts w:ascii="Times New Roman" w:eastAsia="Times New Roman" w:hAnsi="Times New Roman" w:cs="Times New Roman"/>
          <w:i/>
          <w:iCs/>
          <w:sz w:val="16"/>
          <w:szCs w:val="16"/>
        </w:rPr>
        <w:t>Mycobacterium intracellulare])</w:t>
      </w:r>
      <w:r>
        <w:t xml:space="preserve"> y </w:t>
      </w:r>
      <w:r>
        <w:rPr>
          <w:rFonts w:ascii="Times New Roman" w:eastAsia="Times New Roman" w:hAnsi="Times New Roman" w:cs="Times New Roman"/>
          <w:i/>
          <w:iCs/>
          <w:sz w:val="16"/>
          <w:szCs w:val="16"/>
        </w:rPr>
        <w:t>M. abscessus,</w:t>
      </w:r>
      <w:r>
        <w:t xml:space="preserve"> y pueden ocasionar fiebre y deterioro del estado clínico a pesar de la administración agresiva de fármacos contra seudomonas. </w:t>
      </w:r>
      <w:r>
        <w:rPr>
          <w:b/>
          <w:bCs/>
        </w:rPr>
        <w:t>C</w:t>
      </w:r>
      <w:r>
        <w:rPr>
          <w:b/>
          <w:bCs/>
          <w:sz w:val="13"/>
          <w:szCs w:val="13"/>
        </w:rPr>
        <w:t>AUSAS</w:t>
      </w:r>
      <w:r>
        <w:rPr>
          <w:b/>
          <w:bCs/>
        </w:rPr>
        <w:t xml:space="preserve">: </w:t>
      </w:r>
      <w:r>
        <w:t xml:space="preserve">De las innumerables especies identificadas de NTM, sólo unas cuantas originan muchas de las infecciones de seres humanos. Las especies detectadas con mayor frecuencia en niños infectados son </w:t>
      </w:r>
      <w:r>
        <w:rPr>
          <w:rFonts w:ascii="Times New Roman" w:eastAsia="Times New Roman" w:hAnsi="Times New Roman" w:cs="Times New Roman"/>
          <w:i/>
          <w:iCs/>
          <w:sz w:val="16"/>
          <w:szCs w:val="16"/>
        </w:rPr>
        <w:t>MAC, Mycobacterium fortuitum, Mycobacterium kansasii</w:t>
      </w:r>
      <w:r>
        <w:t xml:space="preserve"> y </w:t>
      </w:r>
      <w:r>
        <w:rPr>
          <w:rFonts w:ascii="Times New Roman" w:eastAsia="Times New Roman" w:hAnsi="Times New Roman" w:cs="Times New Roman"/>
          <w:i/>
          <w:iCs/>
          <w:sz w:val="16"/>
          <w:szCs w:val="16"/>
        </w:rPr>
        <w:t>Mycobacterium marinum</w:t>
      </w:r>
      <w:r>
        <w:t xml:space="preserve"> (cuadro 3-44). Algunas nuevas especies detectables por amplificación de ácido nucleico, pero que no pueden proliferar en los métodos regulares de cultivo han sido identificadas en ganglios linfáticos de niños con adenitis cervical. La enfermedad por micobacterias no tuberculosas de</w:t>
      </w:r>
    </w:p>
    <w:p w14:paraId="64516412" w14:textId="77777777" w:rsidR="00D03C17" w:rsidRDefault="00D03C17">
      <w:pPr>
        <w:pStyle w:val="Bodytext70"/>
        <w:spacing w:after="0"/>
      </w:pPr>
      <w:r>
        <w:t>Microsporidios, infecciones</w:t>
      </w:r>
    </w:p>
    <w:p w14:paraId="2178F8F5" w14:textId="77777777" w:rsidR="00D03C17" w:rsidRDefault="00D03C17">
      <w:pPr>
        <w:pStyle w:val="Other0"/>
        <w:spacing w:line="252" w:lineRule="auto"/>
        <w:ind w:firstLine="0"/>
        <w:rPr>
          <w:sz w:val="20"/>
          <w:szCs w:val="20"/>
        </w:rPr>
      </w:pPr>
      <w:r>
        <w:rPr>
          <w:rFonts w:ascii="Arial" w:eastAsia="Arial" w:hAnsi="Arial" w:cs="Arial"/>
          <w:b/>
          <w:bCs/>
          <w:w w:val="70"/>
          <w:sz w:val="20"/>
          <w:szCs w:val="20"/>
        </w:rPr>
        <w:t>(Microsporidiosis)</w:t>
      </w:r>
    </w:p>
    <w:p w14:paraId="38F3907E" w14:textId="77777777" w:rsidR="00D03C17" w:rsidRDefault="00D03C17">
      <w:pPr>
        <w:pStyle w:val="BodyText"/>
        <w:ind w:firstLine="0"/>
      </w:pPr>
      <w:r>
        <w:rPr>
          <w:b/>
          <w:bCs/>
        </w:rPr>
        <w:t>M</w:t>
      </w:r>
      <w:r>
        <w:rPr>
          <w:b/>
          <w:bCs/>
          <w:sz w:val="13"/>
          <w:szCs w:val="13"/>
        </w:rPr>
        <w:t>ANIFESTACIONES CLÍNICAS</w:t>
      </w:r>
      <w:r>
        <w:rPr>
          <w:b/>
          <w:bCs/>
        </w:rPr>
        <w:t xml:space="preserve">: </w:t>
      </w:r>
      <w:r>
        <w:t>Los niños con infección intestinal expulsan diarrea acuosa no sanguinolenta. Es poco común la fiebre. Son más frecuentes infecciones intestinales que originan a menudo diarrea crónica en personas inmunodeficientes, en particular las que han sido infectadas por el virus de inmunodeficiencia humana (VIH). La evolución clínica es complicada por la malnutrición y por la pérdida ponderal progresiva. La infección crónica en personas inmunocompetentes es rara. Otros síndromes clínicos que a veces surgen en pacientes infectados de VIH en personas inmunocompetentes incluyen queratoconjuntivitis, miositis, nefritis, hepatitis, colangitis, peritonitis y enfermedad diseminada, pero son muy poco comunes.</w:t>
      </w:r>
    </w:p>
    <w:p w14:paraId="72FB022B" w14:textId="77777777" w:rsidR="00D03C17" w:rsidRDefault="00D03C17">
      <w:pPr>
        <w:pStyle w:val="BodyText"/>
        <w:spacing w:line="276" w:lineRule="auto"/>
        <w:ind w:firstLine="0"/>
      </w:pPr>
      <w:r>
        <w:rPr>
          <w:b/>
          <w:bCs/>
        </w:rPr>
        <w:t>C</w:t>
      </w:r>
      <w:r>
        <w:rPr>
          <w:b/>
          <w:bCs/>
          <w:sz w:val="13"/>
          <w:szCs w:val="13"/>
        </w:rPr>
        <w:t>AUSAS</w:t>
      </w:r>
      <w:r>
        <w:rPr>
          <w:b/>
          <w:bCs/>
        </w:rPr>
        <w:t xml:space="preserve">: </w:t>
      </w:r>
      <w:r>
        <w:t xml:space="preserve">Los microscoporidios son protozoos esporógenos intracelulares obligados. Se ha dicho que en las infecciones de seres humanos participan </w:t>
      </w:r>
      <w:r>
        <w:rPr>
          <w:rFonts w:ascii="Times New Roman" w:eastAsia="Times New Roman" w:hAnsi="Times New Roman" w:cs="Times New Roman"/>
          <w:i/>
          <w:iCs/>
          <w:sz w:val="16"/>
          <w:szCs w:val="16"/>
        </w:rPr>
        <w:t>Encephalitozoon</w:t>
      </w:r>
      <w:r>
        <w:rPr>
          <w:i/>
          <w:iCs/>
        </w:rPr>
        <w:t xml:space="preserve">, </w:t>
      </w:r>
      <w:r>
        <w:rPr>
          <w:rFonts w:ascii="Times New Roman" w:eastAsia="Times New Roman" w:hAnsi="Times New Roman" w:cs="Times New Roman"/>
          <w:i/>
          <w:iCs/>
          <w:sz w:val="16"/>
          <w:szCs w:val="16"/>
        </w:rPr>
        <w:t>Enterocytozoon</w:t>
      </w:r>
      <w:r>
        <w:rPr>
          <w:i/>
          <w:iCs/>
        </w:rPr>
        <w:t xml:space="preserve">, </w:t>
      </w:r>
      <w:r>
        <w:rPr>
          <w:rFonts w:ascii="Times New Roman" w:eastAsia="Times New Roman" w:hAnsi="Times New Roman" w:cs="Times New Roman"/>
          <w:i/>
          <w:iCs/>
          <w:sz w:val="16"/>
          <w:szCs w:val="16"/>
        </w:rPr>
        <w:t>Nosema, Pleistophora</w:t>
      </w:r>
      <w:r>
        <w:rPr>
          <w:i/>
          <w:iCs/>
        </w:rPr>
        <w:t xml:space="preserve">, </w:t>
      </w:r>
      <w:r>
        <w:rPr>
          <w:rFonts w:ascii="Times New Roman" w:eastAsia="Times New Roman" w:hAnsi="Times New Roman" w:cs="Times New Roman"/>
          <w:i/>
          <w:iCs/>
          <w:sz w:val="16"/>
          <w:szCs w:val="16"/>
        </w:rPr>
        <w:t>Trachipleistophora</w:t>
      </w:r>
      <w:r>
        <w:rPr>
          <w:i/>
          <w:iCs/>
        </w:rPr>
        <w:t xml:space="preserve">, </w:t>
      </w:r>
      <w:r>
        <w:rPr>
          <w:rFonts w:ascii="Times New Roman" w:eastAsia="Times New Roman" w:hAnsi="Times New Roman" w:cs="Times New Roman"/>
          <w:i/>
          <w:iCs/>
          <w:sz w:val="16"/>
          <w:szCs w:val="16"/>
        </w:rPr>
        <w:t>Brachiola</w:t>
      </w:r>
      <w:r>
        <w:t xml:space="preserve"> y </w:t>
      </w:r>
      <w:r>
        <w:rPr>
          <w:rFonts w:ascii="Times New Roman" w:eastAsia="Times New Roman" w:hAnsi="Times New Roman" w:cs="Times New Roman"/>
          <w:i/>
          <w:iCs/>
          <w:sz w:val="16"/>
          <w:szCs w:val="16"/>
        </w:rPr>
        <w:t>Vittaforma</w:t>
      </w:r>
      <w:r>
        <w:rPr>
          <w:i/>
          <w:iCs/>
        </w:rPr>
        <w:t>,</w:t>
      </w:r>
      <w:r>
        <w:t xml:space="preserve"> y también se ha dicho que participan especies no clasificadas de </w:t>
      </w:r>
      <w:r>
        <w:rPr>
          <w:rFonts w:ascii="Times New Roman" w:eastAsia="Times New Roman" w:hAnsi="Times New Roman" w:cs="Times New Roman"/>
          <w:i/>
          <w:iCs/>
          <w:sz w:val="16"/>
          <w:szCs w:val="16"/>
        </w:rPr>
        <w:t>“Microsporidium”</w:t>
      </w:r>
      <w:r>
        <w:rPr>
          <w:i/>
          <w:iCs/>
        </w:rPr>
        <w:t xml:space="preserve">. </w:t>
      </w:r>
      <w:r>
        <w:rPr>
          <w:rFonts w:ascii="Times New Roman" w:eastAsia="Times New Roman" w:hAnsi="Times New Roman" w:cs="Times New Roman"/>
          <w:i/>
          <w:iCs/>
          <w:sz w:val="16"/>
          <w:szCs w:val="16"/>
        </w:rPr>
        <w:t>Enterocytozoon bieneusi</w:t>
      </w:r>
      <w:r>
        <w:t xml:space="preserve"> y </w:t>
      </w:r>
      <w:r>
        <w:rPr>
          <w:rFonts w:ascii="Times New Roman" w:eastAsia="Times New Roman" w:hAnsi="Times New Roman" w:cs="Times New Roman"/>
          <w:i/>
          <w:iCs/>
          <w:sz w:val="16"/>
          <w:szCs w:val="16"/>
        </w:rPr>
        <w:t>Enterocytozoon (Septata)</w:t>
      </w:r>
      <w:r>
        <w:t xml:space="preserve"> intestinalis constituyen causas importantes de diarrea crónica en personas infectadas por virus de inmunodeficiencia humana.</w:t>
      </w:r>
    </w:p>
    <w:p w14:paraId="228F2801" w14:textId="77777777" w:rsidR="00D03C17" w:rsidRDefault="00D03C17">
      <w:pPr>
        <w:pStyle w:val="BodyText"/>
        <w:ind w:firstLine="0"/>
      </w:pPr>
      <w:r>
        <w:rPr>
          <w:b/>
          <w:bCs/>
        </w:rPr>
        <w:t>A</w:t>
      </w:r>
      <w:r>
        <w:rPr>
          <w:b/>
          <w:bCs/>
          <w:sz w:val="13"/>
          <w:szCs w:val="13"/>
        </w:rPr>
        <w:t>SPECTOS EPIDEMIOLÓGICOS</w:t>
      </w:r>
      <w:r>
        <w:rPr>
          <w:b/>
          <w:bCs/>
        </w:rPr>
        <w:t xml:space="preserve">: </w:t>
      </w:r>
      <w:r>
        <w:t>Los datos de algunas investigaciones indican que la transmisión se hace por medio del agua. También hay una propagación directa por la vía fecal-oral. Se han detectado también las esporas en otros líquidos corporales, pero se desconoce su participación en la transmisión.</w:t>
      </w:r>
    </w:p>
    <w:p w14:paraId="68FE75EB" w14:textId="77777777" w:rsidR="00D03C17" w:rsidRDefault="00D03C17">
      <w:pPr>
        <w:pStyle w:val="BodyText"/>
        <w:ind w:firstLine="360"/>
      </w:pPr>
      <w:r>
        <w:t xml:space="preserve">Se desconoce el </w:t>
      </w:r>
      <w:r>
        <w:rPr>
          <w:b/>
          <w:bCs/>
        </w:rPr>
        <w:t>periodo de incubación</w:t>
      </w:r>
      <w:r>
        <w:t>.</w:t>
      </w:r>
    </w:p>
    <w:p w14:paraId="04FEA41F" w14:textId="77777777" w:rsidR="00D03C17" w:rsidRDefault="00D03C17">
      <w:pPr>
        <w:pStyle w:val="BodyText"/>
        <w:ind w:firstLine="0"/>
      </w:pPr>
      <w:r>
        <w:rPr>
          <w:b/>
          <w:bCs/>
        </w:rPr>
        <w:t>M</w:t>
      </w:r>
      <w:r>
        <w:rPr>
          <w:b/>
          <w:bCs/>
          <w:sz w:val="13"/>
          <w:szCs w:val="13"/>
        </w:rPr>
        <w:t>ÉTODOS DIAGNÓSTICOS</w:t>
      </w:r>
      <w:r>
        <w:rPr>
          <w:b/>
          <w:bCs/>
        </w:rPr>
        <w:t xml:space="preserve">: </w:t>
      </w:r>
      <w:r>
        <w:t xml:space="preserve">La infección por especies de microsporidios se corrobora al identificar los microorganismos en muestras de biopsia obtenidas del intestino delgado. Las esporas de la especie también se detectan en muestras de excremento fijadas en formol, o aspiración duodenal, teñidas con un producto cromotrópico (modificación de la tinción tricrómica) y examinadas por un bacteriólogo experto. También se han utilizados tinciones de Gram, para acidorresistentes, de ácido peryódico de Schiff y Giemsa para detectar los microorganismos en cortes de tejido. A menudo no se les identifica porque son pequeños, casi no captan el colorante y desencadenan una respuesta inflamatoria mínima. El empleo de técnicas de concentración de excrementos al parecer no mejora la capacidad de detectar esporas de </w:t>
      </w:r>
      <w:r>
        <w:rPr>
          <w:rFonts w:ascii="Times New Roman" w:eastAsia="Times New Roman" w:hAnsi="Times New Roman" w:cs="Times New Roman"/>
          <w:i/>
          <w:iCs/>
          <w:sz w:val="16"/>
          <w:szCs w:val="16"/>
        </w:rPr>
        <w:t>E. bieneusi</w:t>
      </w:r>
      <w:r>
        <w:t>. También puede utilizarse para el diagnóstico la reacción en cadena de polimerasa. La identificación con fines de clasificación y confirmación diagnóstica de la especie obliga a usar microscopia electrónica o técnicas moleculares. No se cuenta con métodos serológicos fiables para el diagnóstico de microsporidiosis de seres humanos.</w:t>
      </w:r>
    </w:p>
    <w:p w14:paraId="37EAF462" w14:textId="77777777" w:rsidR="00D03C17" w:rsidRDefault="00D03C17">
      <w:pPr>
        <w:pStyle w:val="BodyText"/>
        <w:ind w:firstLine="0"/>
      </w:pPr>
      <w:r>
        <w:rPr>
          <w:b/>
          <w:bCs/>
        </w:rPr>
        <w:t>T</w:t>
      </w:r>
      <w:r>
        <w:rPr>
          <w:b/>
          <w:bCs/>
          <w:sz w:val="13"/>
          <w:szCs w:val="13"/>
        </w:rPr>
        <w:t>RATAMIENTO</w:t>
      </w:r>
      <w:r>
        <w:rPr>
          <w:b/>
          <w:bCs/>
        </w:rPr>
        <w:t xml:space="preserve">: </w:t>
      </w:r>
      <w:r>
        <w:t xml:space="preserve">No existe un tratamiento eficaz. En un número escaso de pacientes se ha dicho que disminuye la diarrea sin erradicar el microorganismo, fármacos como albendazol, metronidazol, atovacuona, nitrazoxanida y fumagilina. El albendazol es el fármaco más indicado contra infecciones causadas por </w:t>
      </w:r>
      <w:r>
        <w:rPr>
          <w:rFonts w:ascii="Times New Roman" w:eastAsia="Times New Roman" w:hAnsi="Times New Roman" w:cs="Times New Roman"/>
          <w:i/>
          <w:iCs/>
          <w:sz w:val="16"/>
          <w:szCs w:val="16"/>
        </w:rPr>
        <w:t>E. intestinalis,</w:t>
      </w:r>
      <w:r>
        <w:t xml:space="preserve"> pero no es eficaz en infecciones por </w:t>
      </w:r>
      <w:r>
        <w:rPr>
          <w:rFonts w:ascii="Times New Roman" w:eastAsia="Times New Roman" w:hAnsi="Times New Roman" w:cs="Times New Roman"/>
          <w:i/>
          <w:iCs/>
          <w:sz w:val="16"/>
          <w:szCs w:val="16"/>
        </w:rPr>
        <w:t>E. bieneusi</w:t>
      </w:r>
      <w:r>
        <w:t xml:space="preserve">, que pueden mejorar con la fumagilina. Al terminar la terapia es frecuente que reaparezca la diarrea. En individuos infectados por VIH, la evolución de la enfermedad se puede modificar provechosamente con la terapia a base de antirretrovíricos muy activos —mejoría concomitante del número de linfocitos T CD4+. </w:t>
      </w:r>
      <w:r>
        <w:rPr>
          <w:b/>
          <w:bCs/>
        </w:rPr>
        <w:t>A</w:t>
      </w:r>
      <w:r>
        <w:rPr>
          <w:b/>
          <w:bCs/>
          <w:sz w:val="13"/>
          <w:szCs w:val="13"/>
        </w:rPr>
        <w:t xml:space="preserve">ISLAMIENTO </w:t>
      </w:r>
      <w:r>
        <w:rPr>
          <w:b/>
          <w:bCs/>
          <w:smallCaps/>
          <w:sz w:val="16"/>
          <w:szCs w:val="16"/>
        </w:rPr>
        <w:t>del</w:t>
      </w:r>
      <w:r>
        <w:rPr>
          <w:b/>
          <w:bCs/>
          <w:sz w:val="13"/>
          <w:szCs w:val="13"/>
        </w:rPr>
        <w:t xml:space="preserve"> PACIENTE HOSPITALIZADO</w:t>
      </w:r>
      <w:r>
        <w:rPr>
          <w:b/>
          <w:bCs/>
        </w:rPr>
        <w:t xml:space="preserve">: </w:t>
      </w:r>
      <w:r>
        <w:t>Además de las precauciones estándar se recomienda seguir las precauciones para evitar la transmisión por contacto en niños con pañales e incontinentes todo el tiempo que dure la enfermedad.</w:t>
      </w:r>
    </w:p>
    <w:p w14:paraId="4BAE1324" w14:textId="77777777" w:rsidR="00D03C17" w:rsidRDefault="00D03C17">
      <w:pPr>
        <w:pStyle w:val="BodyText"/>
        <w:spacing w:after="100"/>
        <w:ind w:firstLine="0"/>
      </w:pPr>
      <w:r>
        <w:rPr>
          <w:b/>
          <w:bCs/>
        </w:rPr>
        <w:t>M</w:t>
      </w:r>
      <w:r>
        <w:rPr>
          <w:b/>
          <w:bCs/>
          <w:sz w:val="13"/>
          <w:szCs w:val="13"/>
        </w:rPr>
        <w:t>EDIDAS PREVENTIVAS</w:t>
      </w:r>
      <w:r>
        <w:rPr>
          <w:b/>
          <w:bCs/>
        </w:rPr>
        <w:t xml:space="preserve">: </w:t>
      </w:r>
      <w:r>
        <w:t>No se ha corroborado la utilidad de ninguna de ellas. En personas infectadas por VIH, puede disminuirse la exposición si se presta atención a la higiene de las manos, se ingiere agua embotellada o hervida y se cuecen perfectamente las carnes.</w:t>
      </w:r>
    </w:p>
    <w:p w14:paraId="7021271D" w14:textId="77777777" w:rsidR="00D03C17" w:rsidRDefault="00D03C17">
      <w:pPr>
        <w:pStyle w:val="Bodytext70"/>
        <w:spacing w:after="0"/>
      </w:pPr>
      <w:r>
        <w:t>Molusco contagioso</w:t>
      </w:r>
    </w:p>
    <w:p w14:paraId="42E677F9" w14:textId="77777777" w:rsidR="00D03C17" w:rsidRDefault="00D03C17">
      <w:pPr>
        <w:pStyle w:val="BodyText"/>
        <w:ind w:firstLine="0"/>
      </w:pPr>
      <w:r>
        <w:rPr>
          <w:b/>
          <w:bCs/>
        </w:rPr>
        <w:t>M</w:t>
      </w:r>
      <w:r>
        <w:rPr>
          <w:b/>
          <w:bCs/>
          <w:sz w:val="13"/>
          <w:szCs w:val="13"/>
        </w:rPr>
        <w:t>ANIFESTACIONES CLÍNICAS</w:t>
      </w:r>
      <w:r>
        <w:rPr>
          <w:b/>
          <w:bCs/>
        </w:rPr>
        <w:t xml:space="preserve">: </w:t>
      </w:r>
      <w:r>
        <w:t>La entidad en cuestión es una infección benigna vírica de la piel, por lo común asintomática y sin manifestaciones sistémicas. Se caracteriza por unas cuantas pápulas (por lo común dos a 20) circunscritas, de 5 mm de diámetro, de color carne a translúcido y con una especie de techo o cúpula, algunas con umbilicación central. Las lesiones por lo común surgen en el tronco, la cara y las extremidades, pero rara vez se generalizan. En 10% de los pacientes, en promedio, las lesiones están rodeadas por una reacción eccematosa. Los niños con eccema y los que tienen inmunodeficiencia, incluidos los que están infectados por el virus de inmunodeficiencia humana, tienden a mostrar erupciones más intensas y generalizadas.</w:t>
      </w:r>
    </w:p>
    <w:p w14:paraId="1E956FCA" w14:textId="77777777" w:rsidR="00D03C17" w:rsidRDefault="00D03C17">
      <w:pPr>
        <w:pStyle w:val="BodyText"/>
        <w:ind w:firstLine="0"/>
      </w:pPr>
      <w:r>
        <w:rPr>
          <w:b/>
          <w:bCs/>
        </w:rPr>
        <w:t>C</w:t>
      </w:r>
      <w:r>
        <w:rPr>
          <w:b/>
          <w:bCs/>
          <w:sz w:val="13"/>
          <w:szCs w:val="13"/>
        </w:rPr>
        <w:t>AUSAS</w:t>
      </w:r>
      <w:r>
        <w:rPr>
          <w:b/>
          <w:bCs/>
        </w:rPr>
        <w:t xml:space="preserve">: </w:t>
      </w:r>
      <w:r>
        <w:t xml:space="preserve">La enfermedad es causada por un poxvirus, que es el único miembro del género </w:t>
      </w:r>
      <w:r>
        <w:rPr>
          <w:rFonts w:ascii="Times New Roman" w:eastAsia="Times New Roman" w:hAnsi="Times New Roman" w:cs="Times New Roman"/>
          <w:i/>
          <w:iCs/>
          <w:sz w:val="16"/>
          <w:szCs w:val="16"/>
        </w:rPr>
        <w:t>Molluscipoxvirus</w:t>
      </w:r>
      <w:r>
        <w:rPr>
          <w:i/>
          <w:iCs/>
        </w:rPr>
        <w:t>.</w:t>
      </w:r>
      <w:r>
        <w:t xml:space="preserve"> Se han diferenciado como mínimo cuatro subtipos de secuencias de DNA por reacción en cadena de polimerasa y restricción enzimática, pero ningún subtipo de DNA es importante en la patogenia.</w:t>
      </w:r>
    </w:p>
    <w:p w14:paraId="65EE542C" w14:textId="77777777" w:rsidR="00D03C17" w:rsidRDefault="00D03C17">
      <w:pPr>
        <w:pStyle w:val="BodyText"/>
        <w:ind w:firstLine="0"/>
      </w:pPr>
      <w:r>
        <w:rPr>
          <w:b/>
          <w:bCs/>
        </w:rPr>
        <w:t>A</w:t>
      </w:r>
      <w:r>
        <w:rPr>
          <w:b/>
          <w:bCs/>
          <w:sz w:val="13"/>
          <w:szCs w:val="13"/>
        </w:rPr>
        <w:t>SPECTOS EPIDEMIOLÓGICOS</w:t>
      </w:r>
      <w:r>
        <w:rPr>
          <w:b/>
          <w:bCs/>
        </w:rPr>
        <w:t xml:space="preserve">: </w:t>
      </w:r>
      <w:r>
        <w:t>Se sabe que los seres humanos son la única fuente del virus, que se propaga por contacto directo, incluido el sexual, o por objetos inanimados como las toallas. Las lesiones también se diseminan a veces por autoinoculación. En términos generales, la efectividad es pequeña pero se han señalado brotes ocasionales, incluso en centros de atención pediátrica. Se desconoce el periodo de transmisibilidad.</w:t>
      </w:r>
    </w:p>
    <w:p w14:paraId="03201A3E" w14:textId="77777777" w:rsidR="00D03C17" w:rsidRDefault="00D03C17">
      <w:pPr>
        <w:pStyle w:val="BodyText"/>
        <w:ind w:firstLine="360"/>
      </w:pPr>
      <w:r>
        <w:t>El periodo de incubación al parecer varía de dos a siete semanas, pero puede llegar a seis meses.</w:t>
      </w:r>
    </w:p>
    <w:p w14:paraId="019B727A" w14:textId="77777777" w:rsidR="00D03C17" w:rsidRDefault="00D03C17">
      <w:pPr>
        <w:pStyle w:val="BodyText"/>
        <w:ind w:firstLine="0"/>
      </w:pPr>
      <w:r>
        <w:rPr>
          <w:b/>
          <w:bCs/>
        </w:rPr>
        <w:t>M</w:t>
      </w:r>
      <w:r>
        <w:rPr>
          <w:b/>
          <w:bCs/>
          <w:sz w:val="13"/>
          <w:szCs w:val="13"/>
        </w:rPr>
        <w:t>ÉTODOS DIAGNÓSTICOS</w:t>
      </w:r>
      <w:r>
        <w:rPr>
          <w:b/>
          <w:bCs/>
        </w:rPr>
        <w:t xml:space="preserve">: </w:t>
      </w:r>
      <w:r>
        <w:t>El diagnóstico por lo común se formula sobre bases clínicas, conforme al aspecto característico de las lesiones. La tinción con método de Wright o Giemsa de las células “exprimidas” del núcleo central de la lesión revela las inclusiones intracitoplásmicas características. Con el estudio de microscopia electrónica de las células en cuestión se identificarán las típicas partículas de poxvirus.</w:t>
      </w:r>
    </w:p>
    <w:p w14:paraId="43835D68" w14:textId="77777777" w:rsidR="00D03C17" w:rsidRDefault="00D03C17">
      <w:pPr>
        <w:pStyle w:val="BodyText"/>
        <w:ind w:firstLine="0"/>
      </w:pPr>
      <w:r>
        <w:rPr>
          <w:b/>
          <w:bCs/>
        </w:rPr>
        <w:t>T</w:t>
      </w:r>
      <w:r>
        <w:rPr>
          <w:b/>
          <w:bCs/>
          <w:sz w:val="13"/>
          <w:szCs w:val="13"/>
        </w:rPr>
        <w:t>RATAMIENTO</w:t>
      </w:r>
      <w:r>
        <w:rPr>
          <w:b/>
          <w:bCs/>
        </w:rPr>
        <w:t xml:space="preserve">: </w:t>
      </w:r>
      <w:r>
        <w:t xml:space="preserve">Las lesiones por lo regular muestran regresión espontánea, pero la resolución se acelera si se elimina en forma mecánica la porción central de cada una de ellas (raspado). No es necesario tratar a niños con una sola lesión o con lesiones muy diseminadas. Puede aplicarse 30 min a 2 h antes de la técnica un anestésico tópico, como la mezcla eutéctica de anestésicos locales </w:t>
      </w:r>
      <w:r>
        <w:rPr>
          <w:i/>
          <w:iCs/>
        </w:rPr>
        <w:t>(</w:t>
      </w:r>
      <w:r>
        <w:rPr>
          <w:rFonts w:ascii="Times New Roman" w:eastAsia="Times New Roman" w:hAnsi="Times New Roman" w:cs="Times New Roman"/>
          <w:i/>
          <w:iCs/>
          <w:sz w:val="16"/>
          <w:szCs w:val="16"/>
        </w:rPr>
        <w:t>eutectic mixture of local anesthetics</w:t>
      </w:r>
      <w:r>
        <w:rPr>
          <w:i/>
          <w:iCs/>
        </w:rPr>
        <w:t xml:space="preserve">, </w:t>
      </w:r>
      <w:r>
        <w:t>EMLA) en crema. Como otra posibilidad, se pueden obtener buenos resultados para eliminar las lesiones con la aplicación de cantaridina (0.7% en colodion); agentes exfoliativos, como los preparados de ácidos salicílico y láctico; electrocauterio o nitrógeno líquido. Las lesiones pueden mostrar regresión espontánea, pero el tratamiento puede impedir la autoinoculación y la propagación a otras personas. Rara vez quedan cicatrices.</w:t>
      </w:r>
    </w:p>
    <w:p w14:paraId="21A33A44" w14:textId="77777777" w:rsidR="00D03C17" w:rsidRDefault="00D03C17">
      <w:pPr>
        <w:pStyle w:val="BodyText"/>
        <w:ind w:firstLine="0"/>
      </w:pPr>
      <w:r>
        <w:rPr>
          <w:b/>
          <w:bCs/>
        </w:rPr>
        <w:t>A</w:t>
      </w:r>
      <w:r>
        <w:rPr>
          <w:b/>
          <w:bCs/>
          <w:sz w:val="13"/>
          <w:szCs w:val="13"/>
        </w:rPr>
        <w:t>ISLAMIENTO DEL PACIENTE HOSPITALIZADO</w:t>
      </w:r>
      <w:r>
        <w:rPr>
          <w:b/>
          <w:bCs/>
        </w:rPr>
        <w:t xml:space="preserve">: </w:t>
      </w:r>
      <w:r>
        <w:t>Se recomienda seguir las precauciones estándar.</w:t>
      </w:r>
    </w:p>
    <w:p w14:paraId="0DFF011F" w14:textId="77777777" w:rsidR="00D03C17" w:rsidRDefault="00D03C17">
      <w:pPr>
        <w:pStyle w:val="BodyText"/>
        <w:ind w:firstLine="0"/>
      </w:pPr>
      <w:r>
        <w:rPr>
          <w:b/>
          <w:bCs/>
        </w:rPr>
        <w:t>M</w:t>
      </w:r>
      <w:r>
        <w:rPr>
          <w:b/>
          <w:bCs/>
          <w:sz w:val="13"/>
          <w:szCs w:val="13"/>
        </w:rPr>
        <w:t>EDIDAS PREVENTIVAS</w:t>
      </w:r>
      <w:r>
        <w:rPr>
          <w:b/>
          <w:bCs/>
        </w:rPr>
        <w:t xml:space="preserve">: </w:t>
      </w:r>
      <w:r>
        <w:t>No se conoce que haya medidas de erradicación en casos aislados. En brotes, situación común en los trópicos, la propagación puede disminuir si se restringe el contacto directo de una persona con otra y no se comparten objetos que puedan estar contaminados.</w:t>
      </w:r>
    </w:p>
    <w:p w14:paraId="0ADAC181" w14:textId="77777777" w:rsidR="00D03C17" w:rsidRDefault="00D03C17">
      <w:pPr>
        <w:pStyle w:val="BodyText"/>
        <w:spacing w:after="100"/>
        <w:ind w:firstLine="0"/>
      </w:pPr>
      <w:r>
        <w:rPr>
          <w:b/>
          <w:bCs/>
        </w:rPr>
        <w:t>M</w:t>
      </w:r>
      <w:r>
        <w:rPr>
          <w:b/>
          <w:bCs/>
          <w:sz w:val="13"/>
          <w:szCs w:val="13"/>
        </w:rPr>
        <w:t>EDIDAS PREVENTIVAS</w:t>
      </w:r>
      <w:r>
        <w:rPr>
          <w:b/>
          <w:bCs/>
        </w:rPr>
        <w:t xml:space="preserve">: </w:t>
      </w:r>
      <w:r>
        <w:t>No se ha corroborado la utilidad de ninguna de ellas. En personas infectadas por VIH, puede disminuirse la exposición si se presta atención a la higiene de las manos, se ingiere agua embotellada o hervida y se cuecen perfectamente las carnes.</w:t>
      </w:r>
    </w:p>
    <w:p w14:paraId="053E3108" w14:textId="77777777" w:rsidR="00D03C17" w:rsidRDefault="00D03C17">
      <w:pPr>
        <w:pStyle w:val="Bodytext70"/>
        <w:spacing w:after="0"/>
      </w:pPr>
      <w:r>
        <w:t>Molusco contagioso</w:t>
      </w:r>
    </w:p>
    <w:p w14:paraId="3DEBB81A" w14:textId="77777777" w:rsidR="00D03C17" w:rsidRDefault="00D03C17">
      <w:pPr>
        <w:pStyle w:val="BodyText"/>
        <w:ind w:firstLine="0"/>
      </w:pPr>
      <w:r>
        <w:rPr>
          <w:b/>
          <w:bCs/>
        </w:rPr>
        <w:t>M</w:t>
      </w:r>
      <w:r>
        <w:rPr>
          <w:b/>
          <w:bCs/>
          <w:sz w:val="13"/>
          <w:szCs w:val="13"/>
        </w:rPr>
        <w:t>ANIFESTACIONES CLÍNICAS</w:t>
      </w:r>
      <w:r>
        <w:rPr>
          <w:b/>
          <w:bCs/>
        </w:rPr>
        <w:t xml:space="preserve">: </w:t>
      </w:r>
      <w:r>
        <w:t>La entidad en cuestión es una infección benigna vírica de la piel, por lo común asintomática y sin manifestaciones sistémicas. Se caracteriza por unas cuantas pápulas (por lo común dos a 20) circunscritas, de 5 mm de diámetro, de color carne a translúcido y con una especie de techo o cúpula, algunas con umbilicación central. Las lesiones por lo común surgen en el tronco, la cara y las extremidades, pero rara vez se generalizan. En 10% de los pacientes, en promedio, las lesiones están rodeadas por una reacción eccematosa. Los niños con eccema y los que tienen inmunodeficiencia, incluidos los que están infectados por el virus de inmunodeficiencia humana, tienden a mostrar erupciones más intensas y generalizadas.</w:t>
      </w:r>
    </w:p>
    <w:p w14:paraId="1702A021" w14:textId="77777777" w:rsidR="00D03C17" w:rsidRDefault="00D03C17">
      <w:pPr>
        <w:pStyle w:val="BodyText"/>
        <w:ind w:firstLine="0"/>
      </w:pPr>
      <w:r>
        <w:rPr>
          <w:b/>
          <w:bCs/>
        </w:rPr>
        <w:t>C</w:t>
      </w:r>
      <w:r>
        <w:rPr>
          <w:b/>
          <w:bCs/>
          <w:sz w:val="13"/>
          <w:szCs w:val="13"/>
        </w:rPr>
        <w:t>AUSAS</w:t>
      </w:r>
      <w:r>
        <w:rPr>
          <w:b/>
          <w:bCs/>
        </w:rPr>
        <w:t xml:space="preserve">: </w:t>
      </w:r>
      <w:r>
        <w:t xml:space="preserve">La enfermedad es causada por un poxvirus, que es el único miembro del género </w:t>
      </w:r>
      <w:r>
        <w:rPr>
          <w:rFonts w:ascii="Times New Roman" w:eastAsia="Times New Roman" w:hAnsi="Times New Roman" w:cs="Times New Roman"/>
          <w:i/>
          <w:iCs/>
          <w:sz w:val="16"/>
          <w:szCs w:val="16"/>
        </w:rPr>
        <w:t>Molluscipoxvirus</w:t>
      </w:r>
      <w:r>
        <w:rPr>
          <w:i/>
          <w:iCs/>
        </w:rPr>
        <w:t>.</w:t>
      </w:r>
      <w:r>
        <w:t xml:space="preserve"> Se han diferenciado como mínimo cuatro subtipos de secuencias de DNA por reacción en cadena de polimerasa y restricción enzimática, pero ningún subtipo de DNA es importante en la patogenia.</w:t>
      </w:r>
    </w:p>
    <w:p w14:paraId="5AC5CDEE" w14:textId="77777777" w:rsidR="00D03C17" w:rsidRDefault="00D03C17">
      <w:pPr>
        <w:pStyle w:val="BodyText"/>
        <w:ind w:firstLine="0"/>
      </w:pPr>
      <w:r>
        <w:rPr>
          <w:b/>
          <w:bCs/>
        </w:rPr>
        <w:t>A</w:t>
      </w:r>
      <w:r>
        <w:rPr>
          <w:b/>
          <w:bCs/>
          <w:sz w:val="13"/>
          <w:szCs w:val="13"/>
        </w:rPr>
        <w:t>SPECTOS EPIDEMIOLÓGICOS</w:t>
      </w:r>
      <w:r>
        <w:rPr>
          <w:b/>
          <w:bCs/>
        </w:rPr>
        <w:t xml:space="preserve">: </w:t>
      </w:r>
      <w:r>
        <w:t>Se sabe que los seres humanos son la única fuente del virus, que se propaga por contacto directo, incluido el sexual, o por objetos inanimados como las toallas. Las lesiones también se diseminan a veces por autoinoculación. En términos generales, la efectividad es pequeña pero se han señalado brotes ocasionales, incluso en centros de atención pediátrica. Se desconoce el periodo de transmisibilidad.</w:t>
      </w:r>
    </w:p>
    <w:p w14:paraId="717A0949" w14:textId="77777777" w:rsidR="00D03C17" w:rsidRDefault="00D03C17">
      <w:pPr>
        <w:pStyle w:val="BodyText"/>
        <w:ind w:firstLine="360"/>
      </w:pPr>
      <w:r>
        <w:t>El periodo de incubación al parecer varía de dos a siete semanas, pero puede llegar a seis meses.</w:t>
      </w:r>
    </w:p>
    <w:p w14:paraId="71C32FF3" w14:textId="77777777" w:rsidR="00D03C17" w:rsidRDefault="00D03C17">
      <w:pPr>
        <w:pStyle w:val="BodyText"/>
        <w:ind w:firstLine="0"/>
      </w:pPr>
      <w:r>
        <w:rPr>
          <w:b/>
          <w:bCs/>
        </w:rPr>
        <w:t>M</w:t>
      </w:r>
      <w:r>
        <w:rPr>
          <w:b/>
          <w:bCs/>
          <w:sz w:val="13"/>
          <w:szCs w:val="13"/>
        </w:rPr>
        <w:t>ÉTODOS DIAGNÓSTICOS</w:t>
      </w:r>
      <w:r>
        <w:rPr>
          <w:b/>
          <w:bCs/>
        </w:rPr>
        <w:t xml:space="preserve">: </w:t>
      </w:r>
      <w:r>
        <w:t>El diagnóstico por lo común se formula sobre bases clínicas, conforme al aspecto característico de las lesiones. La tinción con método de Wright o Giemsa de las células “exprimidas” del núcleo central de la lesión revela las inclusiones intracitoplásmicas características. Con el estudio de microscopia electrónica de las células en cuestión se identificarán las típicas partículas de poxvirus.</w:t>
      </w:r>
    </w:p>
    <w:p w14:paraId="681375FC" w14:textId="77777777" w:rsidR="00D03C17" w:rsidRDefault="00D03C17">
      <w:pPr>
        <w:pStyle w:val="BodyText"/>
        <w:ind w:firstLine="0"/>
      </w:pPr>
      <w:r>
        <w:rPr>
          <w:b/>
          <w:bCs/>
        </w:rPr>
        <w:t>T</w:t>
      </w:r>
      <w:r>
        <w:rPr>
          <w:b/>
          <w:bCs/>
          <w:sz w:val="13"/>
          <w:szCs w:val="13"/>
        </w:rPr>
        <w:t>RATAMIENTO</w:t>
      </w:r>
      <w:r>
        <w:rPr>
          <w:b/>
          <w:bCs/>
        </w:rPr>
        <w:t xml:space="preserve">: </w:t>
      </w:r>
      <w:r>
        <w:t xml:space="preserve">Las lesiones por lo regular muestran regresión espontánea, pero la resolución se acelera si se elimina en forma mecánica la porción central de cada una de ellas (raspado). No es necesario tratar a niños con una sola lesión o con lesiones muy diseminadas. Puede aplicarse 30 min a 2 h antes de la técnica un anestésico tópico, como la mezcla eutéctica de anestésicos locales </w:t>
      </w:r>
      <w:r>
        <w:rPr>
          <w:i/>
          <w:iCs/>
        </w:rPr>
        <w:t>(</w:t>
      </w:r>
      <w:r>
        <w:rPr>
          <w:rFonts w:ascii="Times New Roman" w:eastAsia="Times New Roman" w:hAnsi="Times New Roman" w:cs="Times New Roman"/>
          <w:i/>
          <w:iCs/>
          <w:sz w:val="16"/>
          <w:szCs w:val="16"/>
        </w:rPr>
        <w:t>eutectic mixture of local anesthetics</w:t>
      </w:r>
      <w:r>
        <w:rPr>
          <w:i/>
          <w:iCs/>
        </w:rPr>
        <w:t xml:space="preserve">, </w:t>
      </w:r>
      <w:r>
        <w:t>EMLA) en crema. Como otra posibilidad, se pueden obtener buenos resultados para eliminar las lesiones con la aplicación de cantaridina (0.7% en colodion); agentes exfoliativos, como los preparados de ácidos salicílico y láctico; electrocauterio o nitrógeno líquido. Las lesiones pueden mostrar regresión espontánea, pero el tratamiento puede impedir la autoinoculación y la propagación a otras personas. Rara vez quedan cicatrices.</w:t>
      </w:r>
    </w:p>
    <w:p w14:paraId="4DA2365D" w14:textId="77777777" w:rsidR="00D03C17" w:rsidRDefault="00D03C17">
      <w:pPr>
        <w:pStyle w:val="BodyText"/>
        <w:ind w:firstLine="0"/>
      </w:pPr>
      <w:r>
        <w:rPr>
          <w:b/>
          <w:bCs/>
        </w:rPr>
        <w:t>A</w:t>
      </w:r>
      <w:r>
        <w:rPr>
          <w:b/>
          <w:bCs/>
          <w:sz w:val="13"/>
          <w:szCs w:val="13"/>
        </w:rPr>
        <w:t>ISLAMIENTO DEL PACIENTE HOSPITALIZADO</w:t>
      </w:r>
      <w:r>
        <w:rPr>
          <w:b/>
          <w:bCs/>
        </w:rPr>
        <w:t xml:space="preserve">: </w:t>
      </w:r>
      <w:r>
        <w:t>Se recomienda seguir las precauciones estándar.</w:t>
      </w:r>
    </w:p>
    <w:p w14:paraId="630C6440" w14:textId="77777777" w:rsidR="00D03C17" w:rsidRDefault="00D03C17">
      <w:pPr>
        <w:pStyle w:val="BodyText"/>
        <w:ind w:firstLine="0"/>
        <w:sectPr w:rsidR="00D03C17" w:rsidSect="00D03C17">
          <w:headerReference w:type="even" r:id="rId57"/>
          <w:headerReference w:type="default" r:id="rId58"/>
          <w:footerReference w:type="even" r:id="rId59"/>
          <w:footerReference w:type="default" r:id="rId60"/>
          <w:headerReference w:type="first" r:id="rId61"/>
          <w:footerReference w:type="first" r:id="rId62"/>
          <w:footnotePr>
            <w:numFmt w:val="chicago"/>
          </w:footnotePr>
          <w:pgSz w:w="8501" w:h="13022"/>
          <w:pgMar w:top="701" w:right="812" w:bottom="461" w:left="766" w:header="0" w:footer="3" w:gutter="0"/>
          <w:pgNumType w:start="576"/>
          <w:cols w:space="720"/>
          <w:noEndnote/>
          <w:titlePg/>
          <w:docGrid w:linePitch="360"/>
          <w15:footnoteColumns w:val="1"/>
        </w:sectPr>
      </w:pPr>
      <w:r>
        <w:rPr>
          <w:b/>
          <w:bCs/>
        </w:rPr>
        <w:t>M</w:t>
      </w:r>
      <w:r>
        <w:rPr>
          <w:b/>
          <w:bCs/>
          <w:sz w:val="13"/>
          <w:szCs w:val="13"/>
        </w:rPr>
        <w:t>EDIDAS PREVENTIVAS</w:t>
      </w:r>
      <w:r>
        <w:rPr>
          <w:b/>
          <w:bCs/>
        </w:rPr>
        <w:t xml:space="preserve">: </w:t>
      </w:r>
      <w:r>
        <w:t>No se conoce que haya medidas de erradicación en casos aislados. En brotes, situación común en los trópicos, la propagación puede disminuir si se restringe el contacto directo de una persona con otra y no se comparten objetos que puedan estar contaminados.</w:t>
      </w:r>
    </w:p>
    <w:p w14:paraId="6D6EDC9D" w14:textId="77777777" w:rsidR="00D03C17" w:rsidRDefault="00D03C17">
      <w:pPr>
        <w:pStyle w:val="Bodytext70"/>
        <w:spacing w:after="0"/>
      </w:pPr>
      <w:r>
        <w:rPr>
          <w:i/>
          <w:iCs/>
        </w:rPr>
        <w:t>Moraxella catarrhalis</w:t>
      </w:r>
      <w:r>
        <w:rPr>
          <w:i/>
          <w:iCs/>
          <w:w w:val="100"/>
        </w:rPr>
        <w:t>,</w:t>
      </w:r>
      <w:r>
        <w:t xml:space="preserve"> infecciones</w:t>
      </w:r>
    </w:p>
    <w:p w14:paraId="51126C6B" w14:textId="77777777" w:rsidR="00D03C17" w:rsidRDefault="00D03C17">
      <w:pPr>
        <w:pStyle w:val="BodyText"/>
        <w:ind w:firstLine="0"/>
      </w:pPr>
      <w:r>
        <w:rPr>
          <w:b/>
          <w:bCs/>
          <w:smallCaps/>
          <w:sz w:val="20"/>
          <w:szCs w:val="20"/>
        </w:rPr>
        <w:t>M</w:t>
      </w:r>
      <w:r>
        <w:rPr>
          <w:b/>
          <w:bCs/>
          <w:smallCaps/>
          <w:sz w:val="16"/>
          <w:szCs w:val="16"/>
        </w:rPr>
        <w:t>anifestaciones clínicas</w:t>
      </w:r>
      <w:r>
        <w:rPr>
          <w:b/>
          <w:bCs/>
          <w:smallCaps/>
          <w:sz w:val="20"/>
          <w:szCs w:val="20"/>
        </w:rPr>
        <w:t>:</w:t>
      </w:r>
      <w:r>
        <w:t xml:space="preserve"> Las infecciones comunes por dicho microorganismo incluyen otitis media aguda y sinusitis. A veces surgen infecciones broncopulmonares, a menudo en personas con neumopatías crónicas. No hay consenso en cuanto a la importancia de </w:t>
      </w:r>
      <w:r>
        <w:rPr>
          <w:rFonts w:ascii="Times New Roman" w:eastAsia="Times New Roman" w:hAnsi="Times New Roman" w:cs="Times New Roman"/>
          <w:i/>
          <w:iCs/>
          <w:sz w:val="16"/>
          <w:szCs w:val="16"/>
        </w:rPr>
        <w:t>Moraxella catarrhalis</w:t>
      </w:r>
      <w:r>
        <w:t xml:space="preserve"> de niños con tos persistente. Entre las manifestaciones poco comunes están la bacteriemia (que a veces se acompaña de infecciones focales como celulitis preseptal, osteomielitis, artritis séptica, abscesos y una erupción prácticamente idéntica a la observada en la meningococcemia) y conjuntivitis o meningitis en neonatos. Otras manifestaciones raras incluyen endocarditis, ventriculitis por derivaciones e infecciones de vías urinarias.</w:t>
      </w:r>
    </w:p>
    <w:p w14:paraId="4AD6289A" w14:textId="77777777" w:rsidR="00D03C17" w:rsidRDefault="00D03C17">
      <w:pPr>
        <w:pStyle w:val="BodyText"/>
        <w:ind w:firstLine="0"/>
      </w:pPr>
      <w:r>
        <w:rPr>
          <w:b/>
          <w:bCs/>
        </w:rPr>
        <w:t>C</w:t>
      </w:r>
      <w:r>
        <w:rPr>
          <w:b/>
          <w:bCs/>
          <w:sz w:val="13"/>
          <w:szCs w:val="13"/>
        </w:rPr>
        <w:t>AUSAS</w:t>
      </w:r>
      <w:r>
        <w:rPr>
          <w:b/>
          <w:bCs/>
        </w:rPr>
        <w:t xml:space="preserve">: </w:t>
      </w:r>
      <w:r>
        <w:rPr>
          <w:rFonts w:ascii="Times New Roman" w:eastAsia="Times New Roman" w:hAnsi="Times New Roman" w:cs="Times New Roman"/>
          <w:i/>
          <w:iCs/>
          <w:sz w:val="16"/>
          <w:szCs w:val="16"/>
        </w:rPr>
        <w:t>Moraxella catarrhalis</w:t>
      </w:r>
      <w:r>
        <w:t xml:space="preserve"> es un diplococo aerobio gramnegativo; prácticamente todas las cepas producen lactamasa beta, lo cual media su resistencia a las penicilinas. </w:t>
      </w:r>
      <w:r>
        <w:rPr>
          <w:b/>
          <w:bCs/>
        </w:rPr>
        <w:t>A</w:t>
      </w:r>
      <w:r>
        <w:rPr>
          <w:b/>
          <w:bCs/>
          <w:sz w:val="13"/>
          <w:szCs w:val="13"/>
        </w:rPr>
        <w:t xml:space="preserve">SPECTOS </w:t>
      </w:r>
      <w:r>
        <w:rPr>
          <w:b/>
          <w:bCs/>
          <w:smallCaps/>
          <w:sz w:val="16"/>
          <w:szCs w:val="16"/>
        </w:rPr>
        <w:t>epidemiológicos</w:t>
      </w:r>
      <w:r>
        <w:rPr>
          <w:b/>
          <w:bCs/>
          <w:smallCaps/>
          <w:sz w:val="20"/>
          <w:szCs w:val="20"/>
        </w:rPr>
        <w:t xml:space="preserve">: </w:t>
      </w:r>
      <w:r>
        <w:rPr>
          <w:rFonts w:ascii="Times New Roman" w:eastAsia="Times New Roman" w:hAnsi="Times New Roman" w:cs="Times New Roman"/>
          <w:i/>
          <w:iCs/>
          <w:sz w:val="16"/>
          <w:szCs w:val="16"/>
        </w:rPr>
        <w:t>Moraxella catarrhalis</w:t>
      </w:r>
      <w:r>
        <w:t xml:space="preserve"> es parte de la flora normal de la porción alta de las vías respiratorias de seres humanos. Se supone que se transmite por contacto directo con las secreciones contaminadas de vías respiratorias o gotículas propagadas. La infección es más común en lactantes y niños de corta edad, pero aparece en todas las edades. No se ha estudiado el contagio en el interior de familias, escuelas y centros de atención pediátrica. Se desconoce la duración y el periodo de portador por parte de niños infectados y colonizados, así como el lapso de transmisibilidad.</w:t>
      </w:r>
    </w:p>
    <w:p w14:paraId="14E06CB9" w14:textId="77777777" w:rsidR="00D03C17" w:rsidRDefault="00D03C17">
      <w:pPr>
        <w:pStyle w:val="BodyText"/>
        <w:ind w:firstLine="360"/>
      </w:pPr>
      <w:r>
        <w:t xml:space="preserve">Se desconoce el </w:t>
      </w:r>
      <w:r>
        <w:rPr>
          <w:b/>
          <w:bCs/>
        </w:rPr>
        <w:t>periodo de incubación</w:t>
      </w:r>
      <w:r>
        <w:t>.</w:t>
      </w:r>
    </w:p>
    <w:p w14:paraId="00B7A158" w14:textId="77777777" w:rsidR="00D03C17" w:rsidRDefault="00D03C17">
      <w:pPr>
        <w:pStyle w:val="BodyText"/>
        <w:ind w:firstLine="0"/>
      </w:pPr>
      <w:r>
        <w:rPr>
          <w:b/>
          <w:bCs/>
        </w:rPr>
        <w:t>M</w:t>
      </w:r>
      <w:r>
        <w:rPr>
          <w:b/>
          <w:bCs/>
          <w:sz w:val="13"/>
          <w:szCs w:val="13"/>
        </w:rPr>
        <w:t>ÉTODOS DIAGNÓSTICOS</w:t>
      </w:r>
      <w:r>
        <w:rPr>
          <w:b/>
          <w:bCs/>
        </w:rPr>
        <w:t xml:space="preserve">: </w:t>
      </w:r>
      <w:r>
        <w:t xml:space="preserve">El microorganismo se puede aislar en la sangre y el medio de cultivo de agar chocolatado (con sangre cocida) después de incubación en aire o con una mayor cantidad de dióxido de carbono en el entorno. Conviene el cultivo del material de aspiración del oído medio o de senos paranasales en niños con infección extraordinariamente grave, entre quienes no mejora la infección con el tratamiento y en niños inmunodeficientes. Puede haber la identificación concomitante de </w:t>
      </w:r>
      <w:r>
        <w:rPr>
          <w:rFonts w:ascii="Times New Roman" w:eastAsia="Times New Roman" w:hAnsi="Times New Roman" w:cs="Times New Roman"/>
          <w:i/>
          <w:iCs/>
          <w:sz w:val="16"/>
          <w:szCs w:val="16"/>
        </w:rPr>
        <w:t xml:space="preserve">M. catarrhalis </w:t>
      </w:r>
      <w:r>
        <w:t xml:space="preserve">y otros patógenos </w:t>
      </w:r>
      <w:r>
        <w:rPr>
          <w:i/>
          <w:iCs/>
        </w:rPr>
        <w:t>(</w:t>
      </w:r>
      <w:r>
        <w:rPr>
          <w:rFonts w:ascii="Times New Roman" w:eastAsia="Times New Roman" w:hAnsi="Times New Roman" w:cs="Times New Roman"/>
          <w:i/>
          <w:iCs/>
          <w:sz w:val="16"/>
          <w:szCs w:val="16"/>
        </w:rPr>
        <w:t>Streptoccocuspneumoniae</w:t>
      </w:r>
      <w:r>
        <w:t xml:space="preserve"> o </w:t>
      </w:r>
      <w:r>
        <w:rPr>
          <w:rFonts w:ascii="Times New Roman" w:eastAsia="Times New Roman" w:hAnsi="Times New Roman" w:cs="Times New Roman"/>
          <w:i/>
          <w:iCs/>
          <w:sz w:val="16"/>
          <w:szCs w:val="16"/>
        </w:rPr>
        <w:t>Haemophilus influenzae</w:t>
      </w:r>
      <w:r>
        <w:rPr>
          <w:i/>
          <w:iCs/>
        </w:rPr>
        <w:t>)</w:t>
      </w:r>
      <w:r>
        <w:t xml:space="preserve"> y quizá denote una infección mixta.</w:t>
      </w:r>
    </w:p>
    <w:p w14:paraId="1FB55FEC" w14:textId="77777777" w:rsidR="00D03C17" w:rsidRDefault="00D03C17">
      <w:pPr>
        <w:pStyle w:val="BodyText"/>
        <w:ind w:firstLine="0"/>
      </w:pPr>
      <w:r>
        <w:rPr>
          <w:b/>
          <w:bCs/>
        </w:rPr>
        <w:t>T</w:t>
      </w:r>
      <w:r>
        <w:rPr>
          <w:b/>
          <w:bCs/>
          <w:sz w:val="13"/>
          <w:szCs w:val="13"/>
        </w:rPr>
        <w:t>RATAMIENTO</w:t>
      </w:r>
      <w:r>
        <w:rPr>
          <w:b/>
          <w:bCs/>
        </w:rPr>
        <w:t xml:space="preserve">: </w:t>
      </w:r>
      <w:r>
        <w:t xml:space="preserve">Casi todas las cepas de </w:t>
      </w:r>
      <w:r>
        <w:rPr>
          <w:rFonts w:ascii="Times New Roman" w:eastAsia="Times New Roman" w:hAnsi="Times New Roman" w:cs="Times New Roman"/>
          <w:i/>
          <w:iCs/>
          <w:sz w:val="16"/>
          <w:szCs w:val="16"/>
        </w:rPr>
        <w:t>Moraxella</w:t>
      </w:r>
      <w:r>
        <w:t xml:space="preserve"> producen lactamasa beta y son resistentes a la amoxicilina </w:t>
      </w:r>
      <w:r>
        <w:rPr>
          <w:rFonts w:ascii="Times New Roman" w:eastAsia="Times New Roman" w:hAnsi="Times New Roman" w:cs="Times New Roman"/>
          <w:i/>
          <w:iCs/>
          <w:sz w:val="16"/>
          <w:szCs w:val="16"/>
        </w:rPr>
        <w:t>in vitro</w:t>
      </w:r>
      <w:r>
        <w:t xml:space="preserve">, pero dicho fármaco sigue siendo eficaz, sobre bases empíricas, contra la otitis media y otras infecciones de vías respiratorias. Cuando se aísla </w:t>
      </w:r>
      <w:r>
        <w:rPr>
          <w:rFonts w:ascii="Times New Roman" w:eastAsia="Times New Roman" w:hAnsi="Times New Roman" w:cs="Times New Roman"/>
          <w:i/>
          <w:iCs/>
          <w:sz w:val="16"/>
          <w:szCs w:val="16"/>
        </w:rPr>
        <w:t>M. catarrhalis</w:t>
      </w:r>
      <w:r>
        <w:t xml:space="preserve"> de muestras obtenidas apropiadamente (líquido de oído medio, material aspirado de senos paranasales o secreciones de vías respiratorias bajas) y si ha sido ineficaz la terapia inicial, entre los antimicrobianos apropiados están amoxicilina- clavulanato potásico, cefuroxima, cefprozilo, eritromicina, claritromicina, azitromicina dihidratada y trimetoprim-sulfametoxazol. Si se necesitan antimicrobianos parenterales para combatir la infección por </w:t>
      </w:r>
      <w:r>
        <w:rPr>
          <w:rFonts w:ascii="Times New Roman" w:eastAsia="Times New Roman" w:hAnsi="Times New Roman" w:cs="Times New Roman"/>
          <w:i/>
          <w:iCs/>
          <w:sz w:val="16"/>
          <w:szCs w:val="16"/>
        </w:rPr>
        <w:t>M. catarrhalis,</w:t>
      </w:r>
      <w:r>
        <w:t xml:space="preserve"> los datos in vitro indican que pueden ser eficaces cefuroxima, cefotaxima y ceftriaxona sódicas, ceftazidima y trimetoprim- sulfametoxazol.</w:t>
      </w:r>
    </w:p>
    <w:p w14:paraId="0C2DA7FF" w14:textId="77777777" w:rsidR="00D03C17" w:rsidRDefault="00D03C17">
      <w:pPr>
        <w:pStyle w:val="BodyText"/>
        <w:spacing w:line="262" w:lineRule="auto"/>
        <w:ind w:firstLine="0"/>
      </w:pPr>
      <w:r>
        <w:rPr>
          <w:b/>
          <w:bCs/>
          <w:smallCaps/>
          <w:sz w:val="20"/>
          <w:szCs w:val="20"/>
        </w:rPr>
        <w:t>A</w:t>
      </w:r>
      <w:r>
        <w:rPr>
          <w:b/>
          <w:bCs/>
          <w:smallCaps/>
          <w:sz w:val="16"/>
          <w:szCs w:val="16"/>
        </w:rPr>
        <w:t>islamiento del paciente hospitalizado</w:t>
      </w:r>
      <w:r>
        <w:rPr>
          <w:b/>
          <w:bCs/>
          <w:smallCaps/>
          <w:sz w:val="20"/>
          <w:szCs w:val="20"/>
        </w:rPr>
        <w:t>:</w:t>
      </w:r>
      <w:r>
        <w:t xml:space="preserve"> Se recomienda seguir las precauciones estándar.</w:t>
      </w:r>
    </w:p>
    <w:p w14:paraId="4E9296A6" w14:textId="77777777" w:rsidR="00D03C17" w:rsidRDefault="00D03C17">
      <w:pPr>
        <w:pStyle w:val="Other0"/>
        <w:spacing w:after="100" w:line="257" w:lineRule="auto"/>
        <w:ind w:firstLine="0"/>
      </w:pPr>
      <w:r>
        <w:rPr>
          <w:b/>
          <w:bCs/>
          <w:smallCaps/>
          <w:sz w:val="20"/>
          <w:szCs w:val="20"/>
        </w:rPr>
        <w:t>M</w:t>
      </w:r>
      <w:r>
        <w:rPr>
          <w:b/>
          <w:bCs/>
          <w:smallCaps/>
          <w:sz w:val="16"/>
          <w:szCs w:val="16"/>
        </w:rPr>
        <w:t>edidas preventivas</w:t>
      </w:r>
      <w:r>
        <w:rPr>
          <w:b/>
          <w:bCs/>
          <w:smallCaps/>
          <w:sz w:val="20"/>
          <w:szCs w:val="20"/>
        </w:rPr>
        <w:t>:</w:t>
      </w:r>
      <w:r>
        <w:t xml:space="preserve"> Ninguna.</w:t>
      </w:r>
    </w:p>
    <w:p w14:paraId="68AA388E" w14:textId="77777777" w:rsidR="00D03C17" w:rsidRDefault="00D03C17">
      <w:pPr>
        <w:pStyle w:val="Bodytext70"/>
        <w:spacing w:after="0"/>
      </w:pPr>
      <w:r>
        <w:rPr>
          <w:i/>
          <w:iCs/>
        </w:rPr>
        <w:t>Mycoplasma pneumoniae</w:t>
      </w:r>
      <w:r>
        <w:rPr>
          <w:i/>
          <w:iCs/>
          <w:w w:val="100"/>
        </w:rPr>
        <w:t>,</w:t>
      </w:r>
      <w:r>
        <w:t xml:space="preserve"> infecciones</w:t>
      </w:r>
    </w:p>
    <w:p w14:paraId="65488470" w14:textId="77777777" w:rsidR="00D03C17" w:rsidRDefault="00D03C17">
      <w:pPr>
        <w:pStyle w:val="BodyText"/>
        <w:spacing w:line="264" w:lineRule="auto"/>
        <w:ind w:firstLine="0"/>
        <w:sectPr w:rsidR="00D03C17" w:rsidSect="00D03C17">
          <w:headerReference w:type="even" r:id="rId63"/>
          <w:headerReference w:type="default" r:id="rId64"/>
          <w:footerReference w:type="even" r:id="rId65"/>
          <w:footerReference w:type="default" r:id="rId66"/>
          <w:footnotePr>
            <w:numFmt w:val="chicago"/>
          </w:footnotePr>
          <w:type w:val="continuous"/>
          <w:pgSz w:w="8501" w:h="13022"/>
          <w:pgMar w:top="701" w:right="812" w:bottom="461" w:left="766" w:header="0" w:footer="33" w:gutter="0"/>
          <w:cols w:space="720"/>
          <w:noEndnote/>
          <w:docGrid w:linePitch="360"/>
          <w15:footnoteColumns w:val="1"/>
        </w:sectPr>
      </w:pPr>
      <w:r>
        <w:rPr>
          <w:b/>
          <w:bCs/>
          <w:smallCaps/>
          <w:sz w:val="20"/>
          <w:szCs w:val="20"/>
        </w:rPr>
        <w:t>M</w:t>
      </w:r>
      <w:r>
        <w:rPr>
          <w:b/>
          <w:bCs/>
          <w:smallCaps/>
          <w:sz w:val="16"/>
          <w:szCs w:val="16"/>
        </w:rPr>
        <w:t>anifestaciones clínicas</w:t>
      </w:r>
      <w:r>
        <w:rPr>
          <w:b/>
          <w:bCs/>
          <w:smallCaps/>
          <w:sz w:val="20"/>
          <w:szCs w:val="20"/>
        </w:rPr>
        <w:t>:</w:t>
      </w:r>
      <w:r>
        <w:t xml:space="preserve"> Los síndromes más comunes son bronquitis aguda e infecciones de vías respiratorias altas, que incluyen faringitis y a veces otitis media o miringitis que puede ser bulosa. Rara vez surgen coriza, sinusitis y</w:t>
      </w:r>
    </w:p>
    <w:p w14:paraId="2A0DA943" w14:textId="77777777" w:rsidR="00D03C17" w:rsidRDefault="00D03C17">
      <w:pPr>
        <w:pStyle w:val="Bodytext70"/>
        <w:spacing w:after="0"/>
      </w:pPr>
      <w:r>
        <w:t>Parasitosis</w:t>
      </w:r>
    </w:p>
    <w:p w14:paraId="69232A62" w14:textId="77777777" w:rsidR="00D03C17" w:rsidRDefault="00D03C17">
      <w:pPr>
        <w:pStyle w:val="BodyText"/>
        <w:ind w:firstLine="0"/>
      </w:pPr>
      <w:r>
        <w:t>Es costumbre en Estados Unidos, Canadá y Europa, considerar que muchas enfermedades por parásitos corresponden a otros países y, por lo tanto, no se incluyen en los diagnósticos diferenciales. Sin embargo, varios de los microorganismos en cuestión son endémicos en países industrializados, y en forma global, los parásitos constituyen una de las causas más frecuentes de complicaciones y muerte en diversos sitios geográficos a nivel mundial. Fuera de los trópicos y los subtrópicos, las enfermedades parasitarias son las más comunes entre turistas que vuelven a su país de origen, en migrantes que vienen de zonas altamente endémicas y en personas inmunodeficientes. Es necesario que los médicos y el personal de laboratorio clínico sepan en dónde pueden adquirirse tales infecciones, cuál es su cuadro clínico inicial y los métodos de diagnóstico, y deberán orientar a los viajeros sobre la forma de evitarlas. En el cuadro 3-52 se incluyen detalles de algunas parasitosis de aparición poco frecuente.</w:t>
      </w:r>
    </w:p>
    <w:p w14:paraId="051DD08A" w14:textId="77777777" w:rsidR="00D03C17" w:rsidRDefault="00D03C17">
      <w:pPr>
        <w:pStyle w:val="BodyText"/>
        <w:spacing w:line="276" w:lineRule="auto"/>
        <w:ind w:firstLine="360"/>
      </w:pPr>
      <w:r>
        <w:t xml:space="preserve">En Estados Unidos las organizaciones gubernamentales brindan consulta y asistencia en el diagnóstico y tratamiento de las enfermedades de este tipo (p. ej., </w:t>
      </w:r>
      <w:r>
        <w:rPr>
          <w:rFonts w:ascii="Times New Roman" w:eastAsia="Times New Roman" w:hAnsi="Times New Roman" w:cs="Times New Roman"/>
          <w:i/>
          <w:iCs/>
          <w:sz w:val="16"/>
          <w:szCs w:val="16"/>
        </w:rPr>
        <w:t>Centers for Disease Control and Prevention [CDC]</w:t>
      </w:r>
      <w:r>
        <w:t xml:space="preserve"> y departamentos de salud estatal), así como los departamentos universitarios o divisiones de medicina geográfica o tropical, infectología pediátrica, salud internacional y salud pública.</w:t>
      </w:r>
    </w:p>
    <w:p w14:paraId="63D5F6ED" w14:textId="77777777" w:rsidR="00D03C17" w:rsidRDefault="00D03C17">
      <w:pPr>
        <w:pStyle w:val="BodyText"/>
        <w:ind w:firstLine="360"/>
      </w:pPr>
      <w:r>
        <w:t xml:space="preserve">En Estados Unidos, los CDC distribuyen algunos fármacos que no se expenden en el comercio, para tratar parasitosis. Estos medicamentos se incluyen en las notas al pie del cuadro 4-14, “Fármacos antiparasitarios” (sección 4). Al solicitar dichos medicamentos el médico entrará en contacto con el CDC </w:t>
      </w:r>
      <w:r>
        <w:rPr>
          <w:rFonts w:ascii="Times New Roman" w:eastAsia="Times New Roman" w:hAnsi="Times New Roman" w:cs="Times New Roman"/>
          <w:i/>
          <w:iCs/>
          <w:sz w:val="16"/>
          <w:szCs w:val="16"/>
        </w:rPr>
        <w:t>Drug Service</w:t>
      </w:r>
      <w:r>
        <w:t xml:space="preserve"> (véase apéndice 1, “Directorio de recursos”) y aportará los datos siguientes: 1) nombre, dirección y número telefónico del médico; 2) el tipo de infección que tratará y el método por el cual se diagnosticó la infección; 3) nombre, edad, peso, sexo del paciente y, si es del sexo femenino, si está embarazada, y 4) datos básicos demográficos, clínicos y epidemiológicos. A veces es necesario consultar con un funcionario médico de los CDC antes de entregar los fármacos.</w:t>
      </w:r>
    </w:p>
    <w:p w14:paraId="226ED62A" w14:textId="77777777" w:rsidR="00D03C17" w:rsidRDefault="00D03C17">
      <w:pPr>
        <w:pStyle w:val="BodyText"/>
        <w:spacing w:after="100" w:line="276" w:lineRule="auto"/>
        <w:ind w:firstLine="360"/>
      </w:pPr>
      <w:r>
        <w:t xml:space="preserve">En resúmenes individuales de la sección 3 se exponen las infecciones parasitarias importantes de los seres humanos, dispuestas en orden alfabético, y los comentarios incluyen recomendaciones de farmacoterapia. Los cuadros 4-13 y 4-14, reproducidos de </w:t>
      </w:r>
      <w:r>
        <w:rPr>
          <w:rFonts w:ascii="Times New Roman" w:eastAsia="Times New Roman" w:hAnsi="Times New Roman" w:cs="Times New Roman"/>
          <w:i/>
          <w:iCs/>
          <w:sz w:val="16"/>
          <w:szCs w:val="16"/>
        </w:rPr>
        <w:t>The Medical Letter</w:t>
      </w:r>
      <w:r>
        <w:t xml:space="preserve"> (véase “Fármacos antiparasitarios”, sección 4) señalan recomendaciones posológicas y otra información importante en lo que toca a antiparasitarios específicos. Si bien las recomendaciones para la administración de estos fármacos que se ofrecen en los resúmenes de cada enfermedad son similares, quizá no sean idénticas en todos los casos, ante la diferencia de opiniones de los expertos. Habrá que consultar ambas fuentes de información.</w:t>
      </w:r>
    </w:p>
    <w:p w14:paraId="111ACA99" w14:textId="77777777" w:rsidR="00D03C17" w:rsidRDefault="00D03C17">
      <w:pPr>
        <w:pStyle w:val="Bodytext70"/>
        <w:spacing w:after="0"/>
      </w:pPr>
      <w:r>
        <w:t>Parotiditis</w:t>
      </w:r>
    </w:p>
    <w:p w14:paraId="4BDB120B" w14:textId="77777777" w:rsidR="00D03C17" w:rsidRDefault="00D03C17">
      <w:pPr>
        <w:pStyle w:val="BodyText"/>
        <w:ind w:firstLine="0"/>
        <w:sectPr w:rsidR="00D03C17" w:rsidSect="00D03C17">
          <w:headerReference w:type="even" r:id="rId67"/>
          <w:headerReference w:type="default" r:id="rId68"/>
          <w:footerReference w:type="even" r:id="rId69"/>
          <w:footerReference w:type="default" r:id="rId70"/>
          <w:footnotePr>
            <w:numFmt w:val="chicago"/>
          </w:footnotePr>
          <w:pgSz w:w="8501" w:h="13022"/>
          <w:pgMar w:top="701" w:right="812" w:bottom="461" w:left="766" w:header="0" w:footer="33" w:gutter="0"/>
          <w:pgNumType w:start="528"/>
          <w:cols w:space="720"/>
          <w:noEndnote/>
          <w:docGrid w:linePitch="360"/>
          <w15:footnoteColumns w:val="1"/>
        </w:sectPr>
      </w:pPr>
      <w:r>
        <w:rPr>
          <w:b/>
          <w:bCs/>
        </w:rPr>
        <w:t>M</w:t>
      </w:r>
      <w:r>
        <w:rPr>
          <w:b/>
          <w:bCs/>
          <w:sz w:val="13"/>
          <w:szCs w:val="13"/>
        </w:rPr>
        <w:t>ANIFESTACIONES CLÍNICAS</w:t>
      </w:r>
      <w:r>
        <w:rPr>
          <w:b/>
          <w:bCs/>
        </w:rPr>
        <w:t xml:space="preserve">: </w:t>
      </w:r>
      <w:r>
        <w:t>La parotiditis es una enfermedad sistémica que se caracteriza por la hinchazón de una o más de las glándulas salivales, por lo común las parótidas. En promedio, 33% de los casos no originan una hinchazón clínicamente manifiesta de las glándulas mencionadas. Más de la mitad de las personas con parotiditis tiene pleocitosis de líquido cefalorraquídeo, pero menos de 10% tienen signos de infección del sistema nervioso central. La orquitis es una complicación frecuente después de la pubertad, aunque rara vez el joven termina siendo estéril. Otras</w:t>
      </w:r>
    </w:p>
    <w:p w14:paraId="2E500E42" w14:textId="77777777" w:rsidR="00D03C17" w:rsidRDefault="00D03C17">
      <w:pPr>
        <w:pStyle w:val="Heading31"/>
        <w:keepNext/>
        <w:keepLines/>
        <w:framePr w:w="3408" w:h="317" w:wrap="none" w:hAnchor="page" w:x="4647" w:y="1"/>
        <w:jc w:val="center"/>
      </w:pPr>
      <w:bookmarkStart w:id="49" w:name="bookmark1075"/>
      <w:bookmarkStart w:id="50" w:name="bookmark1076"/>
      <w:bookmarkStart w:id="51" w:name="bookmark1077"/>
      <w:r>
        <w:rPr>
          <w:b w:val="0"/>
          <w:bCs w:val="0"/>
        </w:rPr>
        <w:t xml:space="preserve">Cuadro 3-52. </w:t>
      </w:r>
      <w:r>
        <w:t>Parasitosis adicionales</w:t>
      </w:r>
      <w:r>
        <w:rPr>
          <w:vertAlign w:val="superscript"/>
        </w:rPr>
        <w:t>1</w:t>
      </w:r>
      <w:bookmarkEnd w:id="49"/>
      <w:bookmarkEnd w:id="50"/>
      <w:bookmarkEnd w:id="51"/>
    </w:p>
    <w:tbl>
      <w:tblPr>
        <w:tblOverlap w:val="never"/>
        <w:tblW w:w="0" w:type="auto"/>
        <w:tblLayout w:type="fixed"/>
        <w:tblCellMar>
          <w:left w:w="10" w:type="dxa"/>
          <w:right w:w="10" w:type="dxa"/>
        </w:tblCellMar>
        <w:tblLook w:val="04A0" w:firstRow="1" w:lastRow="0" w:firstColumn="1" w:lastColumn="0" w:noHBand="0" w:noVBand="1"/>
      </w:tblPr>
      <w:tblGrid>
        <w:gridCol w:w="1195"/>
        <w:gridCol w:w="2347"/>
        <w:gridCol w:w="1248"/>
        <w:gridCol w:w="1210"/>
        <w:gridCol w:w="1205"/>
        <w:gridCol w:w="1258"/>
        <w:gridCol w:w="1253"/>
        <w:gridCol w:w="1570"/>
      </w:tblGrid>
      <w:tr w:rsidR="00D03C17" w14:paraId="2EB2F8F9" w14:textId="77777777">
        <w:tblPrEx>
          <w:tblCellMar>
            <w:top w:w="0" w:type="dxa"/>
            <w:bottom w:w="0" w:type="dxa"/>
          </w:tblCellMar>
        </w:tblPrEx>
        <w:trPr>
          <w:trHeight w:hRule="exact" w:val="1368"/>
        </w:trPr>
        <w:tc>
          <w:tcPr>
            <w:tcW w:w="1195" w:type="dxa"/>
            <w:shd w:val="clear" w:color="auto" w:fill="231F20"/>
          </w:tcPr>
          <w:p w14:paraId="503FC0C8" w14:textId="77777777" w:rsidR="00D03C17" w:rsidRDefault="00D03C17">
            <w:pPr>
              <w:pStyle w:val="Other0"/>
              <w:framePr w:w="11285" w:h="3571" w:wrap="none" w:hAnchor="page" w:x="635" w:y="404"/>
              <w:pBdr>
                <w:top w:val="single" w:sz="0" w:space="0" w:color="231F20"/>
                <w:left w:val="single" w:sz="0" w:space="0" w:color="231F20"/>
                <w:bottom w:val="single" w:sz="0" w:space="0" w:color="231F20"/>
                <w:right w:val="single" w:sz="0" w:space="0" w:color="231F20"/>
              </w:pBdr>
              <w:shd w:val="clear" w:color="auto" w:fill="231F20"/>
              <w:spacing w:line="209" w:lineRule="auto"/>
              <w:ind w:firstLine="0"/>
              <w:rPr>
                <w:sz w:val="24"/>
                <w:szCs w:val="24"/>
              </w:rPr>
            </w:pPr>
            <w:r>
              <w:rPr>
                <w:rFonts w:ascii="Arial" w:eastAsia="Arial" w:hAnsi="Arial" w:cs="Arial"/>
                <w:b/>
                <w:bCs/>
                <w:color w:val="FFFFFF"/>
                <w:w w:val="70"/>
                <w:sz w:val="24"/>
                <w:szCs w:val="24"/>
              </w:rPr>
              <w:t>Enfermedad, agente o ambos</w:t>
            </w:r>
          </w:p>
        </w:tc>
        <w:tc>
          <w:tcPr>
            <w:tcW w:w="2347" w:type="dxa"/>
            <w:shd w:val="clear" w:color="auto" w:fill="231F20"/>
          </w:tcPr>
          <w:p w14:paraId="38D3AB72" w14:textId="77777777" w:rsidR="00D03C17" w:rsidRDefault="00D03C17">
            <w:pPr>
              <w:pStyle w:val="Other0"/>
              <w:framePr w:w="11285" w:h="3571" w:wrap="none" w:hAnchor="page" w:x="635" w:y="404"/>
              <w:pBdr>
                <w:top w:val="single" w:sz="0" w:space="0" w:color="231F20"/>
                <w:left w:val="single" w:sz="0" w:space="0" w:color="231F20"/>
                <w:bottom w:val="single" w:sz="0" w:space="0" w:color="231F20"/>
                <w:right w:val="single" w:sz="0" w:space="0" w:color="231F20"/>
              </w:pBdr>
              <w:shd w:val="clear" w:color="auto" w:fill="231F20"/>
              <w:tabs>
                <w:tab w:val="left" w:pos="1190"/>
              </w:tabs>
              <w:spacing w:line="206" w:lineRule="auto"/>
              <w:ind w:firstLine="0"/>
              <w:rPr>
                <w:sz w:val="24"/>
                <w:szCs w:val="24"/>
              </w:rPr>
            </w:pPr>
            <w:r>
              <w:rPr>
                <w:rFonts w:ascii="Arial" w:eastAsia="Arial" w:hAnsi="Arial" w:cs="Arial"/>
                <w:b/>
                <w:bCs/>
                <w:color w:val="FFFFFF"/>
                <w:w w:val="70"/>
                <w:sz w:val="24"/>
                <w:szCs w:val="24"/>
              </w:rPr>
              <w:t>Sitio en</w:t>
            </w:r>
            <w:r>
              <w:rPr>
                <w:rFonts w:ascii="Arial" w:eastAsia="Arial" w:hAnsi="Arial" w:cs="Arial"/>
                <w:b/>
                <w:bCs/>
                <w:color w:val="FFFFFF"/>
                <w:w w:val="70"/>
                <w:sz w:val="24"/>
                <w:szCs w:val="24"/>
              </w:rPr>
              <w:tab/>
              <w:t>Hospedador</w:t>
            </w:r>
          </w:p>
          <w:p w14:paraId="2B6518BF" w14:textId="77777777" w:rsidR="00D03C17" w:rsidRDefault="00D03C17">
            <w:pPr>
              <w:pStyle w:val="Other0"/>
              <w:framePr w:w="11285" w:h="3571" w:wrap="none" w:hAnchor="page" w:x="635" w:y="404"/>
              <w:pBdr>
                <w:top w:val="single" w:sz="0" w:space="0" w:color="231F20"/>
                <w:left w:val="single" w:sz="0" w:space="0" w:color="231F20"/>
                <w:bottom w:val="single" w:sz="0" w:space="0" w:color="231F20"/>
                <w:right w:val="single" w:sz="0" w:space="0" w:color="231F20"/>
              </w:pBdr>
              <w:shd w:val="clear" w:color="auto" w:fill="231F20"/>
              <w:spacing w:line="206" w:lineRule="auto"/>
              <w:ind w:firstLine="0"/>
              <w:rPr>
                <w:sz w:val="24"/>
                <w:szCs w:val="24"/>
              </w:rPr>
            </w:pPr>
            <w:r>
              <w:rPr>
                <w:rFonts w:ascii="Arial" w:eastAsia="Arial" w:hAnsi="Arial" w:cs="Arial"/>
                <w:b/>
                <w:bCs/>
                <w:color w:val="FFFFFF"/>
                <w:w w:val="70"/>
                <w:sz w:val="24"/>
                <w:szCs w:val="24"/>
              </w:rPr>
              <w:t>que se puede definitivo adquirir la infección</w:t>
            </w:r>
          </w:p>
        </w:tc>
        <w:tc>
          <w:tcPr>
            <w:tcW w:w="1248" w:type="dxa"/>
            <w:shd w:val="clear" w:color="auto" w:fill="231F20"/>
          </w:tcPr>
          <w:p w14:paraId="6073132E" w14:textId="77777777" w:rsidR="00D03C17" w:rsidRDefault="00D03C17">
            <w:pPr>
              <w:pStyle w:val="Other0"/>
              <w:framePr w:w="11285" w:h="3571" w:wrap="none" w:hAnchor="page" w:x="635" w:y="404"/>
              <w:pBdr>
                <w:top w:val="single" w:sz="0" w:space="0" w:color="231F20"/>
                <w:left w:val="single" w:sz="0" w:space="0" w:color="231F20"/>
                <w:bottom w:val="single" w:sz="0" w:space="0" w:color="231F20"/>
                <w:right w:val="single" w:sz="0" w:space="0" w:color="231F20"/>
              </w:pBdr>
              <w:shd w:val="clear" w:color="auto" w:fill="231F20"/>
              <w:spacing w:line="209" w:lineRule="auto"/>
              <w:ind w:firstLine="0"/>
              <w:rPr>
                <w:sz w:val="24"/>
                <w:szCs w:val="24"/>
              </w:rPr>
            </w:pPr>
            <w:r>
              <w:rPr>
                <w:rFonts w:ascii="Arial" w:eastAsia="Arial" w:hAnsi="Arial" w:cs="Arial"/>
                <w:b/>
                <w:bCs/>
                <w:color w:val="FFFFFF"/>
                <w:w w:val="70"/>
                <w:sz w:val="24"/>
                <w:szCs w:val="24"/>
              </w:rPr>
              <w:t>Hospedador intermediario</w:t>
            </w:r>
          </w:p>
        </w:tc>
        <w:tc>
          <w:tcPr>
            <w:tcW w:w="1210" w:type="dxa"/>
            <w:shd w:val="clear" w:color="auto" w:fill="231F20"/>
          </w:tcPr>
          <w:p w14:paraId="39B3A39A" w14:textId="77777777" w:rsidR="00D03C17" w:rsidRDefault="00D03C17">
            <w:pPr>
              <w:pStyle w:val="Other0"/>
              <w:framePr w:w="11285" w:h="3571" w:wrap="none" w:hAnchor="page" w:x="635" w:y="404"/>
              <w:pBdr>
                <w:top w:val="single" w:sz="0" w:space="0" w:color="231F20"/>
                <w:left w:val="single" w:sz="0" w:space="0" w:color="231F20"/>
                <w:bottom w:val="single" w:sz="0" w:space="0" w:color="231F20"/>
                <w:right w:val="single" w:sz="0" w:space="0" w:color="231F20"/>
              </w:pBdr>
              <w:shd w:val="clear" w:color="auto" w:fill="231F20"/>
              <w:spacing w:line="209" w:lineRule="auto"/>
              <w:ind w:firstLine="0"/>
              <w:rPr>
                <w:sz w:val="24"/>
                <w:szCs w:val="24"/>
              </w:rPr>
            </w:pPr>
            <w:r>
              <w:rPr>
                <w:rFonts w:ascii="Arial" w:eastAsia="Arial" w:hAnsi="Arial" w:cs="Arial"/>
                <w:b/>
                <w:bCs/>
                <w:color w:val="FFFFFF"/>
                <w:w w:val="70"/>
                <w:sz w:val="24"/>
                <w:szCs w:val="24"/>
              </w:rPr>
              <w:t>Mecanismos de infección de seres humanos</w:t>
            </w:r>
          </w:p>
        </w:tc>
        <w:tc>
          <w:tcPr>
            <w:tcW w:w="1205" w:type="dxa"/>
            <w:shd w:val="clear" w:color="auto" w:fill="231F20"/>
          </w:tcPr>
          <w:p w14:paraId="3B982742" w14:textId="77777777" w:rsidR="00D03C17" w:rsidRDefault="00D03C17">
            <w:pPr>
              <w:pStyle w:val="Other0"/>
              <w:framePr w:w="11285" w:h="3571" w:wrap="none" w:hAnchor="page" w:x="635" w:y="404"/>
              <w:pBdr>
                <w:top w:val="single" w:sz="0" w:space="0" w:color="231F20"/>
                <w:left w:val="single" w:sz="0" w:space="0" w:color="231F20"/>
                <w:bottom w:val="single" w:sz="0" w:space="0" w:color="231F20"/>
                <w:right w:val="single" w:sz="0" w:space="0" w:color="231F20"/>
              </w:pBdr>
              <w:shd w:val="clear" w:color="auto" w:fill="231F20"/>
              <w:spacing w:line="209" w:lineRule="auto"/>
              <w:ind w:firstLine="0"/>
              <w:rPr>
                <w:sz w:val="24"/>
                <w:szCs w:val="24"/>
              </w:rPr>
            </w:pPr>
            <w:r>
              <w:rPr>
                <w:rFonts w:ascii="Arial" w:eastAsia="Arial" w:hAnsi="Arial" w:cs="Arial"/>
                <w:b/>
                <w:bCs/>
                <w:color w:val="FFFFFF"/>
                <w:w w:val="70"/>
                <w:sz w:val="24"/>
                <w:szCs w:val="24"/>
              </w:rPr>
              <w:t>Transmisión directa (persona a persona)</w:t>
            </w:r>
          </w:p>
        </w:tc>
        <w:tc>
          <w:tcPr>
            <w:tcW w:w="1258" w:type="dxa"/>
            <w:shd w:val="clear" w:color="auto" w:fill="231F20"/>
          </w:tcPr>
          <w:p w14:paraId="5726E06C" w14:textId="77777777" w:rsidR="00D03C17" w:rsidRDefault="00D03C17">
            <w:pPr>
              <w:pStyle w:val="Other0"/>
              <w:framePr w:w="11285" w:h="3571" w:wrap="none" w:hAnchor="page" w:x="635" w:y="404"/>
              <w:pBdr>
                <w:top w:val="single" w:sz="0" w:space="0" w:color="231F20"/>
                <w:left w:val="single" w:sz="0" w:space="0" w:color="231F20"/>
                <w:bottom w:val="single" w:sz="0" w:space="0" w:color="231F20"/>
                <w:right w:val="single" w:sz="0" w:space="0" w:color="231F20"/>
              </w:pBdr>
              <w:shd w:val="clear" w:color="auto" w:fill="231F20"/>
              <w:spacing w:line="209" w:lineRule="auto"/>
              <w:ind w:firstLine="0"/>
              <w:rPr>
                <w:sz w:val="24"/>
                <w:szCs w:val="24"/>
              </w:rPr>
            </w:pPr>
            <w:r>
              <w:rPr>
                <w:rFonts w:ascii="Arial" w:eastAsia="Arial" w:hAnsi="Arial" w:cs="Arial"/>
                <w:b/>
                <w:bCs/>
                <w:color w:val="FFFFFF"/>
                <w:w w:val="70"/>
                <w:sz w:val="24"/>
                <w:szCs w:val="24"/>
              </w:rPr>
              <w:t>Métodos de laboratorio diagnóstico en seres humanos</w:t>
            </w:r>
          </w:p>
        </w:tc>
        <w:tc>
          <w:tcPr>
            <w:tcW w:w="1253" w:type="dxa"/>
            <w:shd w:val="clear" w:color="auto" w:fill="231F20"/>
          </w:tcPr>
          <w:p w14:paraId="097C7A16" w14:textId="77777777" w:rsidR="00D03C17" w:rsidRDefault="00D03C17">
            <w:pPr>
              <w:pStyle w:val="Other0"/>
              <w:framePr w:w="11285" w:h="3571" w:wrap="none" w:hAnchor="page" w:x="635" w:y="404"/>
              <w:pBdr>
                <w:top w:val="single" w:sz="0" w:space="0" w:color="231F20"/>
                <w:left w:val="single" w:sz="0" w:space="0" w:color="231F20"/>
                <w:bottom w:val="single" w:sz="0" w:space="0" w:color="231F20"/>
                <w:right w:val="single" w:sz="0" w:space="0" w:color="231F20"/>
              </w:pBdr>
              <w:shd w:val="clear" w:color="auto" w:fill="231F20"/>
              <w:spacing w:line="214" w:lineRule="auto"/>
              <w:ind w:firstLine="0"/>
              <w:rPr>
                <w:sz w:val="24"/>
                <w:szCs w:val="24"/>
              </w:rPr>
            </w:pPr>
            <w:r>
              <w:rPr>
                <w:rFonts w:ascii="Arial" w:eastAsia="Arial" w:hAnsi="Arial" w:cs="Arial"/>
                <w:b/>
                <w:bCs/>
                <w:color w:val="FFFFFF"/>
                <w:w w:val="70"/>
                <w:sz w:val="24"/>
                <w:szCs w:val="24"/>
              </w:rPr>
              <w:t>Forma causal del parásito</w:t>
            </w:r>
          </w:p>
        </w:tc>
        <w:tc>
          <w:tcPr>
            <w:tcW w:w="1570" w:type="dxa"/>
            <w:shd w:val="clear" w:color="auto" w:fill="231F20"/>
          </w:tcPr>
          <w:p w14:paraId="07645239" w14:textId="77777777" w:rsidR="00D03C17" w:rsidRDefault="00D03C17">
            <w:pPr>
              <w:pStyle w:val="Other0"/>
              <w:framePr w:w="11285" w:h="3571" w:wrap="none" w:hAnchor="page" w:x="635" w:y="404"/>
              <w:pBdr>
                <w:top w:val="single" w:sz="0" w:space="0" w:color="231F20"/>
                <w:left w:val="single" w:sz="0" w:space="0" w:color="231F20"/>
                <w:bottom w:val="single" w:sz="0" w:space="0" w:color="231F20"/>
                <w:right w:val="single" w:sz="0" w:space="0" w:color="231F20"/>
              </w:pBdr>
              <w:shd w:val="clear" w:color="auto" w:fill="231F20"/>
              <w:spacing w:line="209" w:lineRule="auto"/>
              <w:ind w:firstLine="0"/>
              <w:rPr>
                <w:sz w:val="24"/>
                <w:szCs w:val="24"/>
              </w:rPr>
            </w:pPr>
            <w:r>
              <w:rPr>
                <w:rFonts w:ascii="Arial" w:eastAsia="Arial" w:hAnsi="Arial" w:cs="Arial"/>
                <w:b/>
                <w:bCs/>
                <w:color w:val="FFFFFF"/>
                <w:w w:val="70"/>
                <w:sz w:val="24"/>
                <w:szCs w:val="24"/>
              </w:rPr>
              <w:t>Manifestaciones en seres humanos</w:t>
            </w:r>
          </w:p>
        </w:tc>
      </w:tr>
      <w:tr w:rsidR="00D03C17" w14:paraId="4D5F171E" w14:textId="77777777">
        <w:tblPrEx>
          <w:tblCellMar>
            <w:top w:w="0" w:type="dxa"/>
            <w:bottom w:w="0" w:type="dxa"/>
          </w:tblCellMar>
        </w:tblPrEx>
        <w:trPr>
          <w:trHeight w:hRule="exact" w:val="274"/>
        </w:trPr>
        <w:tc>
          <w:tcPr>
            <w:tcW w:w="1195" w:type="dxa"/>
            <w:shd w:val="clear" w:color="auto" w:fill="FFFFFF"/>
            <w:vAlign w:val="bottom"/>
          </w:tcPr>
          <w:p w14:paraId="23063F00" w14:textId="77777777" w:rsidR="00D03C17" w:rsidRDefault="00D03C17">
            <w:pPr>
              <w:pStyle w:val="Other0"/>
              <w:framePr w:w="11285" w:h="3571" w:wrap="none" w:hAnchor="page" w:x="635" w:y="404"/>
              <w:spacing w:line="240" w:lineRule="auto"/>
              <w:ind w:firstLine="0"/>
              <w:rPr>
                <w:sz w:val="16"/>
                <w:szCs w:val="16"/>
              </w:rPr>
            </w:pPr>
            <w:r>
              <w:rPr>
                <w:rFonts w:ascii="Times New Roman" w:eastAsia="Times New Roman" w:hAnsi="Times New Roman" w:cs="Times New Roman"/>
                <w:i/>
                <w:iCs/>
                <w:sz w:val="16"/>
                <w:szCs w:val="16"/>
              </w:rPr>
              <w:t>A ngiostrongylus</w:t>
            </w:r>
          </w:p>
        </w:tc>
        <w:tc>
          <w:tcPr>
            <w:tcW w:w="2347" w:type="dxa"/>
            <w:shd w:val="clear" w:color="auto" w:fill="FFFFFF"/>
            <w:vAlign w:val="bottom"/>
          </w:tcPr>
          <w:p w14:paraId="41ABB4F9" w14:textId="77777777" w:rsidR="00D03C17" w:rsidRDefault="00D03C17">
            <w:pPr>
              <w:pStyle w:val="Other0"/>
              <w:framePr w:w="11285" w:h="3571" w:wrap="none" w:hAnchor="page" w:x="635" w:y="404"/>
              <w:spacing w:line="240" w:lineRule="auto"/>
              <w:ind w:firstLine="0"/>
              <w:rPr>
                <w:sz w:val="16"/>
                <w:szCs w:val="16"/>
              </w:rPr>
            </w:pPr>
            <w:r>
              <w:rPr>
                <w:rFonts w:ascii="Times New Roman" w:eastAsia="Times New Roman" w:hAnsi="Times New Roman" w:cs="Times New Roman"/>
                <w:sz w:val="16"/>
                <w:szCs w:val="16"/>
              </w:rPr>
              <w:t>Generalizada en Ratas</w:t>
            </w:r>
          </w:p>
        </w:tc>
        <w:tc>
          <w:tcPr>
            <w:tcW w:w="1248" w:type="dxa"/>
            <w:shd w:val="clear" w:color="auto" w:fill="FFFFFF"/>
            <w:vAlign w:val="bottom"/>
          </w:tcPr>
          <w:p w14:paraId="734A835B" w14:textId="77777777" w:rsidR="00D03C17" w:rsidRDefault="00D03C17">
            <w:pPr>
              <w:pStyle w:val="Other0"/>
              <w:framePr w:w="11285" w:h="3571" w:wrap="none" w:hAnchor="page" w:x="635" w:y="404"/>
              <w:spacing w:line="240" w:lineRule="auto"/>
              <w:ind w:firstLine="0"/>
              <w:rPr>
                <w:sz w:val="16"/>
                <w:szCs w:val="16"/>
              </w:rPr>
            </w:pPr>
            <w:r>
              <w:rPr>
                <w:rFonts w:ascii="Times New Roman" w:eastAsia="Times New Roman" w:hAnsi="Times New Roman" w:cs="Times New Roman"/>
                <w:sz w:val="16"/>
                <w:szCs w:val="16"/>
              </w:rPr>
              <w:t>Babosas y</w:t>
            </w:r>
          </w:p>
        </w:tc>
        <w:tc>
          <w:tcPr>
            <w:tcW w:w="1210" w:type="dxa"/>
            <w:shd w:val="clear" w:color="auto" w:fill="FFFFFF"/>
            <w:vAlign w:val="bottom"/>
          </w:tcPr>
          <w:p w14:paraId="0C9E1E2B" w14:textId="77777777" w:rsidR="00D03C17" w:rsidRDefault="00D03C17">
            <w:pPr>
              <w:pStyle w:val="Other0"/>
              <w:framePr w:w="11285" w:h="3571" w:wrap="none" w:hAnchor="page" w:x="635" w:y="404"/>
              <w:spacing w:line="240" w:lineRule="auto"/>
              <w:ind w:firstLine="0"/>
              <w:rPr>
                <w:sz w:val="16"/>
                <w:szCs w:val="16"/>
              </w:rPr>
            </w:pPr>
            <w:r>
              <w:rPr>
                <w:rFonts w:ascii="Times New Roman" w:eastAsia="Times New Roman" w:hAnsi="Times New Roman" w:cs="Times New Roman"/>
                <w:sz w:val="16"/>
                <w:szCs w:val="16"/>
              </w:rPr>
              <w:t>Consumo de</w:t>
            </w:r>
          </w:p>
        </w:tc>
        <w:tc>
          <w:tcPr>
            <w:tcW w:w="1205" w:type="dxa"/>
            <w:shd w:val="clear" w:color="auto" w:fill="FFFFFF"/>
            <w:vAlign w:val="bottom"/>
          </w:tcPr>
          <w:p w14:paraId="28F7FE83" w14:textId="77777777" w:rsidR="00D03C17" w:rsidRDefault="00D03C17">
            <w:pPr>
              <w:pStyle w:val="Other0"/>
              <w:framePr w:w="11285" w:h="3571" w:wrap="none" w:hAnchor="page" w:x="635" w:y="404"/>
              <w:spacing w:line="240" w:lineRule="auto"/>
              <w:ind w:firstLine="0"/>
              <w:rPr>
                <w:sz w:val="16"/>
                <w:szCs w:val="16"/>
              </w:rPr>
            </w:pPr>
            <w:r>
              <w:rPr>
                <w:rFonts w:ascii="Times New Roman" w:eastAsia="Times New Roman" w:hAnsi="Times New Roman" w:cs="Times New Roman"/>
                <w:sz w:val="16"/>
                <w:szCs w:val="16"/>
              </w:rPr>
              <w:t>No</w:t>
            </w:r>
          </w:p>
        </w:tc>
        <w:tc>
          <w:tcPr>
            <w:tcW w:w="1258" w:type="dxa"/>
            <w:shd w:val="clear" w:color="auto" w:fill="FFFFFF"/>
            <w:vAlign w:val="bottom"/>
          </w:tcPr>
          <w:p w14:paraId="4CEBA57B" w14:textId="77777777" w:rsidR="00D03C17" w:rsidRDefault="00D03C17">
            <w:pPr>
              <w:pStyle w:val="Other0"/>
              <w:framePr w:w="11285" w:h="3571" w:wrap="none" w:hAnchor="page" w:x="635" w:y="404"/>
              <w:spacing w:line="240" w:lineRule="auto"/>
              <w:ind w:firstLine="0"/>
              <w:rPr>
                <w:sz w:val="16"/>
                <w:szCs w:val="16"/>
              </w:rPr>
            </w:pPr>
            <w:r>
              <w:rPr>
                <w:rFonts w:ascii="Times New Roman" w:eastAsia="Times New Roman" w:hAnsi="Times New Roman" w:cs="Times New Roman"/>
                <w:sz w:val="16"/>
                <w:szCs w:val="16"/>
              </w:rPr>
              <w:t>Eosinófilos en</w:t>
            </w:r>
          </w:p>
        </w:tc>
        <w:tc>
          <w:tcPr>
            <w:tcW w:w="1253" w:type="dxa"/>
            <w:shd w:val="clear" w:color="auto" w:fill="FFFFFF"/>
            <w:vAlign w:val="bottom"/>
          </w:tcPr>
          <w:p w14:paraId="07383AE0" w14:textId="77777777" w:rsidR="00D03C17" w:rsidRDefault="00D03C17">
            <w:pPr>
              <w:pStyle w:val="Other0"/>
              <w:framePr w:w="11285" w:h="3571" w:wrap="none" w:hAnchor="page" w:x="635" w:y="404"/>
              <w:spacing w:line="240" w:lineRule="auto"/>
              <w:ind w:firstLine="0"/>
              <w:rPr>
                <w:sz w:val="16"/>
                <w:szCs w:val="16"/>
              </w:rPr>
            </w:pPr>
            <w:r>
              <w:rPr>
                <w:rFonts w:ascii="Times New Roman" w:eastAsia="Times New Roman" w:hAnsi="Times New Roman" w:cs="Times New Roman"/>
                <w:sz w:val="16"/>
                <w:szCs w:val="16"/>
              </w:rPr>
              <w:t>Larvas del verme</w:t>
            </w:r>
          </w:p>
        </w:tc>
        <w:tc>
          <w:tcPr>
            <w:tcW w:w="1570" w:type="dxa"/>
            <w:shd w:val="clear" w:color="auto" w:fill="FFFFFF"/>
            <w:vAlign w:val="bottom"/>
          </w:tcPr>
          <w:p w14:paraId="13375907" w14:textId="77777777" w:rsidR="00D03C17" w:rsidRDefault="00D03C17">
            <w:pPr>
              <w:pStyle w:val="Other0"/>
              <w:framePr w:w="11285" w:h="3571" w:wrap="none" w:hAnchor="page" w:x="635" w:y="404"/>
              <w:spacing w:line="240" w:lineRule="auto"/>
              <w:ind w:firstLine="0"/>
              <w:jc w:val="both"/>
              <w:rPr>
                <w:sz w:val="16"/>
                <w:szCs w:val="16"/>
              </w:rPr>
            </w:pPr>
            <w:r>
              <w:rPr>
                <w:rFonts w:ascii="Times New Roman" w:eastAsia="Times New Roman" w:hAnsi="Times New Roman" w:cs="Times New Roman"/>
                <w:sz w:val="16"/>
                <w:szCs w:val="16"/>
              </w:rPr>
              <w:t>Eosinofilia,</w:t>
            </w:r>
          </w:p>
        </w:tc>
      </w:tr>
      <w:tr w:rsidR="00D03C17" w14:paraId="1E07ED6E" w14:textId="77777777">
        <w:tblPrEx>
          <w:tblCellMar>
            <w:top w:w="0" w:type="dxa"/>
            <w:bottom w:w="0" w:type="dxa"/>
          </w:tblCellMar>
        </w:tblPrEx>
        <w:trPr>
          <w:trHeight w:hRule="exact" w:val="226"/>
        </w:trPr>
        <w:tc>
          <w:tcPr>
            <w:tcW w:w="1195" w:type="dxa"/>
            <w:shd w:val="clear" w:color="auto" w:fill="FFFFFF"/>
            <w:vAlign w:val="bottom"/>
          </w:tcPr>
          <w:p w14:paraId="5406AEDE" w14:textId="77777777" w:rsidR="00D03C17" w:rsidRDefault="00D03C17">
            <w:pPr>
              <w:pStyle w:val="Other0"/>
              <w:framePr w:w="11285" w:h="3571" w:wrap="none" w:hAnchor="page" w:x="635" w:y="404"/>
              <w:spacing w:line="240" w:lineRule="auto"/>
              <w:ind w:firstLine="160"/>
              <w:rPr>
                <w:sz w:val="16"/>
                <w:szCs w:val="16"/>
              </w:rPr>
            </w:pPr>
            <w:r>
              <w:rPr>
                <w:rFonts w:ascii="Times New Roman" w:eastAsia="Times New Roman" w:hAnsi="Times New Roman" w:cs="Times New Roman"/>
                <w:i/>
                <w:iCs/>
                <w:sz w:val="16"/>
                <w:szCs w:val="16"/>
              </w:rPr>
              <w:t>cantonensis</w:t>
            </w:r>
          </w:p>
        </w:tc>
        <w:tc>
          <w:tcPr>
            <w:tcW w:w="2347" w:type="dxa"/>
            <w:shd w:val="clear" w:color="auto" w:fill="FFFFFF"/>
            <w:vAlign w:val="bottom"/>
          </w:tcPr>
          <w:p w14:paraId="1F6F53BE" w14:textId="77777777" w:rsidR="00D03C17" w:rsidRDefault="00D03C17">
            <w:pPr>
              <w:pStyle w:val="Other0"/>
              <w:framePr w:w="11285" w:h="3571" w:wrap="none" w:hAnchor="page" w:x="635" w:y="404"/>
              <w:spacing w:line="240" w:lineRule="auto"/>
              <w:ind w:firstLine="200"/>
              <w:rPr>
                <w:sz w:val="16"/>
                <w:szCs w:val="16"/>
              </w:rPr>
            </w:pPr>
            <w:r>
              <w:rPr>
                <w:rFonts w:ascii="Times New Roman" w:eastAsia="Times New Roman" w:hAnsi="Times New Roman" w:cs="Times New Roman"/>
                <w:sz w:val="16"/>
                <w:szCs w:val="16"/>
              </w:rPr>
              <w:t>los trópicos,</w:t>
            </w:r>
          </w:p>
        </w:tc>
        <w:tc>
          <w:tcPr>
            <w:tcW w:w="1248" w:type="dxa"/>
            <w:shd w:val="clear" w:color="auto" w:fill="FFFFFF"/>
            <w:vAlign w:val="bottom"/>
          </w:tcPr>
          <w:p w14:paraId="0CEC5261" w14:textId="77777777" w:rsidR="00D03C17" w:rsidRDefault="00D03C17">
            <w:pPr>
              <w:pStyle w:val="Other0"/>
              <w:framePr w:w="11285" w:h="3571" w:wrap="none" w:hAnchor="page" w:x="635" w:y="404"/>
              <w:spacing w:line="240" w:lineRule="auto"/>
              <w:ind w:firstLine="180"/>
              <w:rPr>
                <w:sz w:val="16"/>
                <w:szCs w:val="16"/>
              </w:rPr>
            </w:pPr>
            <w:r>
              <w:rPr>
                <w:rFonts w:ascii="Times New Roman" w:eastAsia="Times New Roman" w:hAnsi="Times New Roman" w:cs="Times New Roman"/>
                <w:sz w:val="16"/>
                <w:szCs w:val="16"/>
              </w:rPr>
              <w:t>caracoles</w:t>
            </w:r>
          </w:p>
        </w:tc>
        <w:tc>
          <w:tcPr>
            <w:tcW w:w="1210" w:type="dxa"/>
            <w:shd w:val="clear" w:color="auto" w:fill="FFFFFF"/>
            <w:vAlign w:val="bottom"/>
          </w:tcPr>
          <w:p w14:paraId="6121091C" w14:textId="77777777" w:rsidR="00D03C17" w:rsidRDefault="00D03C17">
            <w:pPr>
              <w:pStyle w:val="Other0"/>
              <w:framePr w:w="11285" w:h="3571" w:wrap="none" w:hAnchor="page" w:x="635" w:y="404"/>
              <w:spacing w:line="240" w:lineRule="auto"/>
              <w:ind w:firstLine="180"/>
              <w:rPr>
                <w:sz w:val="16"/>
                <w:szCs w:val="16"/>
              </w:rPr>
            </w:pPr>
            <w:r>
              <w:rPr>
                <w:rFonts w:ascii="Times New Roman" w:eastAsia="Times New Roman" w:hAnsi="Times New Roman" w:cs="Times New Roman"/>
                <w:sz w:val="16"/>
                <w:szCs w:val="16"/>
              </w:rPr>
              <w:t>moluscos</w:t>
            </w:r>
          </w:p>
        </w:tc>
        <w:tc>
          <w:tcPr>
            <w:tcW w:w="1205" w:type="dxa"/>
            <w:shd w:val="clear" w:color="auto" w:fill="FFFFFF"/>
          </w:tcPr>
          <w:p w14:paraId="4B676803" w14:textId="77777777" w:rsidR="00D03C17" w:rsidRDefault="00D03C17">
            <w:pPr>
              <w:framePr w:w="11285" w:h="3571" w:wrap="none" w:hAnchor="page" w:x="635" w:y="404"/>
              <w:rPr>
                <w:sz w:val="10"/>
                <w:szCs w:val="10"/>
              </w:rPr>
            </w:pPr>
          </w:p>
        </w:tc>
        <w:tc>
          <w:tcPr>
            <w:tcW w:w="1258" w:type="dxa"/>
            <w:shd w:val="clear" w:color="auto" w:fill="FFFFFF"/>
            <w:vAlign w:val="bottom"/>
          </w:tcPr>
          <w:p w14:paraId="590E2A0F" w14:textId="77777777" w:rsidR="00D03C17" w:rsidRDefault="00D03C17">
            <w:pPr>
              <w:pStyle w:val="Other0"/>
              <w:framePr w:w="11285" w:h="3571" w:wrap="none" w:hAnchor="page" w:x="635" w:y="404"/>
              <w:spacing w:line="240" w:lineRule="auto"/>
              <w:ind w:firstLine="200"/>
              <w:rPr>
                <w:sz w:val="16"/>
                <w:szCs w:val="16"/>
              </w:rPr>
            </w:pPr>
            <w:r>
              <w:rPr>
                <w:rFonts w:ascii="Times New Roman" w:eastAsia="Times New Roman" w:hAnsi="Times New Roman" w:cs="Times New Roman"/>
                <w:sz w:val="16"/>
                <w:szCs w:val="16"/>
              </w:rPr>
              <w:t>LCR; en raras</w:t>
            </w:r>
          </w:p>
        </w:tc>
        <w:tc>
          <w:tcPr>
            <w:tcW w:w="1253" w:type="dxa"/>
            <w:shd w:val="clear" w:color="auto" w:fill="FFFFFF"/>
          </w:tcPr>
          <w:p w14:paraId="0F705BAB" w14:textId="77777777" w:rsidR="00D03C17" w:rsidRDefault="00D03C17">
            <w:pPr>
              <w:framePr w:w="11285" w:h="3571" w:wrap="none" w:hAnchor="page" w:x="635" w:y="404"/>
              <w:rPr>
                <w:sz w:val="10"/>
                <w:szCs w:val="10"/>
              </w:rPr>
            </w:pPr>
          </w:p>
        </w:tc>
        <w:tc>
          <w:tcPr>
            <w:tcW w:w="1570" w:type="dxa"/>
            <w:shd w:val="clear" w:color="auto" w:fill="FFFFFF"/>
            <w:vAlign w:val="bottom"/>
          </w:tcPr>
          <w:p w14:paraId="647956E8" w14:textId="77777777" w:rsidR="00D03C17" w:rsidRDefault="00D03C17">
            <w:pPr>
              <w:pStyle w:val="Other0"/>
              <w:framePr w:w="11285" w:h="3571" w:wrap="none" w:hAnchor="page" w:x="635" w:y="404"/>
              <w:spacing w:line="240" w:lineRule="auto"/>
              <w:ind w:firstLine="140"/>
              <w:rPr>
                <w:sz w:val="16"/>
                <w:szCs w:val="16"/>
              </w:rPr>
            </w:pPr>
            <w:r>
              <w:rPr>
                <w:rFonts w:ascii="Times New Roman" w:eastAsia="Times New Roman" w:hAnsi="Times New Roman" w:cs="Times New Roman"/>
                <w:sz w:val="16"/>
                <w:szCs w:val="16"/>
              </w:rPr>
              <w:t>meningoencefalitis</w:t>
            </w:r>
          </w:p>
        </w:tc>
      </w:tr>
      <w:tr w:rsidR="00D03C17" w14:paraId="5ED3685E" w14:textId="77777777">
        <w:tblPrEx>
          <w:tblCellMar>
            <w:top w:w="0" w:type="dxa"/>
            <w:bottom w:w="0" w:type="dxa"/>
          </w:tblCellMar>
        </w:tblPrEx>
        <w:trPr>
          <w:trHeight w:hRule="exact" w:val="221"/>
        </w:trPr>
        <w:tc>
          <w:tcPr>
            <w:tcW w:w="1195" w:type="dxa"/>
            <w:shd w:val="clear" w:color="auto" w:fill="FFFFFF"/>
          </w:tcPr>
          <w:p w14:paraId="312C650F" w14:textId="77777777" w:rsidR="00D03C17" w:rsidRDefault="00D03C17">
            <w:pPr>
              <w:framePr w:w="11285" w:h="3571" w:wrap="none" w:hAnchor="page" w:x="635" w:y="404"/>
              <w:rPr>
                <w:sz w:val="10"/>
                <w:szCs w:val="10"/>
              </w:rPr>
            </w:pPr>
          </w:p>
        </w:tc>
        <w:tc>
          <w:tcPr>
            <w:tcW w:w="2347" w:type="dxa"/>
            <w:shd w:val="clear" w:color="auto" w:fill="FFFFFF"/>
          </w:tcPr>
          <w:p w14:paraId="0F2DD0F6" w14:textId="77777777" w:rsidR="00D03C17" w:rsidRDefault="00D03C17">
            <w:pPr>
              <w:pStyle w:val="Other0"/>
              <w:framePr w:w="11285" w:h="3571" w:wrap="none" w:hAnchor="page" w:x="635" w:y="404"/>
              <w:spacing w:line="240" w:lineRule="auto"/>
              <w:ind w:firstLine="200"/>
              <w:rPr>
                <w:sz w:val="16"/>
                <w:szCs w:val="16"/>
              </w:rPr>
            </w:pPr>
            <w:r>
              <w:rPr>
                <w:rFonts w:ascii="Times New Roman" w:eastAsia="Times New Roman" w:hAnsi="Times New Roman" w:cs="Times New Roman"/>
                <w:sz w:val="16"/>
                <w:szCs w:val="16"/>
              </w:rPr>
              <w:t>particularmente</w:t>
            </w:r>
          </w:p>
        </w:tc>
        <w:tc>
          <w:tcPr>
            <w:tcW w:w="1248" w:type="dxa"/>
            <w:shd w:val="clear" w:color="auto" w:fill="FFFFFF"/>
          </w:tcPr>
          <w:p w14:paraId="6BB61F0B" w14:textId="77777777" w:rsidR="00D03C17" w:rsidRDefault="00D03C17">
            <w:pPr>
              <w:framePr w:w="11285" w:h="3571" w:wrap="none" w:hAnchor="page" w:x="635" w:y="404"/>
              <w:rPr>
                <w:sz w:val="10"/>
                <w:szCs w:val="10"/>
              </w:rPr>
            </w:pPr>
          </w:p>
        </w:tc>
        <w:tc>
          <w:tcPr>
            <w:tcW w:w="1210" w:type="dxa"/>
            <w:shd w:val="clear" w:color="auto" w:fill="FFFFFF"/>
          </w:tcPr>
          <w:p w14:paraId="44D1D33F" w14:textId="77777777" w:rsidR="00D03C17" w:rsidRDefault="00D03C17">
            <w:pPr>
              <w:pStyle w:val="Other0"/>
              <w:framePr w:w="11285" w:h="3571" w:wrap="none" w:hAnchor="page" w:x="635" w:y="404"/>
              <w:spacing w:line="240" w:lineRule="auto"/>
              <w:ind w:firstLine="180"/>
              <w:rPr>
                <w:sz w:val="16"/>
                <w:szCs w:val="16"/>
              </w:rPr>
            </w:pPr>
            <w:r>
              <w:rPr>
                <w:rFonts w:ascii="Times New Roman" w:eastAsia="Times New Roman" w:hAnsi="Times New Roman" w:cs="Times New Roman"/>
                <w:sz w:val="16"/>
                <w:szCs w:val="16"/>
              </w:rPr>
              <w:t>infectados y</w:t>
            </w:r>
          </w:p>
        </w:tc>
        <w:tc>
          <w:tcPr>
            <w:tcW w:w="1205" w:type="dxa"/>
            <w:shd w:val="clear" w:color="auto" w:fill="FFFFFF"/>
          </w:tcPr>
          <w:p w14:paraId="40A1E13E" w14:textId="77777777" w:rsidR="00D03C17" w:rsidRDefault="00D03C17">
            <w:pPr>
              <w:framePr w:w="11285" w:h="3571" w:wrap="none" w:hAnchor="page" w:x="635" w:y="404"/>
              <w:rPr>
                <w:sz w:val="10"/>
                <w:szCs w:val="10"/>
              </w:rPr>
            </w:pPr>
          </w:p>
        </w:tc>
        <w:tc>
          <w:tcPr>
            <w:tcW w:w="1258" w:type="dxa"/>
            <w:shd w:val="clear" w:color="auto" w:fill="FFFFFF"/>
          </w:tcPr>
          <w:p w14:paraId="1D4ADAB2" w14:textId="77777777" w:rsidR="00D03C17" w:rsidRDefault="00D03C17">
            <w:pPr>
              <w:pStyle w:val="Other0"/>
              <w:framePr w:w="11285" w:h="3571" w:wrap="none" w:hAnchor="page" w:x="635" w:y="404"/>
              <w:spacing w:line="240" w:lineRule="auto"/>
              <w:ind w:firstLine="200"/>
              <w:rPr>
                <w:sz w:val="16"/>
                <w:szCs w:val="16"/>
              </w:rPr>
            </w:pPr>
            <w:r>
              <w:rPr>
                <w:rFonts w:ascii="Times New Roman" w:eastAsia="Times New Roman" w:hAnsi="Times New Roman" w:cs="Times New Roman"/>
                <w:sz w:val="16"/>
                <w:szCs w:val="16"/>
              </w:rPr>
              <w:t>ocasiones</w:t>
            </w:r>
          </w:p>
        </w:tc>
        <w:tc>
          <w:tcPr>
            <w:tcW w:w="1253" w:type="dxa"/>
            <w:shd w:val="clear" w:color="auto" w:fill="FFFFFF"/>
          </w:tcPr>
          <w:p w14:paraId="5BB4A9F7" w14:textId="77777777" w:rsidR="00D03C17" w:rsidRDefault="00D03C17">
            <w:pPr>
              <w:framePr w:w="11285" w:h="3571" w:wrap="none" w:hAnchor="page" w:x="635" w:y="404"/>
              <w:rPr>
                <w:sz w:val="10"/>
                <w:szCs w:val="10"/>
              </w:rPr>
            </w:pPr>
          </w:p>
        </w:tc>
        <w:tc>
          <w:tcPr>
            <w:tcW w:w="1570" w:type="dxa"/>
            <w:shd w:val="clear" w:color="auto" w:fill="FFFFFF"/>
          </w:tcPr>
          <w:p w14:paraId="3CE957A0" w14:textId="77777777" w:rsidR="00D03C17" w:rsidRDefault="00D03C17">
            <w:pPr>
              <w:framePr w:w="11285" w:h="3571" w:wrap="none" w:hAnchor="page" w:x="635" w:y="404"/>
              <w:rPr>
                <w:sz w:val="10"/>
                <w:szCs w:val="10"/>
              </w:rPr>
            </w:pPr>
          </w:p>
        </w:tc>
      </w:tr>
      <w:tr w:rsidR="00D03C17" w14:paraId="29A1A19A" w14:textId="77777777">
        <w:tblPrEx>
          <w:tblCellMar>
            <w:top w:w="0" w:type="dxa"/>
            <w:bottom w:w="0" w:type="dxa"/>
          </w:tblCellMar>
        </w:tblPrEx>
        <w:trPr>
          <w:trHeight w:hRule="exact" w:val="202"/>
        </w:trPr>
        <w:tc>
          <w:tcPr>
            <w:tcW w:w="1195" w:type="dxa"/>
            <w:shd w:val="clear" w:color="auto" w:fill="FFFFFF"/>
          </w:tcPr>
          <w:p w14:paraId="6F57D6C8" w14:textId="77777777" w:rsidR="00D03C17" w:rsidRDefault="00D03C17">
            <w:pPr>
              <w:framePr w:w="11285" w:h="3571" w:wrap="none" w:hAnchor="page" w:x="635" w:y="404"/>
              <w:rPr>
                <w:sz w:val="10"/>
                <w:szCs w:val="10"/>
              </w:rPr>
            </w:pPr>
          </w:p>
        </w:tc>
        <w:tc>
          <w:tcPr>
            <w:tcW w:w="2347" w:type="dxa"/>
            <w:shd w:val="clear" w:color="auto" w:fill="FFFFFF"/>
          </w:tcPr>
          <w:p w14:paraId="17D7A16F" w14:textId="77777777" w:rsidR="00D03C17" w:rsidRDefault="00D03C17">
            <w:pPr>
              <w:pStyle w:val="Other0"/>
              <w:framePr w:w="11285" w:h="3571" w:wrap="none" w:hAnchor="page" w:x="635" w:y="404"/>
              <w:spacing w:line="240" w:lineRule="auto"/>
              <w:ind w:firstLine="200"/>
              <w:rPr>
                <w:sz w:val="16"/>
                <w:szCs w:val="16"/>
              </w:rPr>
            </w:pPr>
            <w:r>
              <w:rPr>
                <w:rFonts w:ascii="Times New Roman" w:eastAsia="Times New Roman" w:hAnsi="Times New Roman" w:cs="Times New Roman"/>
                <w:sz w:val="16"/>
                <w:szCs w:val="16"/>
              </w:rPr>
              <w:t>islas del</w:t>
            </w:r>
          </w:p>
        </w:tc>
        <w:tc>
          <w:tcPr>
            <w:tcW w:w="1248" w:type="dxa"/>
            <w:shd w:val="clear" w:color="auto" w:fill="FFFFFF"/>
          </w:tcPr>
          <w:p w14:paraId="4658CCA8" w14:textId="77777777" w:rsidR="00D03C17" w:rsidRDefault="00D03C17">
            <w:pPr>
              <w:framePr w:w="11285" w:h="3571" w:wrap="none" w:hAnchor="page" w:x="635" w:y="404"/>
              <w:rPr>
                <w:sz w:val="10"/>
                <w:szCs w:val="10"/>
              </w:rPr>
            </w:pPr>
          </w:p>
        </w:tc>
        <w:tc>
          <w:tcPr>
            <w:tcW w:w="1210" w:type="dxa"/>
            <w:shd w:val="clear" w:color="auto" w:fill="FFFFFF"/>
          </w:tcPr>
          <w:p w14:paraId="57B01EC0" w14:textId="77777777" w:rsidR="00D03C17" w:rsidRDefault="00D03C17">
            <w:pPr>
              <w:pStyle w:val="Other0"/>
              <w:framePr w:w="11285" w:h="3571" w:wrap="none" w:hAnchor="page" w:x="635" w:y="404"/>
              <w:spacing w:line="240" w:lineRule="auto"/>
              <w:ind w:firstLine="180"/>
              <w:rPr>
                <w:sz w:val="16"/>
                <w:szCs w:val="16"/>
              </w:rPr>
            </w:pPr>
            <w:r>
              <w:rPr>
                <w:rFonts w:ascii="Times New Roman" w:eastAsia="Times New Roman" w:hAnsi="Times New Roman" w:cs="Times New Roman"/>
                <w:sz w:val="16"/>
                <w:szCs w:val="16"/>
              </w:rPr>
              <w:t>mal cocidos</w:t>
            </w:r>
          </w:p>
        </w:tc>
        <w:tc>
          <w:tcPr>
            <w:tcW w:w="1205" w:type="dxa"/>
            <w:shd w:val="clear" w:color="auto" w:fill="FFFFFF"/>
          </w:tcPr>
          <w:p w14:paraId="1A987DCD" w14:textId="77777777" w:rsidR="00D03C17" w:rsidRDefault="00D03C17">
            <w:pPr>
              <w:framePr w:w="11285" w:h="3571" w:wrap="none" w:hAnchor="page" w:x="635" w:y="404"/>
              <w:rPr>
                <w:sz w:val="10"/>
                <w:szCs w:val="10"/>
              </w:rPr>
            </w:pPr>
          </w:p>
        </w:tc>
        <w:tc>
          <w:tcPr>
            <w:tcW w:w="1258" w:type="dxa"/>
            <w:shd w:val="clear" w:color="auto" w:fill="FFFFFF"/>
          </w:tcPr>
          <w:p w14:paraId="671ED0FA" w14:textId="77777777" w:rsidR="00D03C17" w:rsidRDefault="00D03C17">
            <w:pPr>
              <w:pStyle w:val="Other0"/>
              <w:framePr w:w="11285" w:h="3571" w:wrap="none" w:hAnchor="page" w:x="635" w:y="404"/>
              <w:spacing w:line="240" w:lineRule="auto"/>
              <w:ind w:firstLine="200"/>
              <w:rPr>
                <w:sz w:val="16"/>
                <w:szCs w:val="16"/>
              </w:rPr>
            </w:pPr>
            <w:r>
              <w:rPr>
                <w:rFonts w:ascii="Times New Roman" w:eastAsia="Times New Roman" w:hAnsi="Times New Roman" w:cs="Times New Roman"/>
                <w:sz w:val="16"/>
                <w:szCs w:val="16"/>
              </w:rPr>
              <w:t>identificación</w:t>
            </w:r>
          </w:p>
        </w:tc>
        <w:tc>
          <w:tcPr>
            <w:tcW w:w="1253" w:type="dxa"/>
            <w:shd w:val="clear" w:color="auto" w:fill="FFFFFF"/>
          </w:tcPr>
          <w:p w14:paraId="2443E6CE" w14:textId="77777777" w:rsidR="00D03C17" w:rsidRDefault="00D03C17">
            <w:pPr>
              <w:framePr w:w="11285" w:h="3571" w:wrap="none" w:hAnchor="page" w:x="635" w:y="404"/>
              <w:rPr>
                <w:sz w:val="10"/>
                <w:szCs w:val="10"/>
              </w:rPr>
            </w:pPr>
          </w:p>
        </w:tc>
        <w:tc>
          <w:tcPr>
            <w:tcW w:w="1570" w:type="dxa"/>
            <w:shd w:val="clear" w:color="auto" w:fill="FFFFFF"/>
          </w:tcPr>
          <w:p w14:paraId="5BFA3A76" w14:textId="77777777" w:rsidR="00D03C17" w:rsidRDefault="00D03C17">
            <w:pPr>
              <w:framePr w:w="11285" w:h="3571" w:wrap="none" w:hAnchor="page" w:x="635" w:y="404"/>
              <w:rPr>
                <w:sz w:val="10"/>
                <w:szCs w:val="10"/>
              </w:rPr>
            </w:pPr>
          </w:p>
        </w:tc>
      </w:tr>
      <w:tr w:rsidR="00D03C17" w14:paraId="5366D2DE" w14:textId="77777777">
        <w:tblPrEx>
          <w:tblCellMar>
            <w:top w:w="0" w:type="dxa"/>
            <w:bottom w:w="0" w:type="dxa"/>
          </w:tblCellMar>
        </w:tblPrEx>
        <w:trPr>
          <w:trHeight w:hRule="exact" w:val="216"/>
        </w:trPr>
        <w:tc>
          <w:tcPr>
            <w:tcW w:w="1195" w:type="dxa"/>
            <w:shd w:val="clear" w:color="auto" w:fill="FFFFFF"/>
          </w:tcPr>
          <w:p w14:paraId="38C15787" w14:textId="77777777" w:rsidR="00D03C17" w:rsidRDefault="00D03C17">
            <w:pPr>
              <w:framePr w:w="11285" w:h="3571" w:wrap="none" w:hAnchor="page" w:x="635" w:y="404"/>
              <w:rPr>
                <w:sz w:val="10"/>
                <w:szCs w:val="10"/>
              </w:rPr>
            </w:pPr>
          </w:p>
        </w:tc>
        <w:tc>
          <w:tcPr>
            <w:tcW w:w="2347" w:type="dxa"/>
            <w:shd w:val="clear" w:color="auto" w:fill="FFFFFF"/>
            <w:vAlign w:val="bottom"/>
          </w:tcPr>
          <w:p w14:paraId="6C47B3ED" w14:textId="77777777" w:rsidR="00D03C17" w:rsidRDefault="00D03C17">
            <w:pPr>
              <w:pStyle w:val="Other0"/>
              <w:framePr w:w="11285" w:h="3571" w:wrap="none" w:hAnchor="page" w:x="635" w:y="404"/>
              <w:spacing w:line="240" w:lineRule="auto"/>
              <w:ind w:firstLine="200"/>
              <w:rPr>
                <w:sz w:val="16"/>
                <w:szCs w:val="16"/>
              </w:rPr>
            </w:pPr>
            <w:r>
              <w:rPr>
                <w:rFonts w:ascii="Times New Roman" w:eastAsia="Times New Roman" w:hAnsi="Times New Roman" w:cs="Times New Roman"/>
                <w:sz w:val="16"/>
                <w:szCs w:val="16"/>
              </w:rPr>
              <w:t>Pacífico, sureste</w:t>
            </w:r>
          </w:p>
        </w:tc>
        <w:tc>
          <w:tcPr>
            <w:tcW w:w="1248" w:type="dxa"/>
            <w:shd w:val="clear" w:color="auto" w:fill="FFFFFF"/>
          </w:tcPr>
          <w:p w14:paraId="15CE7BCB" w14:textId="77777777" w:rsidR="00D03C17" w:rsidRDefault="00D03C17">
            <w:pPr>
              <w:framePr w:w="11285" w:h="3571" w:wrap="none" w:hAnchor="page" w:x="635" w:y="404"/>
              <w:rPr>
                <w:sz w:val="10"/>
                <w:szCs w:val="10"/>
              </w:rPr>
            </w:pPr>
          </w:p>
        </w:tc>
        <w:tc>
          <w:tcPr>
            <w:tcW w:w="1210" w:type="dxa"/>
            <w:shd w:val="clear" w:color="auto" w:fill="FFFFFF"/>
          </w:tcPr>
          <w:p w14:paraId="2D6FD56B" w14:textId="77777777" w:rsidR="00D03C17" w:rsidRDefault="00D03C17">
            <w:pPr>
              <w:framePr w:w="11285" w:h="3571" w:wrap="none" w:hAnchor="page" w:x="635" w:y="404"/>
              <w:rPr>
                <w:sz w:val="10"/>
                <w:szCs w:val="10"/>
              </w:rPr>
            </w:pPr>
          </w:p>
        </w:tc>
        <w:tc>
          <w:tcPr>
            <w:tcW w:w="1205" w:type="dxa"/>
            <w:shd w:val="clear" w:color="auto" w:fill="FFFFFF"/>
          </w:tcPr>
          <w:p w14:paraId="365B25F7" w14:textId="77777777" w:rsidR="00D03C17" w:rsidRDefault="00D03C17">
            <w:pPr>
              <w:framePr w:w="11285" w:h="3571" w:wrap="none" w:hAnchor="page" w:x="635" w:y="404"/>
              <w:rPr>
                <w:sz w:val="10"/>
                <w:szCs w:val="10"/>
              </w:rPr>
            </w:pPr>
          </w:p>
        </w:tc>
        <w:tc>
          <w:tcPr>
            <w:tcW w:w="1258" w:type="dxa"/>
            <w:shd w:val="clear" w:color="auto" w:fill="FFFFFF"/>
            <w:vAlign w:val="bottom"/>
          </w:tcPr>
          <w:p w14:paraId="61CC4221" w14:textId="77777777" w:rsidR="00D03C17" w:rsidRDefault="00D03C17">
            <w:pPr>
              <w:pStyle w:val="Other0"/>
              <w:framePr w:w="11285" w:h="3571" w:wrap="none" w:hAnchor="page" w:x="635" w:y="404"/>
              <w:spacing w:line="240" w:lineRule="auto"/>
              <w:ind w:firstLine="200"/>
              <w:rPr>
                <w:sz w:val="16"/>
                <w:szCs w:val="16"/>
              </w:rPr>
            </w:pPr>
            <w:r>
              <w:rPr>
                <w:rFonts w:ascii="Times New Roman" w:eastAsia="Times New Roman" w:hAnsi="Times New Roman" w:cs="Times New Roman"/>
                <w:sz w:val="16"/>
                <w:szCs w:val="16"/>
              </w:rPr>
              <w:t>de larvas en</w:t>
            </w:r>
          </w:p>
        </w:tc>
        <w:tc>
          <w:tcPr>
            <w:tcW w:w="1253" w:type="dxa"/>
            <w:shd w:val="clear" w:color="auto" w:fill="FFFFFF"/>
          </w:tcPr>
          <w:p w14:paraId="7411DE2D" w14:textId="77777777" w:rsidR="00D03C17" w:rsidRDefault="00D03C17">
            <w:pPr>
              <w:framePr w:w="11285" w:h="3571" w:wrap="none" w:hAnchor="page" w:x="635" w:y="404"/>
              <w:rPr>
                <w:sz w:val="10"/>
                <w:szCs w:val="10"/>
              </w:rPr>
            </w:pPr>
          </w:p>
        </w:tc>
        <w:tc>
          <w:tcPr>
            <w:tcW w:w="1570" w:type="dxa"/>
            <w:shd w:val="clear" w:color="auto" w:fill="FFFFFF"/>
          </w:tcPr>
          <w:p w14:paraId="6C855DA7" w14:textId="77777777" w:rsidR="00D03C17" w:rsidRDefault="00D03C17">
            <w:pPr>
              <w:framePr w:w="11285" w:h="3571" w:wrap="none" w:hAnchor="page" w:x="635" w:y="404"/>
              <w:rPr>
                <w:sz w:val="10"/>
                <w:szCs w:val="10"/>
              </w:rPr>
            </w:pPr>
          </w:p>
        </w:tc>
      </w:tr>
      <w:tr w:rsidR="00D03C17" w14:paraId="25946595" w14:textId="77777777">
        <w:tblPrEx>
          <w:tblCellMar>
            <w:top w:w="0" w:type="dxa"/>
            <w:bottom w:w="0" w:type="dxa"/>
          </w:tblCellMar>
        </w:tblPrEx>
        <w:trPr>
          <w:trHeight w:hRule="exact" w:val="216"/>
        </w:trPr>
        <w:tc>
          <w:tcPr>
            <w:tcW w:w="1195" w:type="dxa"/>
            <w:shd w:val="clear" w:color="auto" w:fill="FFFFFF"/>
          </w:tcPr>
          <w:p w14:paraId="2AB46A96" w14:textId="77777777" w:rsidR="00D03C17" w:rsidRDefault="00D03C17">
            <w:pPr>
              <w:framePr w:w="11285" w:h="3571" w:wrap="none" w:hAnchor="page" w:x="635" w:y="404"/>
              <w:rPr>
                <w:sz w:val="10"/>
                <w:szCs w:val="10"/>
              </w:rPr>
            </w:pPr>
          </w:p>
        </w:tc>
        <w:tc>
          <w:tcPr>
            <w:tcW w:w="2347" w:type="dxa"/>
            <w:shd w:val="clear" w:color="auto" w:fill="FFFFFF"/>
            <w:vAlign w:val="bottom"/>
          </w:tcPr>
          <w:p w14:paraId="6669D175" w14:textId="77777777" w:rsidR="00D03C17" w:rsidRDefault="00D03C17">
            <w:pPr>
              <w:pStyle w:val="Other0"/>
              <w:framePr w:w="11285" w:h="3571" w:wrap="none" w:hAnchor="page" w:x="635" w:y="404"/>
              <w:spacing w:line="240" w:lineRule="auto"/>
              <w:ind w:firstLine="200"/>
              <w:rPr>
                <w:sz w:val="16"/>
                <w:szCs w:val="16"/>
              </w:rPr>
            </w:pPr>
            <w:r>
              <w:rPr>
                <w:rFonts w:ascii="Times New Roman" w:eastAsia="Times New Roman" w:hAnsi="Times New Roman" w:cs="Times New Roman"/>
                <w:sz w:val="16"/>
                <w:szCs w:val="16"/>
              </w:rPr>
              <w:t>asiático y</w:t>
            </w:r>
          </w:p>
        </w:tc>
        <w:tc>
          <w:tcPr>
            <w:tcW w:w="1248" w:type="dxa"/>
            <w:shd w:val="clear" w:color="auto" w:fill="FFFFFF"/>
          </w:tcPr>
          <w:p w14:paraId="049574F6" w14:textId="77777777" w:rsidR="00D03C17" w:rsidRDefault="00D03C17">
            <w:pPr>
              <w:framePr w:w="11285" w:h="3571" w:wrap="none" w:hAnchor="page" w:x="635" w:y="404"/>
              <w:rPr>
                <w:sz w:val="10"/>
                <w:szCs w:val="10"/>
              </w:rPr>
            </w:pPr>
          </w:p>
        </w:tc>
        <w:tc>
          <w:tcPr>
            <w:tcW w:w="1210" w:type="dxa"/>
            <w:shd w:val="clear" w:color="auto" w:fill="FFFFFF"/>
          </w:tcPr>
          <w:p w14:paraId="74B4B3B7" w14:textId="77777777" w:rsidR="00D03C17" w:rsidRDefault="00D03C17">
            <w:pPr>
              <w:framePr w:w="11285" w:h="3571" w:wrap="none" w:hAnchor="page" w:x="635" w:y="404"/>
              <w:rPr>
                <w:sz w:val="10"/>
                <w:szCs w:val="10"/>
              </w:rPr>
            </w:pPr>
          </w:p>
        </w:tc>
        <w:tc>
          <w:tcPr>
            <w:tcW w:w="1205" w:type="dxa"/>
            <w:shd w:val="clear" w:color="auto" w:fill="FFFFFF"/>
          </w:tcPr>
          <w:p w14:paraId="535F7614" w14:textId="77777777" w:rsidR="00D03C17" w:rsidRDefault="00D03C17">
            <w:pPr>
              <w:framePr w:w="11285" w:h="3571" w:wrap="none" w:hAnchor="page" w:x="635" w:y="404"/>
              <w:rPr>
                <w:sz w:val="10"/>
                <w:szCs w:val="10"/>
              </w:rPr>
            </w:pPr>
          </w:p>
        </w:tc>
        <w:tc>
          <w:tcPr>
            <w:tcW w:w="1258" w:type="dxa"/>
            <w:shd w:val="clear" w:color="auto" w:fill="FFFFFF"/>
            <w:vAlign w:val="bottom"/>
          </w:tcPr>
          <w:p w14:paraId="1041CE30" w14:textId="77777777" w:rsidR="00D03C17" w:rsidRDefault="00D03C17">
            <w:pPr>
              <w:pStyle w:val="Other0"/>
              <w:framePr w:w="11285" w:h="3571" w:wrap="none" w:hAnchor="page" w:x="635" w:y="404"/>
              <w:spacing w:line="240" w:lineRule="auto"/>
              <w:ind w:firstLine="200"/>
              <w:rPr>
                <w:sz w:val="16"/>
                <w:szCs w:val="16"/>
              </w:rPr>
            </w:pPr>
            <w:r>
              <w:rPr>
                <w:rFonts w:ascii="Times New Roman" w:eastAsia="Times New Roman" w:hAnsi="Times New Roman" w:cs="Times New Roman"/>
                <w:sz w:val="16"/>
                <w:szCs w:val="16"/>
              </w:rPr>
              <w:t>LCR o en la</w:t>
            </w:r>
          </w:p>
        </w:tc>
        <w:tc>
          <w:tcPr>
            <w:tcW w:w="1253" w:type="dxa"/>
            <w:shd w:val="clear" w:color="auto" w:fill="FFFFFF"/>
          </w:tcPr>
          <w:p w14:paraId="478FB0A6" w14:textId="77777777" w:rsidR="00D03C17" w:rsidRDefault="00D03C17">
            <w:pPr>
              <w:framePr w:w="11285" w:h="3571" w:wrap="none" w:hAnchor="page" w:x="635" w:y="404"/>
              <w:rPr>
                <w:sz w:val="10"/>
                <w:szCs w:val="10"/>
              </w:rPr>
            </w:pPr>
          </w:p>
        </w:tc>
        <w:tc>
          <w:tcPr>
            <w:tcW w:w="1570" w:type="dxa"/>
            <w:shd w:val="clear" w:color="auto" w:fill="FFFFFF"/>
          </w:tcPr>
          <w:p w14:paraId="6E78A665" w14:textId="77777777" w:rsidR="00D03C17" w:rsidRDefault="00D03C17">
            <w:pPr>
              <w:framePr w:w="11285" w:h="3571" w:wrap="none" w:hAnchor="page" w:x="635" w:y="404"/>
              <w:rPr>
                <w:sz w:val="10"/>
                <w:szCs w:val="10"/>
              </w:rPr>
            </w:pPr>
          </w:p>
        </w:tc>
      </w:tr>
      <w:tr w:rsidR="00D03C17" w14:paraId="0695B094" w14:textId="77777777">
        <w:tblPrEx>
          <w:tblCellMar>
            <w:top w:w="0" w:type="dxa"/>
            <w:bottom w:w="0" w:type="dxa"/>
          </w:tblCellMar>
        </w:tblPrEx>
        <w:trPr>
          <w:trHeight w:hRule="exact" w:val="230"/>
        </w:trPr>
        <w:tc>
          <w:tcPr>
            <w:tcW w:w="1195" w:type="dxa"/>
            <w:shd w:val="clear" w:color="auto" w:fill="FFFFFF"/>
          </w:tcPr>
          <w:p w14:paraId="4909C664" w14:textId="77777777" w:rsidR="00D03C17" w:rsidRDefault="00D03C17">
            <w:pPr>
              <w:framePr w:w="11285" w:h="3571" w:wrap="none" w:hAnchor="page" w:x="635" w:y="404"/>
              <w:rPr>
                <w:sz w:val="10"/>
                <w:szCs w:val="10"/>
              </w:rPr>
            </w:pPr>
          </w:p>
        </w:tc>
        <w:tc>
          <w:tcPr>
            <w:tcW w:w="2347" w:type="dxa"/>
            <w:shd w:val="clear" w:color="auto" w:fill="FFFFFF"/>
            <w:vAlign w:val="bottom"/>
          </w:tcPr>
          <w:p w14:paraId="170CCC30" w14:textId="77777777" w:rsidR="00D03C17" w:rsidRDefault="00D03C17">
            <w:pPr>
              <w:pStyle w:val="Other0"/>
              <w:framePr w:w="11285" w:h="3571" w:wrap="none" w:hAnchor="page" w:x="635" w:y="404"/>
              <w:spacing w:line="240" w:lineRule="auto"/>
              <w:ind w:firstLine="200"/>
              <w:rPr>
                <w:sz w:val="16"/>
                <w:szCs w:val="16"/>
              </w:rPr>
            </w:pPr>
            <w:r>
              <w:rPr>
                <w:rFonts w:ascii="Times New Roman" w:eastAsia="Times New Roman" w:hAnsi="Times New Roman" w:cs="Times New Roman"/>
                <w:sz w:val="16"/>
                <w:szCs w:val="16"/>
              </w:rPr>
              <w:t>América</w:t>
            </w:r>
          </w:p>
        </w:tc>
        <w:tc>
          <w:tcPr>
            <w:tcW w:w="1248" w:type="dxa"/>
            <w:shd w:val="clear" w:color="auto" w:fill="FFFFFF"/>
          </w:tcPr>
          <w:p w14:paraId="61020974" w14:textId="77777777" w:rsidR="00D03C17" w:rsidRDefault="00D03C17">
            <w:pPr>
              <w:framePr w:w="11285" w:h="3571" w:wrap="none" w:hAnchor="page" w:x="635" w:y="404"/>
              <w:rPr>
                <w:sz w:val="10"/>
                <w:szCs w:val="10"/>
              </w:rPr>
            </w:pPr>
          </w:p>
        </w:tc>
        <w:tc>
          <w:tcPr>
            <w:tcW w:w="1210" w:type="dxa"/>
            <w:shd w:val="clear" w:color="auto" w:fill="FFFFFF"/>
          </w:tcPr>
          <w:p w14:paraId="263193F0" w14:textId="77777777" w:rsidR="00D03C17" w:rsidRDefault="00D03C17">
            <w:pPr>
              <w:framePr w:w="11285" w:h="3571" w:wrap="none" w:hAnchor="page" w:x="635" w:y="404"/>
              <w:rPr>
                <w:sz w:val="10"/>
                <w:szCs w:val="10"/>
              </w:rPr>
            </w:pPr>
          </w:p>
        </w:tc>
        <w:tc>
          <w:tcPr>
            <w:tcW w:w="1205" w:type="dxa"/>
            <w:shd w:val="clear" w:color="auto" w:fill="FFFFFF"/>
          </w:tcPr>
          <w:p w14:paraId="57052E23" w14:textId="77777777" w:rsidR="00D03C17" w:rsidRDefault="00D03C17">
            <w:pPr>
              <w:framePr w:w="11285" w:h="3571" w:wrap="none" w:hAnchor="page" w:x="635" w:y="404"/>
              <w:rPr>
                <w:sz w:val="10"/>
                <w:szCs w:val="10"/>
              </w:rPr>
            </w:pPr>
          </w:p>
        </w:tc>
        <w:tc>
          <w:tcPr>
            <w:tcW w:w="1258" w:type="dxa"/>
            <w:shd w:val="clear" w:color="auto" w:fill="FFFFFF"/>
            <w:vAlign w:val="bottom"/>
          </w:tcPr>
          <w:p w14:paraId="7CC7C748" w14:textId="77777777" w:rsidR="00D03C17" w:rsidRDefault="00D03C17">
            <w:pPr>
              <w:pStyle w:val="Other0"/>
              <w:framePr w:w="11285" w:h="3571" w:wrap="none" w:hAnchor="page" w:x="635" w:y="404"/>
              <w:spacing w:line="240" w:lineRule="auto"/>
              <w:ind w:firstLine="200"/>
              <w:rPr>
                <w:sz w:val="16"/>
                <w:szCs w:val="16"/>
              </w:rPr>
            </w:pPr>
            <w:r>
              <w:rPr>
                <w:rFonts w:ascii="Times New Roman" w:eastAsia="Times New Roman" w:hAnsi="Times New Roman" w:cs="Times New Roman"/>
                <w:sz w:val="16"/>
                <w:szCs w:val="16"/>
              </w:rPr>
              <w:t>necropsia</w:t>
            </w:r>
          </w:p>
        </w:tc>
        <w:tc>
          <w:tcPr>
            <w:tcW w:w="1253" w:type="dxa"/>
            <w:shd w:val="clear" w:color="auto" w:fill="FFFFFF"/>
          </w:tcPr>
          <w:p w14:paraId="17351BCE" w14:textId="77777777" w:rsidR="00D03C17" w:rsidRDefault="00D03C17">
            <w:pPr>
              <w:framePr w:w="11285" w:h="3571" w:wrap="none" w:hAnchor="page" w:x="635" w:y="404"/>
              <w:rPr>
                <w:sz w:val="10"/>
                <w:szCs w:val="10"/>
              </w:rPr>
            </w:pPr>
          </w:p>
        </w:tc>
        <w:tc>
          <w:tcPr>
            <w:tcW w:w="1570" w:type="dxa"/>
            <w:shd w:val="clear" w:color="auto" w:fill="FFFFFF"/>
          </w:tcPr>
          <w:p w14:paraId="6B78710B" w14:textId="77777777" w:rsidR="00D03C17" w:rsidRDefault="00D03C17">
            <w:pPr>
              <w:framePr w:w="11285" w:h="3571" w:wrap="none" w:hAnchor="page" w:x="635" w:y="404"/>
              <w:rPr>
                <w:sz w:val="10"/>
                <w:szCs w:val="10"/>
              </w:rPr>
            </w:pPr>
          </w:p>
        </w:tc>
      </w:tr>
      <w:tr w:rsidR="00D03C17" w14:paraId="550127F0" w14:textId="77777777">
        <w:tblPrEx>
          <w:tblCellMar>
            <w:top w:w="0" w:type="dxa"/>
            <w:bottom w:w="0" w:type="dxa"/>
          </w:tblCellMar>
        </w:tblPrEx>
        <w:trPr>
          <w:trHeight w:hRule="exact" w:val="197"/>
        </w:trPr>
        <w:tc>
          <w:tcPr>
            <w:tcW w:w="1195" w:type="dxa"/>
            <w:shd w:val="clear" w:color="auto" w:fill="FFFFFF"/>
          </w:tcPr>
          <w:p w14:paraId="37A3E1BA" w14:textId="77777777" w:rsidR="00D03C17" w:rsidRDefault="00D03C17">
            <w:pPr>
              <w:framePr w:w="11285" w:h="3571" w:wrap="none" w:hAnchor="page" w:x="635" w:y="404"/>
              <w:rPr>
                <w:sz w:val="10"/>
                <w:szCs w:val="10"/>
              </w:rPr>
            </w:pPr>
          </w:p>
        </w:tc>
        <w:tc>
          <w:tcPr>
            <w:tcW w:w="2347" w:type="dxa"/>
            <w:shd w:val="clear" w:color="auto" w:fill="FFFFFF"/>
          </w:tcPr>
          <w:p w14:paraId="25176CBF" w14:textId="77777777" w:rsidR="00D03C17" w:rsidRDefault="00D03C17">
            <w:pPr>
              <w:pStyle w:val="Other0"/>
              <w:framePr w:w="11285" w:h="3571" w:wrap="none" w:hAnchor="page" w:x="635" w:y="404"/>
              <w:spacing w:line="240" w:lineRule="auto"/>
              <w:ind w:firstLine="200"/>
              <w:rPr>
                <w:sz w:val="16"/>
                <w:szCs w:val="16"/>
              </w:rPr>
            </w:pPr>
            <w:r>
              <w:rPr>
                <w:rFonts w:ascii="Times New Roman" w:eastAsia="Times New Roman" w:hAnsi="Times New Roman" w:cs="Times New Roman"/>
                <w:sz w:val="16"/>
                <w:szCs w:val="16"/>
              </w:rPr>
              <w:t>Central</w:t>
            </w:r>
          </w:p>
        </w:tc>
        <w:tc>
          <w:tcPr>
            <w:tcW w:w="1248" w:type="dxa"/>
            <w:shd w:val="clear" w:color="auto" w:fill="FFFFFF"/>
          </w:tcPr>
          <w:p w14:paraId="0EB39C81" w14:textId="77777777" w:rsidR="00D03C17" w:rsidRDefault="00D03C17">
            <w:pPr>
              <w:framePr w:w="11285" w:h="3571" w:wrap="none" w:hAnchor="page" w:x="635" w:y="404"/>
              <w:rPr>
                <w:sz w:val="10"/>
                <w:szCs w:val="10"/>
              </w:rPr>
            </w:pPr>
          </w:p>
        </w:tc>
        <w:tc>
          <w:tcPr>
            <w:tcW w:w="1210" w:type="dxa"/>
            <w:shd w:val="clear" w:color="auto" w:fill="FFFFFF"/>
          </w:tcPr>
          <w:p w14:paraId="1B87AE6C" w14:textId="77777777" w:rsidR="00D03C17" w:rsidRDefault="00D03C17">
            <w:pPr>
              <w:framePr w:w="11285" w:h="3571" w:wrap="none" w:hAnchor="page" w:x="635" w:y="404"/>
              <w:rPr>
                <w:sz w:val="10"/>
                <w:szCs w:val="10"/>
              </w:rPr>
            </w:pPr>
          </w:p>
        </w:tc>
        <w:tc>
          <w:tcPr>
            <w:tcW w:w="1205" w:type="dxa"/>
            <w:shd w:val="clear" w:color="auto" w:fill="FFFFFF"/>
          </w:tcPr>
          <w:p w14:paraId="3F3B297F" w14:textId="77777777" w:rsidR="00D03C17" w:rsidRDefault="00D03C17">
            <w:pPr>
              <w:framePr w:w="11285" w:h="3571" w:wrap="none" w:hAnchor="page" w:x="635" w:y="404"/>
              <w:rPr>
                <w:sz w:val="10"/>
                <w:szCs w:val="10"/>
              </w:rPr>
            </w:pPr>
          </w:p>
        </w:tc>
        <w:tc>
          <w:tcPr>
            <w:tcW w:w="1258" w:type="dxa"/>
            <w:shd w:val="clear" w:color="auto" w:fill="FFFFFF"/>
          </w:tcPr>
          <w:p w14:paraId="5BB3B2D2" w14:textId="77777777" w:rsidR="00D03C17" w:rsidRDefault="00D03C17">
            <w:pPr>
              <w:framePr w:w="11285" w:h="3571" w:wrap="none" w:hAnchor="page" w:x="635" w:y="404"/>
              <w:rPr>
                <w:sz w:val="10"/>
                <w:szCs w:val="10"/>
              </w:rPr>
            </w:pPr>
          </w:p>
        </w:tc>
        <w:tc>
          <w:tcPr>
            <w:tcW w:w="1253" w:type="dxa"/>
            <w:shd w:val="clear" w:color="auto" w:fill="FFFFFF"/>
          </w:tcPr>
          <w:p w14:paraId="17DFF949" w14:textId="77777777" w:rsidR="00D03C17" w:rsidRDefault="00D03C17">
            <w:pPr>
              <w:framePr w:w="11285" w:h="3571" w:wrap="none" w:hAnchor="page" w:x="635" w:y="404"/>
              <w:rPr>
                <w:sz w:val="10"/>
                <w:szCs w:val="10"/>
              </w:rPr>
            </w:pPr>
          </w:p>
        </w:tc>
        <w:tc>
          <w:tcPr>
            <w:tcW w:w="1570" w:type="dxa"/>
            <w:shd w:val="clear" w:color="auto" w:fill="FFFFFF"/>
          </w:tcPr>
          <w:p w14:paraId="066B1494" w14:textId="77777777" w:rsidR="00D03C17" w:rsidRDefault="00D03C17">
            <w:pPr>
              <w:framePr w:w="11285" w:h="3571" w:wrap="none" w:hAnchor="page" w:x="635" w:y="404"/>
              <w:rPr>
                <w:sz w:val="10"/>
                <w:szCs w:val="10"/>
              </w:rPr>
            </w:pPr>
          </w:p>
        </w:tc>
      </w:tr>
      <w:tr w:rsidR="00D03C17" w14:paraId="64BABA74" w14:textId="77777777">
        <w:tblPrEx>
          <w:tblCellMar>
            <w:top w:w="0" w:type="dxa"/>
            <w:bottom w:w="0" w:type="dxa"/>
          </w:tblCellMar>
        </w:tblPrEx>
        <w:trPr>
          <w:trHeight w:hRule="exact" w:val="221"/>
        </w:trPr>
        <w:tc>
          <w:tcPr>
            <w:tcW w:w="1195" w:type="dxa"/>
            <w:shd w:val="clear" w:color="auto" w:fill="FFFFFF"/>
            <w:vAlign w:val="bottom"/>
          </w:tcPr>
          <w:p w14:paraId="2866088B" w14:textId="77777777" w:rsidR="00D03C17" w:rsidRDefault="00D03C17">
            <w:pPr>
              <w:pStyle w:val="Other0"/>
              <w:framePr w:w="11285" w:h="3571" w:wrap="none" w:hAnchor="page" w:x="635" w:y="404"/>
              <w:spacing w:line="240" w:lineRule="auto"/>
              <w:ind w:firstLine="0"/>
              <w:rPr>
                <w:sz w:val="16"/>
                <w:szCs w:val="16"/>
              </w:rPr>
            </w:pPr>
            <w:r>
              <w:rPr>
                <w:rFonts w:ascii="Times New Roman" w:eastAsia="Times New Roman" w:hAnsi="Times New Roman" w:cs="Times New Roman"/>
                <w:i/>
                <w:iCs/>
                <w:sz w:val="16"/>
                <w:szCs w:val="16"/>
              </w:rPr>
              <w:t>A ngiostrongylus</w:t>
            </w:r>
          </w:p>
        </w:tc>
        <w:tc>
          <w:tcPr>
            <w:tcW w:w="2347" w:type="dxa"/>
            <w:shd w:val="clear" w:color="auto" w:fill="FFFFFF"/>
            <w:vAlign w:val="bottom"/>
          </w:tcPr>
          <w:p w14:paraId="6D62749D" w14:textId="77777777" w:rsidR="00D03C17" w:rsidRDefault="00D03C17">
            <w:pPr>
              <w:pStyle w:val="Other0"/>
              <w:framePr w:w="11285" w:h="3571" w:wrap="none" w:hAnchor="page" w:x="635" w:y="404"/>
              <w:tabs>
                <w:tab w:val="left" w:pos="1205"/>
              </w:tabs>
              <w:spacing w:line="240" w:lineRule="auto"/>
              <w:ind w:firstLine="0"/>
              <w:rPr>
                <w:sz w:val="16"/>
                <w:szCs w:val="16"/>
              </w:rPr>
            </w:pPr>
            <w:r>
              <w:rPr>
                <w:rFonts w:ascii="Times New Roman" w:eastAsia="Times New Roman" w:hAnsi="Times New Roman" w:cs="Times New Roman"/>
                <w:sz w:val="16"/>
                <w:szCs w:val="16"/>
              </w:rPr>
              <w:t>América</w:t>
            </w:r>
            <w:r>
              <w:rPr>
                <w:rFonts w:ascii="Times New Roman" w:eastAsia="Times New Roman" w:hAnsi="Times New Roman" w:cs="Times New Roman"/>
                <w:sz w:val="16"/>
                <w:szCs w:val="16"/>
              </w:rPr>
              <w:tab/>
              <w:t>Roedores</w:t>
            </w:r>
          </w:p>
        </w:tc>
        <w:tc>
          <w:tcPr>
            <w:tcW w:w="1248" w:type="dxa"/>
            <w:shd w:val="clear" w:color="auto" w:fill="FFFFFF"/>
            <w:vAlign w:val="bottom"/>
          </w:tcPr>
          <w:p w14:paraId="7520AD1C" w14:textId="77777777" w:rsidR="00D03C17" w:rsidRDefault="00D03C17">
            <w:pPr>
              <w:pStyle w:val="Other0"/>
              <w:framePr w:w="11285" w:h="3571" w:wrap="none" w:hAnchor="page" w:x="635" w:y="404"/>
              <w:spacing w:line="240" w:lineRule="auto"/>
              <w:ind w:firstLine="0"/>
              <w:rPr>
                <w:sz w:val="16"/>
                <w:szCs w:val="16"/>
              </w:rPr>
            </w:pPr>
            <w:r>
              <w:rPr>
                <w:rFonts w:ascii="Times New Roman" w:eastAsia="Times New Roman" w:hAnsi="Times New Roman" w:cs="Times New Roman"/>
                <w:sz w:val="16"/>
                <w:szCs w:val="16"/>
              </w:rPr>
              <w:t>Babosas y</w:t>
            </w:r>
          </w:p>
        </w:tc>
        <w:tc>
          <w:tcPr>
            <w:tcW w:w="1210" w:type="dxa"/>
            <w:shd w:val="clear" w:color="auto" w:fill="FFFFFF"/>
            <w:vAlign w:val="bottom"/>
          </w:tcPr>
          <w:p w14:paraId="019DF19A" w14:textId="77777777" w:rsidR="00D03C17" w:rsidRDefault="00D03C17">
            <w:pPr>
              <w:pStyle w:val="Other0"/>
              <w:framePr w:w="11285" w:h="3571" w:wrap="none" w:hAnchor="page" w:x="635" w:y="404"/>
              <w:spacing w:line="240" w:lineRule="auto"/>
              <w:ind w:firstLine="0"/>
              <w:rPr>
                <w:sz w:val="16"/>
                <w:szCs w:val="16"/>
              </w:rPr>
            </w:pPr>
            <w:r>
              <w:rPr>
                <w:rFonts w:ascii="Times New Roman" w:eastAsia="Times New Roman" w:hAnsi="Times New Roman" w:cs="Times New Roman"/>
                <w:sz w:val="16"/>
                <w:szCs w:val="16"/>
              </w:rPr>
              <w:t>Consumo de</w:t>
            </w:r>
          </w:p>
        </w:tc>
        <w:tc>
          <w:tcPr>
            <w:tcW w:w="1205" w:type="dxa"/>
            <w:shd w:val="clear" w:color="auto" w:fill="FFFFFF"/>
            <w:vAlign w:val="bottom"/>
          </w:tcPr>
          <w:p w14:paraId="234A601D" w14:textId="77777777" w:rsidR="00D03C17" w:rsidRDefault="00D03C17">
            <w:pPr>
              <w:pStyle w:val="Other0"/>
              <w:framePr w:w="11285" w:h="3571" w:wrap="none" w:hAnchor="page" w:x="635" w:y="404"/>
              <w:spacing w:line="240" w:lineRule="auto"/>
              <w:ind w:firstLine="0"/>
              <w:rPr>
                <w:sz w:val="16"/>
                <w:szCs w:val="16"/>
              </w:rPr>
            </w:pPr>
            <w:r>
              <w:rPr>
                <w:rFonts w:ascii="Times New Roman" w:eastAsia="Times New Roman" w:hAnsi="Times New Roman" w:cs="Times New Roman"/>
                <w:sz w:val="16"/>
                <w:szCs w:val="16"/>
              </w:rPr>
              <w:t>No</w:t>
            </w:r>
          </w:p>
        </w:tc>
        <w:tc>
          <w:tcPr>
            <w:tcW w:w="1258" w:type="dxa"/>
            <w:shd w:val="clear" w:color="auto" w:fill="FFFFFF"/>
            <w:vAlign w:val="bottom"/>
          </w:tcPr>
          <w:p w14:paraId="7755F0BB" w14:textId="77777777" w:rsidR="00D03C17" w:rsidRDefault="00D03C17">
            <w:pPr>
              <w:pStyle w:val="Other0"/>
              <w:framePr w:w="11285" w:h="3571" w:wrap="none" w:hAnchor="page" w:x="635" w:y="404"/>
              <w:spacing w:line="240" w:lineRule="auto"/>
              <w:ind w:firstLine="0"/>
              <w:rPr>
                <w:sz w:val="16"/>
                <w:szCs w:val="16"/>
              </w:rPr>
            </w:pPr>
            <w:r>
              <w:rPr>
                <w:rFonts w:ascii="Times New Roman" w:eastAsia="Times New Roman" w:hAnsi="Times New Roman" w:cs="Times New Roman"/>
                <w:sz w:val="16"/>
                <w:szCs w:val="16"/>
              </w:rPr>
              <w:t>Difusión en gel;</w:t>
            </w:r>
          </w:p>
        </w:tc>
        <w:tc>
          <w:tcPr>
            <w:tcW w:w="1253" w:type="dxa"/>
            <w:shd w:val="clear" w:color="auto" w:fill="FFFFFF"/>
            <w:vAlign w:val="bottom"/>
          </w:tcPr>
          <w:p w14:paraId="3701241E" w14:textId="77777777" w:rsidR="00D03C17" w:rsidRDefault="00D03C17">
            <w:pPr>
              <w:pStyle w:val="Other0"/>
              <w:framePr w:w="11285" w:h="3571" w:wrap="none" w:hAnchor="page" w:x="635" w:y="404"/>
              <w:spacing w:line="240" w:lineRule="auto"/>
              <w:ind w:firstLine="0"/>
              <w:rPr>
                <w:sz w:val="16"/>
                <w:szCs w:val="16"/>
              </w:rPr>
            </w:pPr>
            <w:r>
              <w:rPr>
                <w:rFonts w:ascii="Times New Roman" w:eastAsia="Times New Roman" w:hAnsi="Times New Roman" w:cs="Times New Roman"/>
                <w:sz w:val="16"/>
                <w:szCs w:val="16"/>
              </w:rPr>
              <w:t>Larvas del</w:t>
            </w:r>
          </w:p>
        </w:tc>
        <w:tc>
          <w:tcPr>
            <w:tcW w:w="1570" w:type="dxa"/>
            <w:shd w:val="clear" w:color="auto" w:fill="FFFFFF"/>
            <w:vAlign w:val="bottom"/>
          </w:tcPr>
          <w:p w14:paraId="41D35D9A" w14:textId="77777777" w:rsidR="00D03C17" w:rsidRDefault="00D03C17">
            <w:pPr>
              <w:pStyle w:val="Other0"/>
              <w:framePr w:w="11285" w:h="3571" w:wrap="none" w:hAnchor="page" w:x="635" w:y="404"/>
              <w:spacing w:line="240" w:lineRule="auto"/>
              <w:ind w:firstLine="0"/>
              <w:rPr>
                <w:sz w:val="16"/>
                <w:szCs w:val="16"/>
              </w:rPr>
            </w:pPr>
            <w:r>
              <w:rPr>
                <w:rFonts w:ascii="Times New Roman" w:eastAsia="Times New Roman" w:hAnsi="Times New Roman" w:cs="Times New Roman"/>
                <w:sz w:val="16"/>
                <w:szCs w:val="16"/>
              </w:rPr>
              <w:t>Dolor abdominal,</w:t>
            </w:r>
          </w:p>
        </w:tc>
      </w:tr>
      <w:tr w:rsidR="00D03C17" w14:paraId="4946101D" w14:textId="77777777">
        <w:tblPrEx>
          <w:tblCellMar>
            <w:top w:w="0" w:type="dxa"/>
            <w:bottom w:w="0" w:type="dxa"/>
          </w:tblCellMar>
        </w:tblPrEx>
        <w:trPr>
          <w:trHeight w:hRule="exact" w:val="202"/>
        </w:trPr>
        <w:tc>
          <w:tcPr>
            <w:tcW w:w="1195" w:type="dxa"/>
            <w:shd w:val="clear" w:color="auto" w:fill="FFFFFF"/>
            <w:vAlign w:val="bottom"/>
          </w:tcPr>
          <w:p w14:paraId="6A8FE85A" w14:textId="77777777" w:rsidR="00D03C17" w:rsidRDefault="00D03C17">
            <w:pPr>
              <w:pStyle w:val="Other0"/>
              <w:framePr w:w="11285" w:h="3571" w:wrap="none" w:hAnchor="page" w:x="635" w:y="404"/>
              <w:spacing w:line="240" w:lineRule="auto"/>
              <w:ind w:firstLine="160"/>
              <w:rPr>
                <w:sz w:val="16"/>
                <w:szCs w:val="16"/>
              </w:rPr>
            </w:pPr>
            <w:r>
              <w:rPr>
                <w:rFonts w:ascii="Times New Roman" w:eastAsia="Times New Roman" w:hAnsi="Times New Roman" w:cs="Times New Roman"/>
                <w:i/>
                <w:iCs/>
                <w:sz w:val="16"/>
                <w:szCs w:val="16"/>
              </w:rPr>
              <w:t>costaricensis</w:t>
            </w:r>
          </w:p>
        </w:tc>
        <w:tc>
          <w:tcPr>
            <w:tcW w:w="2347" w:type="dxa"/>
            <w:shd w:val="clear" w:color="auto" w:fill="FFFFFF"/>
            <w:vAlign w:val="bottom"/>
          </w:tcPr>
          <w:p w14:paraId="2DD1BA56" w14:textId="77777777" w:rsidR="00D03C17" w:rsidRDefault="00D03C17">
            <w:pPr>
              <w:pStyle w:val="Other0"/>
              <w:framePr w:w="11285" w:h="3571" w:wrap="none" w:hAnchor="page" w:x="635" w:y="404"/>
              <w:spacing w:line="240" w:lineRule="auto"/>
              <w:ind w:firstLine="200"/>
              <w:rPr>
                <w:sz w:val="16"/>
                <w:szCs w:val="16"/>
              </w:rPr>
            </w:pPr>
            <w:r>
              <w:rPr>
                <w:rFonts w:ascii="Times New Roman" w:eastAsia="Times New Roman" w:hAnsi="Times New Roman" w:cs="Times New Roman"/>
                <w:sz w:val="16"/>
                <w:szCs w:val="16"/>
              </w:rPr>
              <w:t>Central</w:t>
            </w:r>
          </w:p>
        </w:tc>
        <w:tc>
          <w:tcPr>
            <w:tcW w:w="1248" w:type="dxa"/>
            <w:shd w:val="clear" w:color="auto" w:fill="FFFFFF"/>
            <w:vAlign w:val="bottom"/>
          </w:tcPr>
          <w:p w14:paraId="61E62F76" w14:textId="77777777" w:rsidR="00D03C17" w:rsidRDefault="00D03C17">
            <w:pPr>
              <w:pStyle w:val="Other0"/>
              <w:framePr w:w="11285" w:h="3571" w:wrap="none" w:hAnchor="page" w:x="635" w:y="404"/>
              <w:spacing w:line="240" w:lineRule="auto"/>
              <w:ind w:firstLine="180"/>
              <w:rPr>
                <w:sz w:val="16"/>
                <w:szCs w:val="16"/>
              </w:rPr>
            </w:pPr>
            <w:r>
              <w:rPr>
                <w:rFonts w:ascii="Times New Roman" w:eastAsia="Times New Roman" w:hAnsi="Times New Roman" w:cs="Times New Roman"/>
                <w:sz w:val="16"/>
                <w:szCs w:val="16"/>
              </w:rPr>
              <w:t>caracoles</w:t>
            </w:r>
          </w:p>
        </w:tc>
        <w:tc>
          <w:tcPr>
            <w:tcW w:w="1210" w:type="dxa"/>
            <w:shd w:val="clear" w:color="auto" w:fill="FFFFFF"/>
            <w:vAlign w:val="bottom"/>
          </w:tcPr>
          <w:p w14:paraId="56B7A0E0" w14:textId="77777777" w:rsidR="00D03C17" w:rsidRDefault="00D03C17">
            <w:pPr>
              <w:pStyle w:val="Other0"/>
              <w:framePr w:w="11285" w:h="3571" w:wrap="none" w:hAnchor="page" w:x="635" w:y="404"/>
              <w:spacing w:line="240" w:lineRule="auto"/>
              <w:ind w:firstLine="180"/>
              <w:rPr>
                <w:sz w:val="16"/>
                <w:szCs w:val="16"/>
              </w:rPr>
            </w:pPr>
            <w:r>
              <w:rPr>
                <w:rFonts w:ascii="Times New Roman" w:eastAsia="Times New Roman" w:hAnsi="Times New Roman" w:cs="Times New Roman"/>
                <w:sz w:val="16"/>
                <w:szCs w:val="16"/>
              </w:rPr>
              <w:t>moluscos</w:t>
            </w:r>
          </w:p>
        </w:tc>
        <w:tc>
          <w:tcPr>
            <w:tcW w:w="1205" w:type="dxa"/>
            <w:shd w:val="clear" w:color="auto" w:fill="FFFFFF"/>
          </w:tcPr>
          <w:p w14:paraId="5DA39780" w14:textId="77777777" w:rsidR="00D03C17" w:rsidRDefault="00D03C17">
            <w:pPr>
              <w:framePr w:w="11285" w:h="3571" w:wrap="none" w:hAnchor="page" w:x="635" w:y="404"/>
              <w:rPr>
                <w:sz w:val="10"/>
                <w:szCs w:val="10"/>
              </w:rPr>
            </w:pPr>
          </w:p>
        </w:tc>
        <w:tc>
          <w:tcPr>
            <w:tcW w:w="1258" w:type="dxa"/>
            <w:shd w:val="clear" w:color="auto" w:fill="FFFFFF"/>
            <w:vAlign w:val="bottom"/>
          </w:tcPr>
          <w:p w14:paraId="67F7F971" w14:textId="77777777" w:rsidR="00D03C17" w:rsidRDefault="00D03C17">
            <w:pPr>
              <w:pStyle w:val="Other0"/>
              <w:framePr w:w="11285" w:h="3571" w:wrap="none" w:hAnchor="page" w:x="635" w:y="404"/>
              <w:spacing w:line="240" w:lineRule="auto"/>
              <w:ind w:firstLine="200"/>
              <w:rPr>
                <w:sz w:val="16"/>
                <w:szCs w:val="16"/>
              </w:rPr>
            </w:pPr>
            <w:r>
              <w:rPr>
                <w:rFonts w:ascii="Times New Roman" w:eastAsia="Times New Roman" w:hAnsi="Times New Roman" w:cs="Times New Roman"/>
                <w:sz w:val="16"/>
                <w:szCs w:val="16"/>
              </w:rPr>
              <w:t>identificación</w:t>
            </w:r>
          </w:p>
        </w:tc>
        <w:tc>
          <w:tcPr>
            <w:tcW w:w="1253" w:type="dxa"/>
            <w:shd w:val="clear" w:color="auto" w:fill="FFFFFF"/>
            <w:vAlign w:val="bottom"/>
          </w:tcPr>
          <w:p w14:paraId="2F294C21" w14:textId="77777777" w:rsidR="00D03C17" w:rsidRDefault="00D03C17">
            <w:pPr>
              <w:pStyle w:val="Other0"/>
              <w:framePr w:w="11285" w:h="3571" w:wrap="none" w:hAnchor="page" w:x="635" w:y="404"/>
              <w:spacing w:line="240" w:lineRule="auto"/>
              <w:ind w:firstLine="140"/>
              <w:rPr>
                <w:sz w:val="16"/>
                <w:szCs w:val="16"/>
              </w:rPr>
            </w:pPr>
            <w:r>
              <w:rPr>
                <w:rFonts w:ascii="Times New Roman" w:eastAsia="Times New Roman" w:hAnsi="Times New Roman" w:cs="Times New Roman"/>
                <w:sz w:val="16"/>
                <w:szCs w:val="16"/>
              </w:rPr>
              <w:t>verme</w:t>
            </w:r>
          </w:p>
        </w:tc>
        <w:tc>
          <w:tcPr>
            <w:tcW w:w="1570" w:type="dxa"/>
            <w:shd w:val="clear" w:color="auto" w:fill="FFFFFF"/>
            <w:vAlign w:val="bottom"/>
          </w:tcPr>
          <w:p w14:paraId="5E5A4CED" w14:textId="77777777" w:rsidR="00D03C17" w:rsidRDefault="00D03C17">
            <w:pPr>
              <w:pStyle w:val="Other0"/>
              <w:framePr w:w="11285" w:h="3571" w:wrap="none" w:hAnchor="page" w:x="635" w:y="404"/>
              <w:spacing w:line="240" w:lineRule="auto"/>
              <w:ind w:firstLine="140"/>
              <w:rPr>
                <w:sz w:val="16"/>
                <w:szCs w:val="16"/>
              </w:rPr>
            </w:pPr>
            <w:r>
              <w:rPr>
                <w:rFonts w:ascii="Times New Roman" w:eastAsia="Times New Roman" w:hAnsi="Times New Roman" w:cs="Times New Roman"/>
                <w:sz w:val="16"/>
                <w:szCs w:val="16"/>
              </w:rPr>
              <w:t>eosinofilia</w:t>
            </w:r>
          </w:p>
        </w:tc>
      </w:tr>
    </w:tbl>
    <w:p w14:paraId="1FE51795" w14:textId="77777777" w:rsidR="00D03C17" w:rsidRDefault="00D03C17">
      <w:pPr>
        <w:framePr w:w="11285" w:h="3571" w:wrap="none" w:hAnchor="page" w:x="635" w:y="404"/>
        <w:spacing w:line="1" w:lineRule="exact"/>
      </w:pPr>
    </w:p>
    <w:p w14:paraId="32C669F3" w14:textId="77777777" w:rsidR="00D03C17" w:rsidRDefault="00D03C17">
      <w:pPr>
        <w:pStyle w:val="Bodytext20"/>
        <w:framePr w:w="6802" w:h="1723" w:wrap="none" w:hAnchor="page" w:x="2017" w:y="3999"/>
        <w:tabs>
          <w:tab w:val="left" w:pos="3581"/>
          <w:tab w:val="left" w:pos="6010"/>
        </w:tabs>
      </w:pPr>
      <w:r>
        <w:t>y del Sur</w:t>
      </w:r>
      <w:r>
        <w:tab/>
        <w:t>infectados</w:t>
      </w:r>
      <w:r>
        <w:tab/>
        <w:t>de larvas y</w:t>
      </w:r>
    </w:p>
    <w:p w14:paraId="00DB5950" w14:textId="77777777" w:rsidR="00D03C17" w:rsidRDefault="00D03C17">
      <w:pPr>
        <w:pStyle w:val="Bodytext20"/>
        <w:framePr w:w="6802" w:h="1723" w:wrap="none" w:hAnchor="page" w:x="2017" w:y="3999"/>
        <w:tabs>
          <w:tab w:val="left" w:pos="5995"/>
        </w:tabs>
        <w:ind w:left="3600"/>
      </w:pPr>
      <w:r>
        <w:t>malcocidos o</w:t>
      </w:r>
      <w:r>
        <w:tab/>
        <w:t>huevos en</w:t>
      </w:r>
    </w:p>
    <w:p w14:paraId="79FDF0DB" w14:textId="77777777" w:rsidR="00D03C17" w:rsidRDefault="00D03C17">
      <w:pPr>
        <w:pStyle w:val="Bodytext20"/>
        <w:framePr w:w="6802" w:h="1723" w:wrap="none" w:hAnchor="page" w:x="2017" w:y="3999"/>
        <w:tabs>
          <w:tab w:val="left" w:pos="6000"/>
        </w:tabs>
        <w:ind w:left="3600"/>
      </w:pPr>
      <w:r>
        <w:t>alimentos</w:t>
      </w:r>
      <w:r>
        <w:tab/>
        <w:t>tejidos</w:t>
      </w:r>
    </w:p>
    <w:p w14:paraId="1E0DF481" w14:textId="77777777" w:rsidR="00D03C17" w:rsidRDefault="00D03C17">
      <w:pPr>
        <w:pStyle w:val="Bodytext20"/>
        <w:framePr w:w="6802" w:h="1723" w:wrap="none" w:hAnchor="page" w:x="2017" w:y="3999"/>
        <w:ind w:left="3600"/>
      </w:pPr>
      <w:r>
        <w:t>contaminados</w:t>
      </w:r>
    </w:p>
    <w:p w14:paraId="1869A9F2" w14:textId="77777777" w:rsidR="00D03C17" w:rsidRDefault="00D03C17">
      <w:pPr>
        <w:pStyle w:val="Bodytext20"/>
        <w:framePr w:w="6802" w:h="1723" w:wrap="none" w:hAnchor="page" w:x="2017" w:y="3999"/>
        <w:ind w:left="3600"/>
      </w:pPr>
      <w:r>
        <w:t>por las secreciones de moluscos que contienen larvas</w:t>
      </w:r>
    </w:p>
    <w:tbl>
      <w:tblPr>
        <w:tblOverlap w:val="never"/>
        <w:tblW w:w="0" w:type="auto"/>
        <w:tblLayout w:type="fixed"/>
        <w:tblCellMar>
          <w:left w:w="10" w:type="dxa"/>
          <w:right w:w="10" w:type="dxa"/>
        </w:tblCellMar>
        <w:tblLook w:val="04A0" w:firstRow="1" w:lastRow="0" w:firstColumn="1" w:lastColumn="0" w:noHBand="0" w:noVBand="1"/>
      </w:tblPr>
      <w:tblGrid>
        <w:gridCol w:w="1032"/>
        <w:gridCol w:w="2371"/>
        <w:gridCol w:w="3398"/>
        <w:gridCol w:w="2890"/>
        <w:gridCol w:w="1219"/>
      </w:tblGrid>
      <w:tr w:rsidR="00D03C17" w14:paraId="64C687CC" w14:textId="77777777">
        <w:tblPrEx>
          <w:tblCellMar>
            <w:top w:w="0" w:type="dxa"/>
            <w:bottom w:w="0" w:type="dxa"/>
          </w:tblCellMar>
        </w:tblPrEx>
        <w:trPr>
          <w:trHeight w:hRule="exact" w:val="206"/>
        </w:trPr>
        <w:tc>
          <w:tcPr>
            <w:tcW w:w="1032" w:type="dxa"/>
            <w:shd w:val="clear" w:color="auto" w:fill="FFFFFF"/>
          </w:tcPr>
          <w:p w14:paraId="28A95B6B" w14:textId="77777777" w:rsidR="00D03C17" w:rsidRDefault="00D03C17">
            <w:pPr>
              <w:pStyle w:val="Other0"/>
              <w:framePr w:w="10910" w:h="883" w:vSpace="427" w:wrap="none" w:hAnchor="page" w:x="668" w:y="5727"/>
              <w:spacing w:line="240" w:lineRule="auto"/>
              <w:ind w:firstLine="0"/>
              <w:rPr>
                <w:sz w:val="16"/>
                <w:szCs w:val="16"/>
              </w:rPr>
            </w:pPr>
            <w:r>
              <w:rPr>
                <w:rFonts w:ascii="Times New Roman" w:eastAsia="Times New Roman" w:hAnsi="Times New Roman" w:cs="Times New Roman"/>
                <w:sz w:val="16"/>
                <w:szCs w:val="16"/>
              </w:rPr>
              <w:t>Anisakiasis</w:t>
            </w:r>
          </w:p>
        </w:tc>
        <w:tc>
          <w:tcPr>
            <w:tcW w:w="2371" w:type="dxa"/>
            <w:shd w:val="clear" w:color="auto" w:fill="FFFFFF"/>
          </w:tcPr>
          <w:p w14:paraId="0424DBAF" w14:textId="77777777" w:rsidR="00D03C17" w:rsidRDefault="00D03C17">
            <w:pPr>
              <w:pStyle w:val="Other0"/>
              <w:framePr w:w="10910" w:h="883" w:vSpace="427" w:wrap="none" w:hAnchor="page" w:x="668" w:y="5727"/>
              <w:spacing w:line="240" w:lineRule="auto"/>
              <w:ind w:firstLine="240"/>
              <w:rPr>
                <w:sz w:val="16"/>
                <w:szCs w:val="16"/>
              </w:rPr>
            </w:pPr>
            <w:r>
              <w:rPr>
                <w:rFonts w:ascii="Times New Roman" w:eastAsia="Times New Roman" w:hAnsi="Times New Roman" w:cs="Times New Roman"/>
                <w:sz w:val="16"/>
                <w:szCs w:val="16"/>
              </w:rPr>
              <w:t>Cosmopolita, Mamíferos</w:t>
            </w:r>
          </w:p>
        </w:tc>
        <w:tc>
          <w:tcPr>
            <w:tcW w:w="3398" w:type="dxa"/>
            <w:shd w:val="clear" w:color="auto" w:fill="FFFFFF"/>
          </w:tcPr>
          <w:p w14:paraId="150C8AD0" w14:textId="77777777" w:rsidR="00D03C17" w:rsidRDefault="00D03C17">
            <w:pPr>
              <w:pStyle w:val="Other0"/>
              <w:framePr w:w="10910" w:h="883" w:vSpace="427" w:wrap="none" w:hAnchor="page" w:x="668" w:y="5727"/>
              <w:tabs>
                <w:tab w:val="left" w:pos="2666"/>
              </w:tabs>
              <w:spacing w:line="240" w:lineRule="auto"/>
              <w:ind w:firstLine="180"/>
              <w:rPr>
                <w:sz w:val="16"/>
                <w:szCs w:val="16"/>
              </w:rPr>
            </w:pPr>
            <w:r>
              <w:rPr>
                <w:rFonts w:ascii="Times New Roman" w:eastAsia="Times New Roman" w:hAnsi="Times New Roman" w:cs="Times New Roman"/>
                <w:sz w:val="16"/>
                <w:szCs w:val="16"/>
              </w:rPr>
              <w:t>Algunos peces Consumo de</w:t>
            </w:r>
            <w:r>
              <w:rPr>
                <w:rFonts w:ascii="Times New Roman" w:eastAsia="Times New Roman" w:hAnsi="Times New Roman" w:cs="Times New Roman"/>
                <w:sz w:val="16"/>
                <w:szCs w:val="16"/>
              </w:rPr>
              <w:tab/>
              <w:t>No</w:t>
            </w:r>
          </w:p>
        </w:tc>
        <w:tc>
          <w:tcPr>
            <w:tcW w:w="2890" w:type="dxa"/>
            <w:shd w:val="clear" w:color="auto" w:fill="FFFFFF"/>
          </w:tcPr>
          <w:p w14:paraId="1D3616EB" w14:textId="77777777" w:rsidR="00D03C17" w:rsidRDefault="00D03C17">
            <w:pPr>
              <w:pStyle w:val="Other0"/>
              <w:framePr w:w="10910" w:h="883" w:vSpace="427" w:wrap="none" w:hAnchor="page" w:x="668" w:y="5727"/>
              <w:spacing w:line="240" w:lineRule="auto"/>
              <w:ind w:firstLine="480"/>
              <w:jc w:val="both"/>
              <w:rPr>
                <w:sz w:val="16"/>
                <w:szCs w:val="16"/>
              </w:rPr>
            </w:pPr>
            <w:r>
              <w:rPr>
                <w:rFonts w:ascii="Times New Roman" w:eastAsia="Times New Roman" w:hAnsi="Times New Roman" w:cs="Times New Roman"/>
                <w:sz w:val="16"/>
                <w:szCs w:val="16"/>
              </w:rPr>
              <w:t>Identificación Larvas del verme</w:t>
            </w:r>
          </w:p>
        </w:tc>
        <w:tc>
          <w:tcPr>
            <w:tcW w:w="1219" w:type="dxa"/>
            <w:shd w:val="clear" w:color="auto" w:fill="FFFFFF"/>
          </w:tcPr>
          <w:p w14:paraId="3F1A088B" w14:textId="77777777" w:rsidR="00D03C17" w:rsidRDefault="00D03C17">
            <w:pPr>
              <w:pStyle w:val="Other0"/>
              <w:framePr w:w="10910" w:h="883" w:vSpace="427" w:wrap="none" w:hAnchor="page" w:x="668" w:y="5727"/>
              <w:spacing w:line="240" w:lineRule="auto"/>
              <w:ind w:firstLine="0"/>
              <w:rPr>
                <w:sz w:val="16"/>
                <w:szCs w:val="16"/>
              </w:rPr>
            </w:pPr>
            <w:r>
              <w:rPr>
                <w:rFonts w:ascii="Times New Roman" w:eastAsia="Times New Roman" w:hAnsi="Times New Roman" w:cs="Times New Roman"/>
                <w:sz w:val="16"/>
                <w:szCs w:val="16"/>
              </w:rPr>
              <w:t>Enfermedad</w:t>
            </w:r>
          </w:p>
        </w:tc>
      </w:tr>
      <w:tr w:rsidR="00D03C17" w14:paraId="3A51F8AE" w14:textId="77777777">
        <w:tblPrEx>
          <w:tblCellMar>
            <w:top w:w="0" w:type="dxa"/>
            <w:bottom w:w="0" w:type="dxa"/>
          </w:tblCellMar>
        </w:tblPrEx>
        <w:trPr>
          <w:trHeight w:hRule="exact" w:val="230"/>
        </w:trPr>
        <w:tc>
          <w:tcPr>
            <w:tcW w:w="1032" w:type="dxa"/>
            <w:shd w:val="clear" w:color="auto" w:fill="FFFFFF"/>
          </w:tcPr>
          <w:p w14:paraId="2F548C01" w14:textId="77777777" w:rsidR="00D03C17" w:rsidRDefault="00D03C17">
            <w:pPr>
              <w:framePr w:w="10910" w:h="883" w:vSpace="427" w:wrap="none" w:hAnchor="page" w:x="668" w:y="5727"/>
              <w:rPr>
                <w:sz w:val="10"/>
                <w:szCs w:val="10"/>
              </w:rPr>
            </w:pPr>
          </w:p>
        </w:tc>
        <w:tc>
          <w:tcPr>
            <w:tcW w:w="2371" w:type="dxa"/>
            <w:shd w:val="clear" w:color="auto" w:fill="FFFFFF"/>
            <w:vAlign w:val="bottom"/>
          </w:tcPr>
          <w:p w14:paraId="598BD59B" w14:textId="77777777" w:rsidR="00D03C17" w:rsidRDefault="00D03C17">
            <w:pPr>
              <w:pStyle w:val="Other0"/>
              <w:framePr w:w="10910" w:h="883" w:vSpace="427" w:wrap="none" w:hAnchor="page" w:x="668" w:y="5727"/>
              <w:spacing w:line="240" w:lineRule="auto"/>
              <w:ind w:firstLine="340"/>
              <w:rPr>
                <w:sz w:val="16"/>
                <w:szCs w:val="16"/>
              </w:rPr>
            </w:pPr>
            <w:r>
              <w:rPr>
                <w:rFonts w:ascii="Times New Roman" w:eastAsia="Times New Roman" w:hAnsi="Times New Roman" w:cs="Times New Roman"/>
                <w:sz w:val="16"/>
                <w:szCs w:val="16"/>
              </w:rPr>
              <w:t>principalmente marinos</w:t>
            </w:r>
          </w:p>
        </w:tc>
        <w:tc>
          <w:tcPr>
            <w:tcW w:w="3398" w:type="dxa"/>
            <w:shd w:val="clear" w:color="auto" w:fill="FFFFFF"/>
            <w:vAlign w:val="bottom"/>
          </w:tcPr>
          <w:p w14:paraId="648E93F1" w14:textId="77777777" w:rsidR="00D03C17" w:rsidRDefault="00D03C17">
            <w:pPr>
              <w:pStyle w:val="Other0"/>
              <w:framePr w:w="10910" w:h="883" w:vSpace="427" w:wrap="none" w:hAnchor="page" w:x="668" w:y="5727"/>
              <w:spacing w:line="240" w:lineRule="auto"/>
              <w:ind w:firstLine="300"/>
              <w:rPr>
                <w:sz w:val="16"/>
                <w:szCs w:val="16"/>
              </w:rPr>
            </w:pPr>
            <w:r>
              <w:rPr>
                <w:rFonts w:ascii="Times New Roman" w:eastAsia="Times New Roman" w:hAnsi="Times New Roman" w:cs="Times New Roman"/>
                <w:sz w:val="16"/>
                <w:szCs w:val="16"/>
              </w:rPr>
              <w:t>de agua salada, peces infectados</w:t>
            </w:r>
          </w:p>
        </w:tc>
        <w:tc>
          <w:tcPr>
            <w:tcW w:w="2890" w:type="dxa"/>
            <w:shd w:val="clear" w:color="auto" w:fill="FFFFFF"/>
            <w:vAlign w:val="bottom"/>
          </w:tcPr>
          <w:p w14:paraId="4CCE6F53" w14:textId="77777777" w:rsidR="00D03C17" w:rsidRDefault="00D03C17">
            <w:pPr>
              <w:pStyle w:val="Other0"/>
              <w:framePr w:w="10910" w:h="883" w:vSpace="427" w:wrap="none" w:hAnchor="page" w:x="668" w:y="5727"/>
              <w:spacing w:line="240" w:lineRule="auto"/>
              <w:ind w:firstLine="580"/>
              <w:jc w:val="both"/>
              <w:rPr>
                <w:sz w:val="16"/>
                <w:szCs w:val="16"/>
              </w:rPr>
            </w:pPr>
            <w:r>
              <w:rPr>
                <w:rFonts w:ascii="Times New Roman" w:eastAsia="Times New Roman" w:hAnsi="Times New Roman" w:cs="Times New Roman"/>
                <w:sz w:val="16"/>
                <w:szCs w:val="16"/>
              </w:rPr>
              <w:t>de larvas</w:t>
            </w:r>
          </w:p>
        </w:tc>
        <w:tc>
          <w:tcPr>
            <w:tcW w:w="1219" w:type="dxa"/>
            <w:shd w:val="clear" w:color="auto" w:fill="FFFFFF"/>
            <w:vAlign w:val="bottom"/>
          </w:tcPr>
          <w:p w14:paraId="269196C6" w14:textId="77777777" w:rsidR="00D03C17" w:rsidRDefault="00D03C17">
            <w:pPr>
              <w:pStyle w:val="Other0"/>
              <w:framePr w:w="10910" w:h="883" w:vSpace="427" w:wrap="none" w:hAnchor="page" w:x="668" w:y="5727"/>
              <w:spacing w:line="240" w:lineRule="auto"/>
              <w:ind w:firstLine="140"/>
              <w:rPr>
                <w:sz w:val="16"/>
                <w:szCs w:val="16"/>
              </w:rPr>
            </w:pPr>
            <w:r>
              <w:rPr>
                <w:rFonts w:ascii="Times New Roman" w:eastAsia="Times New Roman" w:hAnsi="Times New Roman" w:cs="Times New Roman"/>
                <w:sz w:val="16"/>
                <w:szCs w:val="16"/>
              </w:rPr>
              <w:t>gastrointestinal</w:t>
            </w:r>
          </w:p>
        </w:tc>
      </w:tr>
      <w:tr w:rsidR="00D03C17" w14:paraId="4D8BAFD4" w14:textId="77777777">
        <w:tblPrEx>
          <w:tblCellMar>
            <w:top w:w="0" w:type="dxa"/>
            <w:bottom w:w="0" w:type="dxa"/>
          </w:tblCellMar>
        </w:tblPrEx>
        <w:trPr>
          <w:trHeight w:hRule="exact" w:val="216"/>
        </w:trPr>
        <w:tc>
          <w:tcPr>
            <w:tcW w:w="1032" w:type="dxa"/>
            <w:shd w:val="clear" w:color="auto" w:fill="FFFFFF"/>
          </w:tcPr>
          <w:p w14:paraId="75BE0160" w14:textId="77777777" w:rsidR="00D03C17" w:rsidRDefault="00D03C17">
            <w:pPr>
              <w:framePr w:w="10910" w:h="883" w:vSpace="427" w:wrap="none" w:hAnchor="page" w:x="668" w:y="5727"/>
              <w:rPr>
                <w:sz w:val="10"/>
                <w:szCs w:val="10"/>
              </w:rPr>
            </w:pPr>
          </w:p>
        </w:tc>
        <w:tc>
          <w:tcPr>
            <w:tcW w:w="2371" w:type="dxa"/>
            <w:shd w:val="clear" w:color="auto" w:fill="FFFFFF"/>
            <w:vAlign w:val="bottom"/>
          </w:tcPr>
          <w:p w14:paraId="1547BBBC" w14:textId="77777777" w:rsidR="00D03C17" w:rsidRDefault="00D03C17">
            <w:pPr>
              <w:pStyle w:val="Other0"/>
              <w:framePr w:w="10910" w:h="883" w:vSpace="427" w:wrap="none" w:hAnchor="page" w:x="668" w:y="5727"/>
              <w:spacing w:line="240" w:lineRule="auto"/>
              <w:ind w:firstLine="340"/>
              <w:rPr>
                <w:sz w:val="16"/>
                <w:szCs w:val="16"/>
              </w:rPr>
            </w:pPr>
            <w:r>
              <w:rPr>
                <w:rFonts w:ascii="Times New Roman" w:eastAsia="Times New Roman" w:hAnsi="Times New Roman" w:cs="Times New Roman"/>
                <w:sz w:val="16"/>
                <w:szCs w:val="16"/>
              </w:rPr>
              <w:t>Japón</w:t>
            </w:r>
          </w:p>
        </w:tc>
        <w:tc>
          <w:tcPr>
            <w:tcW w:w="3398" w:type="dxa"/>
            <w:shd w:val="clear" w:color="auto" w:fill="FFFFFF"/>
            <w:vAlign w:val="bottom"/>
          </w:tcPr>
          <w:p w14:paraId="7BF9D883" w14:textId="77777777" w:rsidR="00D03C17" w:rsidRDefault="00D03C17">
            <w:pPr>
              <w:pStyle w:val="Other0"/>
              <w:framePr w:w="10910" w:h="883" w:vSpace="427" w:wrap="none" w:hAnchor="page" w:x="668" w:y="5727"/>
              <w:tabs>
                <w:tab w:val="left" w:pos="1538"/>
              </w:tabs>
              <w:spacing w:line="240" w:lineRule="auto"/>
              <w:ind w:firstLine="300"/>
              <w:rPr>
                <w:sz w:val="16"/>
                <w:szCs w:val="16"/>
              </w:rPr>
            </w:pPr>
            <w:r>
              <w:rPr>
                <w:rFonts w:ascii="Times New Roman" w:eastAsia="Times New Roman" w:hAnsi="Times New Roman" w:cs="Times New Roman"/>
                <w:sz w:val="16"/>
                <w:szCs w:val="16"/>
              </w:rPr>
              <w:t>calamares y</w:t>
            </w:r>
            <w:r>
              <w:rPr>
                <w:rFonts w:ascii="Times New Roman" w:eastAsia="Times New Roman" w:hAnsi="Times New Roman" w:cs="Times New Roman"/>
                <w:sz w:val="16"/>
                <w:szCs w:val="16"/>
              </w:rPr>
              <w:tab/>
              <w:t>y crudos</w:t>
            </w:r>
          </w:p>
        </w:tc>
        <w:tc>
          <w:tcPr>
            <w:tcW w:w="2890" w:type="dxa"/>
            <w:shd w:val="clear" w:color="auto" w:fill="FFFFFF"/>
            <w:vAlign w:val="bottom"/>
          </w:tcPr>
          <w:p w14:paraId="3AF402CA" w14:textId="77777777" w:rsidR="00D03C17" w:rsidRDefault="00D03C17">
            <w:pPr>
              <w:pStyle w:val="Other0"/>
              <w:framePr w:w="10910" w:h="883" w:vSpace="427" w:wrap="none" w:hAnchor="page" w:x="668" w:y="5727"/>
              <w:spacing w:line="240" w:lineRule="auto"/>
              <w:ind w:firstLine="580"/>
              <w:jc w:val="both"/>
              <w:rPr>
                <w:sz w:val="16"/>
                <w:szCs w:val="16"/>
              </w:rPr>
            </w:pPr>
            <w:r>
              <w:rPr>
                <w:rFonts w:ascii="Times New Roman" w:eastAsia="Times New Roman" w:hAnsi="Times New Roman" w:cs="Times New Roman"/>
                <w:sz w:val="16"/>
                <w:szCs w:val="16"/>
              </w:rPr>
              <w:t>recuperadas en</w:t>
            </w:r>
          </w:p>
        </w:tc>
        <w:tc>
          <w:tcPr>
            <w:tcW w:w="1219" w:type="dxa"/>
            <w:shd w:val="clear" w:color="auto" w:fill="FFFFFF"/>
            <w:vAlign w:val="bottom"/>
          </w:tcPr>
          <w:p w14:paraId="3E1BDA1F" w14:textId="77777777" w:rsidR="00D03C17" w:rsidRDefault="00D03C17">
            <w:pPr>
              <w:pStyle w:val="Other0"/>
              <w:framePr w:w="10910" w:h="883" w:vSpace="427" w:wrap="none" w:hAnchor="page" w:x="668" w:y="5727"/>
              <w:spacing w:line="240" w:lineRule="auto"/>
              <w:ind w:firstLine="140"/>
              <w:rPr>
                <w:sz w:val="16"/>
                <w:szCs w:val="16"/>
              </w:rPr>
            </w:pPr>
            <w:r>
              <w:rPr>
                <w:rFonts w:ascii="Times New Roman" w:eastAsia="Times New Roman" w:hAnsi="Times New Roman" w:cs="Times New Roman"/>
                <w:sz w:val="16"/>
                <w:szCs w:val="16"/>
              </w:rPr>
              <w:t>aguda</w:t>
            </w:r>
          </w:p>
        </w:tc>
      </w:tr>
      <w:tr w:rsidR="00D03C17" w14:paraId="0AF18D77" w14:textId="77777777">
        <w:tblPrEx>
          <w:tblCellMar>
            <w:top w:w="0" w:type="dxa"/>
            <w:bottom w:w="0" w:type="dxa"/>
          </w:tblCellMar>
        </w:tblPrEx>
        <w:trPr>
          <w:trHeight w:hRule="exact" w:val="230"/>
        </w:trPr>
        <w:tc>
          <w:tcPr>
            <w:tcW w:w="1032" w:type="dxa"/>
            <w:shd w:val="clear" w:color="auto" w:fill="FFFFFF"/>
          </w:tcPr>
          <w:p w14:paraId="02E52652" w14:textId="77777777" w:rsidR="00D03C17" w:rsidRDefault="00D03C17">
            <w:pPr>
              <w:framePr w:w="10910" w:h="883" w:vSpace="427" w:wrap="none" w:hAnchor="page" w:x="668" w:y="5727"/>
              <w:rPr>
                <w:sz w:val="10"/>
                <w:szCs w:val="10"/>
              </w:rPr>
            </w:pPr>
          </w:p>
        </w:tc>
        <w:tc>
          <w:tcPr>
            <w:tcW w:w="2371" w:type="dxa"/>
            <w:shd w:val="clear" w:color="auto" w:fill="FFFFFF"/>
          </w:tcPr>
          <w:p w14:paraId="2BFBC426" w14:textId="77777777" w:rsidR="00D03C17" w:rsidRDefault="00D03C17">
            <w:pPr>
              <w:framePr w:w="10910" w:h="883" w:vSpace="427" w:wrap="none" w:hAnchor="page" w:x="668" w:y="5727"/>
              <w:rPr>
                <w:sz w:val="10"/>
                <w:szCs w:val="10"/>
              </w:rPr>
            </w:pPr>
          </w:p>
        </w:tc>
        <w:tc>
          <w:tcPr>
            <w:tcW w:w="3398" w:type="dxa"/>
            <w:shd w:val="clear" w:color="auto" w:fill="FFFFFF"/>
          </w:tcPr>
          <w:p w14:paraId="74A0ADA9" w14:textId="77777777" w:rsidR="00D03C17" w:rsidRDefault="00D03C17">
            <w:pPr>
              <w:pStyle w:val="Other0"/>
              <w:framePr w:w="10910" w:h="883" w:vSpace="427" w:wrap="none" w:hAnchor="page" w:x="668" w:y="5727"/>
              <w:spacing w:line="240" w:lineRule="auto"/>
              <w:ind w:firstLine="300"/>
              <w:rPr>
                <w:sz w:val="16"/>
                <w:szCs w:val="16"/>
              </w:rPr>
            </w:pPr>
            <w:r>
              <w:rPr>
                <w:rFonts w:ascii="Times New Roman" w:eastAsia="Times New Roman" w:hAnsi="Times New Roman" w:cs="Times New Roman"/>
                <w:sz w:val="16"/>
                <w:szCs w:val="16"/>
              </w:rPr>
              <w:t>pulpos</w:t>
            </w:r>
          </w:p>
        </w:tc>
        <w:tc>
          <w:tcPr>
            <w:tcW w:w="2890" w:type="dxa"/>
            <w:shd w:val="clear" w:color="auto" w:fill="FFFFFF"/>
          </w:tcPr>
          <w:p w14:paraId="533324A7" w14:textId="77777777" w:rsidR="00D03C17" w:rsidRDefault="00D03C17">
            <w:pPr>
              <w:pStyle w:val="Other0"/>
              <w:framePr w:w="10910" w:h="883" w:vSpace="427" w:wrap="none" w:hAnchor="page" w:x="668" w:y="5727"/>
              <w:spacing w:line="240" w:lineRule="auto"/>
              <w:ind w:firstLine="580"/>
              <w:jc w:val="both"/>
              <w:rPr>
                <w:sz w:val="16"/>
                <w:szCs w:val="16"/>
              </w:rPr>
            </w:pPr>
            <w:r>
              <w:rPr>
                <w:rFonts w:ascii="Times New Roman" w:eastAsia="Times New Roman" w:hAnsi="Times New Roman" w:cs="Times New Roman"/>
                <w:sz w:val="16"/>
                <w:szCs w:val="16"/>
              </w:rPr>
              <w:t>granulomas o</w:t>
            </w:r>
          </w:p>
        </w:tc>
        <w:tc>
          <w:tcPr>
            <w:tcW w:w="1219" w:type="dxa"/>
            <w:shd w:val="clear" w:color="auto" w:fill="FFFFFF"/>
          </w:tcPr>
          <w:p w14:paraId="6C120909" w14:textId="77777777" w:rsidR="00D03C17" w:rsidRDefault="00D03C17">
            <w:pPr>
              <w:framePr w:w="10910" w:h="883" w:vSpace="427" w:wrap="none" w:hAnchor="page" w:x="668" w:y="5727"/>
              <w:rPr>
                <w:sz w:val="10"/>
                <w:szCs w:val="10"/>
              </w:rPr>
            </w:pPr>
          </w:p>
        </w:tc>
      </w:tr>
    </w:tbl>
    <w:p w14:paraId="6FCCD6FC" w14:textId="77777777" w:rsidR="00D03C17" w:rsidRDefault="00D03C17">
      <w:pPr>
        <w:framePr w:w="10910" w:h="883" w:vSpace="427" w:wrap="none" w:hAnchor="page" w:x="668" w:y="5727"/>
        <w:spacing w:line="1" w:lineRule="exact"/>
      </w:pPr>
    </w:p>
    <w:p w14:paraId="206069B3" w14:textId="77777777" w:rsidR="00D03C17" w:rsidRDefault="00D03C17">
      <w:pPr>
        <w:pStyle w:val="Tablecaption0"/>
        <w:framePr w:w="821" w:h="221" w:wrap="none" w:hAnchor="page" w:x="8036" w:y="6591"/>
        <w:spacing w:line="240" w:lineRule="auto"/>
        <w:ind w:left="0"/>
        <w:rPr>
          <w:sz w:val="16"/>
          <w:szCs w:val="16"/>
        </w:rPr>
      </w:pPr>
      <w:r>
        <w:rPr>
          <w:sz w:val="16"/>
          <w:szCs w:val="16"/>
        </w:rPr>
        <w:t>material de</w:t>
      </w:r>
    </w:p>
    <w:p w14:paraId="2DC3BE16" w14:textId="77777777" w:rsidR="00D03C17" w:rsidRDefault="00D03C17">
      <w:pPr>
        <w:pStyle w:val="Tablecaption0"/>
        <w:framePr w:w="610" w:h="221" w:wrap="none" w:hAnchor="page" w:x="8026" w:y="6817"/>
        <w:spacing w:line="240" w:lineRule="auto"/>
        <w:ind w:left="0"/>
        <w:rPr>
          <w:sz w:val="16"/>
          <w:szCs w:val="16"/>
        </w:rPr>
      </w:pPr>
      <w:r>
        <w:rPr>
          <w:sz w:val="16"/>
          <w:szCs w:val="16"/>
        </w:rPr>
        <w:t>vómitos</w:t>
      </w:r>
    </w:p>
    <w:p w14:paraId="49602576" w14:textId="77777777" w:rsidR="00D03C17" w:rsidRDefault="00D03C17">
      <w:pPr>
        <w:pStyle w:val="Bodytext20"/>
        <w:framePr w:w="701" w:h="245" w:wrap="none" w:hAnchor="page" w:x="11372" w:y="6918"/>
        <w:spacing w:line="240" w:lineRule="auto"/>
        <w:jc w:val="right"/>
      </w:pPr>
      <w:r>
        <w:rPr>
          <w:i/>
          <w:iCs/>
        </w:rPr>
        <w:t>continúa</w:t>
      </w:r>
    </w:p>
    <w:p w14:paraId="088A070C" w14:textId="77777777" w:rsidR="00D03C17" w:rsidRDefault="00D03C17">
      <w:pPr>
        <w:pStyle w:val="Bodytext80"/>
        <w:framePr w:w="168" w:h="3902" w:hRule="exact" w:wrap="none" w:hAnchor="page" w:x="12390" w:y="3011"/>
        <w:tabs>
          <w:tab w:val="left" w:pos="3586"/>
        </w:tabs>
        <w:textDirection w:val="tbRl"/>
        <w:rPr>
          <w:sz w:val="16"/>
          <w:szCs w:val="16"/>
        </w:rPr>
      </w:pPr>
      <w:r>
        <w:t>PARASITOSIS</w:t>
      </w:r>
      <w:r>
        <w:tab/>
      </w:r>
      <w:r>
        <w:rPr>
          <w:sz w:val="16"/>
          <w:szCs w:val="16"/>
        </w:rPr>
        <w:t>529</w:t>
      </w:r>
    </w:p>
    <w:p w14:paraId="323D0F68" w14:textId="77777777" w:rsidR="00D03C17" w:rsidRDefault="00D03C17">
      <w:pPr>
        <w:spacing w:line="360" w:lineRule="exact"/>
      </w:pPr>
    </w:p>
    <w:p w14:paraId="6B84DD86" w14:textId="77777777" w:rsidR="00D03C17" w:rsidRDefault="00D03C17">
      <w:pPr>
        <w:spacing w:line="360" w:lineRule="exact"/>
      </w:pPr>
    </w:p>
    <w:p w14:paraId="6333483A" w14:textId="77777777" w:rsidR="00D03C17" w:rsidRDefault="00D03C17">
      <w:pPr>
        <w:spacing w:line="360" w:lineRule="exact"/>
      </w:pPr>
    </w:p>
    <w:p w14:paraId="4166BE4C" w14:textId="77777777" w:rsidR="00D03C17" w:rsidRDefault="00D03C17">
      <w:pPr>
        <w:spacing w:line="360" w:lineRule="exact"/>
      </w:pPr>
    </w:p>
    <w:p w14:paraId="1D9F52A9" w14:textId="77777777" w:rsidR="00D03C17" w:rsidRDefault="00D03C17">
      <w:pPr>
        <w:spacing w:line="360" w:lineRule="exact"/>
      </w:pPr>
    </w:p>
    <w:p w14:paraId="0432EA33" w14:textId="77777777" w:rsidR="00D03C17" w:rsidRDefault="00D03C17">
      <w:pPr>
        <w:spacing w:line="360" w:lineRule="exact"/>
      </w:pPr>
    </w:p>
    <w:p w14:paraId="304F60F9" w14:textId="77777777" w:rsidR="00D03C17" w:rsidRDefault="00D03C17">
      <w:pPr>
        <w:spacing w:line="360" w:lineRule="exact"/>
      </w:pPr>
    </w:p>
    <w:p w14:paraId="7047FE01" w14:textId="77777777" w:rsidR="00D03C17" w:rsidRDefault="00D03C17">
      <w:pPr>
        <w:spacing w:line="360" w:lineRule="exact"/>
      </w:pPr>
    </w:p>
    <w:p w14:paraId="14E86C7E" w14:textId="77777777" w:rsidR="00D03C17" w:rsidRDefault="00D03C17">
      <w:pPr>
        <w:spacing w:line="360" w:lineRule="exact"/>
      </w:pPr>
    </w:p>
    <w:p w14:paraId="3396E8A1" w14:textId="77777777" w:rsidR="00D03C17" w:rsidRDefault="00D03C17">
      <w:pPr>
        <w:spacing w:line="360" w:lineRule="exact"/>
      </w:pPr>
    </w:p>
    <w:p w14:paraId="3F672D93" w14:textId="77777777" w:rsidR="00D03C17" w:rsidRDefault="00D03C17">
      <w:pPr>
        <w:spacing w:line="360" w:lineRule="exact"/>
      </w:pPr>
    </w:p>
    <w:p w14:paraId="744C2602" w14:textId="77777777" w:rsidR="00D03C17" w:rsidRDefault="00D03C17">
      <w:pPr>
        <w:spacing w:line="360" w:lineRule="exact"/>
      </w:pPr>
    </w:p>
    <w:p w14:paraId="285B111D" w14:textId="77777777" w:rsidR="00D03C17" w:rsidRDefault="00D03C17">
      <w:pPr>
        <w:spacing w:line="360" w:lineRule="exact"/>
      </w:pPr>
    </w:p>
    <w:p w14:paraId="48AC5F13" w14:textId="77777777" w:rsidR="00D03C17" w:rsidRDefault="00D03C17">
      <w:pPr>
        <w:spacing w:line="360" w:lineRule="exact"/>
      </w:pPr>
    </w:p>
    <w:p w14:paraId="17C83811" w14:textId="77777777" w:rsidR="00D03C17" w:rsidRDefault="00D03C17">
      <w:pPr>
        <w:spacing w:line="360" w:lineRule="exact"/>
      </w:pPr>
    </w:p>
    <w:p w14:paraId="771BA7AF" w14:textId="77777777" w:rsidR="00D03C17" w:rsidRDefault="00D03C17">
      <w:pPr>
        <w:spacing w:line="360" w:lineRule="exact"/>
      </w:pPr>
    </w:p>
    <w:p w14:paraId="7AFCD7A9" w14:textId="77777777" w:rsidR="00D03C17" w:rsidRDefault="00D03C17">
      <w:pPr>
        <w:spacing w:line="360" w:lineRule="exact"/>
      </w:pPr>
    </w:p>
    <w:p w14:paraId="50EA6E99" w14:textId="77777777" w:rsidR="00D03C17" w:rsidRDefault="00D03C17">
      <w:pPr>
        <w:spacing w:line="360" w:lineRule="exact"/>
      </w:pPr>
    </w:p>
    <w:p w14:paraId="4CA1B554" w14:textId="77777777" w:rsidR="00D03C17" w:rsidRDefault="00D03C17">
      <w:pPr>
        <w:spacing w:after="681" w:line="1" w:lineRule="exact"/>
      </w:pPr>
    </w:p>
    <w:p w14:paraId="72B637DF" w14:textId="77777777" w:rsidR="00D03C17" w:rsidRDefault="00D03C17">
      <w:pPr>
        <w:spacing w:line="1" w:lineRule="exact"/>
        <w:sectPr w:rsidR="00D03C17" w:rsidSect="00D03C17">
          <w:headerReference w:type="even" r:id="rId71"/>
          <w:headerReference w:type="default" r:id="rId72"/>
          <w:footerReference w:type="even" r:id="rId73"/>
          <w:footerReference w:type="default" r:id="rId74"/>
          <w:footnotePr>
            <w:numFmt w:val="chicago"/>
          </w:footnotePr>
          <w:pgSz w:w="13022" w:h="8501" w:orient="landscape"/>
          <w:pgMar w:top="1085" w:right="466" w:bottom="55" w:left="634" w:header="657" w:footer="3" w:gutter="0"/>
          <w:pgNumType w:start="581"/>
          <w:cols w:space="720"/>
          <w:noEndnote/>
          <w:docGrid w:linePitch="360"/>
          <w15:footnoteColumns w:val="1"/>
        </w:sectPr>
      </w:pPr>
    </w:p>
    <w:p w14:paraId="538A567A" w14:textId="77777777" w:rsidR="00D03C17" w:rsidRDefault="00D03C17">
      <w:pPr>
        <w:pStyle w:val="Heading31"/>
        <w:keepNext/>
        <w:keepLines/>
        <w:framePr w:w="4440" w:h="322" w:wrap="none" w:hAnchor="page" w:x="4124" w:y="1"/>
        <w:rPr>
          <w:sz w:val="16"/>
          <w:szCs w:val="16"/>
        </w:rPr>
      </w:pPr>
      <w:bookmarkStart w:id="52" w:name="bookmark1078"/>
      <w:bookmarkStart w:id="53" w:name="bookmark1079"/>
      <w:bookmarkStart w:id="54" w:name="bookmark1080"/>
      <w:r>
        <w:rPr>
          <w:b w:val="0"/>
          <w:bCs w:val="0"/>
        </w:rPr>
        <w:t xml:space="preserve">Cuadro 3-52. </w:t>
      </w:r>
      <w:r>
        <w:t>Parasitosis adicionales</w:t>
      </w:r>
      <w:r>
        <w:rPr>
          <w:vertAlign w:val="superscript"/>
        </w:rPr>
        <w:t>1</w:t>
      </w:r>
      <w:r>
        <w:t xml:space="preserve"> </w:t>
      </w:r>
      <w:r>
        <w:rPr>
          <w:rFonts w:ascii="Times New Roman" w:eastAsia="Times New Roman" w:hAnsi="Times New Roman" w:cs="Times New Roman"/>
          <w:b w:val="0"/>
          <w:bCs w:val="0"/>
          <w:i/>
          <w:iCs/>
          <w:w w:val="100"/>
          <w:sz w:val="16"/>
          <w:szCs w:val="16"/>
        </w:rPr>
        <w:t>coitinuación</w:t>
      </w:r>
      <w:bookmarkEnd w:id="52"/>
      <w:bookmarkEnd w:id="53"/>
      <w:bookmarkEnd w:id="54"/>
    </w:p>
    <w:tbl>
      <w:tblPr>
        <w:tblOverlap w:val="never"/>
        <w:tblW w:w="0" w:type="auto"/>
        <w:tblLayout w:type="fixed"/>
        <w:tblCellMar>
          <w:left w:w="10" w:type="dxa"/>
          <w:right w:w="10" w:type="dxa"/>
        </w:tblCellMar>
        <w:tblLook w:val="04A0" w:firstRow="1" w:lastRow="0" w:firstColumn="1" w:lastColumn="0" w:noHBand="0" w:noVBand="1"/>
      </w:tblPr>
      <w:tblGrid>
        <w:gridCol w:w="1267"/>
        <w:gridCol w:w="1176"/>
        <w:gridCol w:w="1133"/>
        <w:gridCol w:w="1248"/>
        <w:gridCol w:w="1243"/>
        <w:gridCol w:w="1138"/>
        <w:gridCol w:w="1258"/>
        <w:gridCol w:w="1248"/>
        <w:gridCol w:w="1704"/>
      </w:tblGrid>
      <w:tr w:rsidR="00D03C17" w14:paraId="77E6F5BB" w14:textId="77777777">
        <w:tblPrEx>
          <w:tblCellMar>
            <w:top w:w="0" w:type="dxa"/>
            <w:bottom w:w="0" w:type="dxa"/>
          </w:tblCellMar>
        </w:tblPrEx>
        <w:trPr>
          <w:trHeight w:hRule="exact" w:val="1363"/>
        </w:trPr>
        <w:tc>
          <w:tcPr>
            <w:tcW w:w="1267" w:type="dxa"/>
            <w:shd w:val="clear" w:color="auto" w:fill="231F20"/>
          </w:tcPr>
          <w:p w14:paraId="7D2478E2" w14:textId="77777777" w:rsidR="00D03C17" w:rsidRDefault="00D03C17">
            <w:pPr>
              <w:pStyle w:val="Other0"/>
              <w:framePr w:w="11414" w:h="5323" w:vSpace="883" w:wrap="none" w:hAnchor="page" w:x="635" w:y="419"/>
              <w:pBdr>
                <w:top w:val="single" w:sz="0" w:space="0" w:color="231F20"/>
                <w:left w:val="single" w:sz="0" w:space="0" w:color="231F20"/>
                <w:bottom w:val="single" w:sz="0" w:space="0" w:color="231F20"/>
                <w:right w:val="single" w:sz="0" w:space="0" w:color="231F20"/>
              </w:pBdr>
              <w:shd w:val="clear" w:color="auto" w:fill="231F20"/>
              <w:spacing w:line="209" w:lineRule="auto"/>
              <w:ind w:firstLine="0"/>
              <w:rPr>
                <w:sz w:val="24"/>
                <w:szCs w:val="24"/>
              </w:rPr>
            </w:pPr>
            <w:r>
              <w:rPr>
                <w:rFonts w:ascii="Arial" w:eastAsia="Arial" w:hAnsi="Arial" w:cs="Arial"/>
                <w:b/>
                <w:bCs/>
                <w:color w:val="FFFFFF"/>
                <w:w w:val="70"/>
                <w:sz w:val="24"/>
                <w:szCs w:val="24"/>
              </w:rPr>
              <w:t>Enfermedad, agente o ambos</w:t>
            </w:r>
          </w:p>
        </w:tc>
        <w:tc>
          <w:tcPr>
            <w:tcW w:w="1176" w:type="dxa"/>
            <w:shd w:val="clear" w:color="auto" w:fill="231F20"/>
          </w:tcPr>
          <w:p w14:paraId="7B3E6BE3" w14:textId="77777777" w:rsidR="00D03C17" w:rsidRDefault="00D03C17">
            <w:pPr>
              <w:pStyle w:val="Other0"/>
              <w:framePr w:w="11414" w:h="5323" w:vSpace="883" w:wrap="none" w:hAnchor="page" w:x="635" w:y="419"/>
              <w:pBdr>
                <w:top w:val="single" w:sz="0" w:space="0" w:color="231F20"/>
                <w:left w:val="single" w:sz="0" w:space="0" w:color="231F20"/>
                <w:bottom w:val="single" w:sz="0" w:space="0" w:color="231F20"/>
                <w:right w:val="single" w:sz="0" w:space="0" w:color="231F20"/>
              </w:pBdr>
              <w:shd w:val="clear" w:color="auto" w:fill="231F20"/>
              <w:spacing w:line="209" w:lineRule="auto"/>
              <w:ind w:firstLine="0"/>
              <w:rPr>
                <w:sz w:val="24"/>
                <w:szCs w:val="24"/>
              </w:rPr>
            </w:pPr>
            <w:r>
              <w:rPr>
                <w:rFonts w:ascii="Arial" w:eastAsia="Arial" w:hAnsi="Arial" w:cs="Arial"/>
                <w:b/>
                <w:bCs/>
                <w:color w:val="FFFFFF"/>
                <w:w w:val="70"/>
                <w:sz w:val="24"/>
                <w:szCs w:val="24"/>
              </w:rPr>
              <w:t>Sitio en que se puede adquirir la infección</w:t>
            </w:r>
          </w:p>
        </w:tc>
        <w:tc>
          <w:tcPr>
            <w:tcW w:w="1133" w:type="dxa"/>
            <w:shd w:val="clear" w:color="auto" w:fill="231F20"/>
          </w:tcPr>
          <w:p w14:paraId="24BDD1FC" w14:textId="77777777" w:rsidR="00D03C17" w:rsidRDefault="00D03C17">
            <w:pPr>
              <w:pStyle w:val="Other0"/>
              <w:framePr w:w="11414" w:h="5323" w:vSpace="883" w:wrap="none" w:hAnchor="page" w:x="635" w:y="419"/>
              <w:pBdr>
                <w:top w:val="single" w:sz="0" w:space="0" w:color="231F20"/>
                <w:left w:val="single" w:sz="0" w:space="0" w:color="231F20"/>
                <w:bottom w:val="single" w:sz="0" w:space="0" w:color="231F20"/>
                <w:right w:val="single" w:sz="0" w:space="0" w:color="231F20"/>
              </w:pBdr>
              <w:shd w:val="clear" w:color="auto" w:fill="231F20"/>
              <w:spacing w:line="209" w:lineRule="auto"/>
              <w:ind w:firstLine="0"/>
              <w:rPr>
                <w:sz w:val="24"/>
                <w:szCs w:val="24"/>
              </w:rPr>
            </w:pPr>
            <w:r>
              <w:rPr>
                <w:rFonts w:ascii="Arial" w:eastAsia="Arial" w:hAnsi="Arial" w:cs="Arial"/>
                <w:b/>
                <w:bCs/>
                <w:color w:val="FFFFFF"/>
                <w:w w:val="70"/>
                <w:sz w:val="24"/>
                <w:szCs w:val="24"/>
              </w:rPr>
              <w:t>Hospedador definitivo</w:t>
            </w:r>
          </w:p>
        </w:tc>
        <w:tc>
          <w:tcPr>
            <w:tcW w:w="1248" w:type="dxa"/>
            <w:shd w:val="clear" w:color="auto" w:fill="231F20"/>
          </w:tcPr>
          <w:p w14:paraId="212D8764" w14:textId="77777777" w:rsidR="00D03C17" w:rsidRDefault="00D03C17">
            <w:pPr>
              <w:pStyle w:val="Other0"/>
              <w:framePr w:w="11414" w:h="5323" w:vSpace="883" w:wrap="none" w:hAnchor="page" w:x="635" w:y="419"/>
              <w:pBdr>
                <w:top w:val="single" w:sz="0" w:space="0" w:color="231F20"/>
                <w:left w:val="single" w:sz="0" w:space="0" w:color="231F20"/>
                <w:bottom w:val="single" w:sz="0" w:space="0" w:color="231F20"/>
                <w:right w:val="single" w:sz="0" w:space="0" w:color="231F20"/>
              </w:pBdr>
              <w:shd w:val="clear" w:color="auto" w:fill="231F20"/>
              <w:spacing w:line="209" w:lineRule="auto"/>
              <w:ind w:firstLine="0"/>
              <w:rPr>
                <w:sz w:val="24"/>
                <w:szCs w:val="24"/>
              </w:rPr>
            </w:pPr>
            <w:r>
              <w:rPr>
                <w:rFonts w:ascii="Arial" w:eastAsia="Arial" w:hAnsi="Arial" w:cs="Arial"/>
                <w:b/>
                <w:bCs/>
                <w:color w:val="FFFFFF"/>
                <w:w w:val="70"/>
                <w:sz w:val="24"/>
                <w:szCs w:val="24"/>
              </w:rPr>
              <w:t>Hospedador intermediario</w:t>
            </w:r>
          </w:p>
        </w:tc>
        <w:tc>
          <w:tcPr>
            <w:tcW w:w="1243" w:type="dxa"/>
            <w:shd w:val="clear" w:color="auto" w:fill="231F20"/>
          </w:tcPr>
          <w:p w14:paraId="6AAFCECF" w14:textId="77777777" w:rsidR="00D03C17" w:rsidRDefault="00D03C17">
            <w:pPr>
              <w:pStyle w:val="Other0"/>
              <w:framePr w:w="11414" w:h="5323" w:vSpace="883" w:wrap="none" w:hAnchor="page" w:x="635" w:y="419"/>
              <w:pBdr>
                <w:top w:val="single" w:sz="0" w:space="0" w:color="231F20"/>
                <w:left w:val="single" w:sz="0" w:space="0" w:color="231F20"/>
                <w:bottom w:val="single" w:sz="0" w:space="0" w:color="231F20"/>
                <w:right w:val="single" w:sz="0" w:space="0" w:color="231F20"/>
              </w:pBdr>
              <w:shd w:val="clear" w:color="auto" w:fill="231F20"/>
              <w:spacing w:line="209" w:lineRule="auto"/>
              <w:ind w:firstLine="0"/>
              <w:rPr>
                <w:sz w:val="24"/>
                <w:szCs w:val="24"/>
              </w:rPr>
            </w:pPr>
            <w:r>
              <w:rPr>
                <w:rFonts w:ascii="Arial" w:eastAsia="Arial" w:hAnsi="Arial" w:cs="Arial"/>
                <w:b/>
                <w:bCs/>
                <w:color w:val="FFFFFF"/>
                <w:w w:val="70"/>
                <w:sz w:val="24"/>
                <w:szCs w:val="24"/>
              </w:rPr>
              <w:t>Mecanismos de infección de seres humanos</w:t>
            </w:r>
          </w:p>
        </w:tc>
        <w:tc>
          <w:tcPr>
            <w:tcW w:w="1138" w:type="dxa"/>
            <w:shd w:val="clear" w:color="auto" w:fill="231F20"/>
          </w:tcPr>
          <w:p w14:paraId="759DBFFA" w14:textId="77777777" w:rsidR="00D03C17" w:rsidRDefault="00D03C17">
            <w:pPr>
              <w:pStyle w:val="Other0"/>
              <w:framePr w:w="11414" w:h="5323" w:vSpace="883" w:wrap="none" w:hAnchor="page" w:x="635" w:y="419"/>
              <w:pBdr>
                <w:top w:val="single" w:sz="0" w:space="0" w:color="231F20"/>
                <w:left w:val="single" w:sz="0" w:space="0" w:color="231F20"/>
                <w:bottom w:val="single" w:sz="0" w:space="0" w:color="231F20"/>
                <w:right w:val="single" w:sz="0" w:space="0" w:color="231F20"/>
              </w:pBdr>
              <w:shd w:val="clear" w:color="auto" w:fill="231F20"/>
              <w:spacing w:line="209" w:lineRule="auto"/>
              <w:ind w:firstLine="0"/>
              <w:rPr>
                <w:sz w:val="24"/>
                <w:szCs w:val="24"/>
              </w:rPr>
            </w:pPr>
            <w:r>
              <w:rPr>
                <w:rFonts w:ascii="Arial" w:eastAsia="Arial" w:hAnsi="Arial" w:cs="Arial"/>
                <w:b/>
                <w:bCs/>
                <w:color w:val="FFFFFF"/>
                <w:w w:val="70"/>
                <w:sz w:val="24"/>
                <w:szCs w:val="24"/>
              </w:rPr>
              <w:t>Transmisión directa (persona a persona)</w:t>
            </w:r>
          </w:p>
        </w:tc>
        <w:tc>
          <w:tcPr>
            <w:tcW w:w="1258" w:type="dxa"/>
            <w:shd w:val="clear" w:color="auto" w:fill="231F20"/>
          </w:tcPr>
          <w:p w14:paraId="3FDABF6C" w14:textId="77777777" w:rsidR="00D03C17" w:rsidRDefault="00D03C17">
            <w:pPr>
              <w:pStyle w:val="Other0"/>
              <w:framePr w:w="11414" w:h="5323" w:vSpace="883" w:wrap="none" w:hAnchor="page" w:x="635" w:y="419"/>
              <w:pBdr>
                <w:top w:val="single" w:sz="0" w:space="0" w:color="231F20"/>
                <w:left w:val="single" w:sz="0" w:space="0" w:color="231F20"/>
                <w:bottom w:val="single" w:sz="0" w:space="0" w:color="231F20"/>
                <w:right w:val="single" w:sz="0" w:space="0" w:color="231F20"/>
              </w:pBdr>
              <w:shd w:val="clear" w:color="auto" w:fill="231F20"/>
              <w:spacing w:line="209" w:lineRule="auto"/>
              <w:ind w:firstLine="0"/>
              <w:rPr>
                <w:sz w:val="24"/>
                <w:szCs w:val="24"/>
              </w:rPr>
            </w:pPr>
            <w:r>
              <w:rPr>
                <w:rFonts w:ascii="Arial" w:eastAsia="Arial" w:hAnsi="Arial" w:cs="Arial"/>
                <w:b/>
                <w:bCs/>
                <w:color w:val="FFFFFF"/>
                <w:w w:val="70"/>
                <w:sz w:val="24"/>
                <w:szCs w:val="24"/>
              </w:rPr>
              <w:t>Métodos de laboratorio diagnóstico en seres humanos</w:t>
            </w:r>
          </w:p>
        </w:tc>
        <w:tc>
          <w:tcPr>
            <w:tcW w:w="1248" w:type="dxa"/>
            <w:shd w:val="clear" w:color="auto" w:fill="231F20"/>
          </w:tcPr>
          <w:p w14:paraId="45EE77C3" w14:textId="77777777" w:rsidR="00D03C17" w:rsidRDefault="00D03C17">
            <w:pPr>
              <w:pStyle w:val="Other0"/>
              <w:framePr w:w="11414" w:h="5323" w:vSpace="883" w:wrap="none" w:hAnchor="page" w:x="635" w:y="419"/>
              <w:pBdr>
                <w:top w:val="single" w:sz="0" w:space="0" w:color="231F20"/>
                <w:left w:val="single" w:sz="0" w:space="0" w:color="231F20"/>
                <w:bottom w:val="single" w:sz="0" w:space="0" w:color="231F20"/>
                <w:right w:val="single" w:sz="0" w:space="0" w:color="231F20"/>
              </w:pBdr>
              <w:shd w:val="clear" w:color="auto" w:fill="231F20"/>
              <w:spacing w:line="214" w:lineRule="auto"/>
              <w:ind w:firstLine="0"/>
              <w:rPr>
                <w:sz w:val="24"/>
                <w:szCs w:val="24"/>
              </w:rPr>
            </w:pPr>
            <w:r>
              <w:rPr>
                <w:rFonts w:ascii="Arial" w:eastAsia="Arial" w:hAnsi="Arial" w:cs="Arial"/>
                <w:b/>
                <w:bCs/>
                <w:color w:val="FFFFFF"/>
                <w:w w:val="70"/>
                <w:sz w:val="24"/>
                <w:szCs w:val="24"/>
              </w:rPr>
              <w:t>Forma causal del parásito</w:t>
            </w:r>
          </w:p>
        </w:tc>
        <w:tc>
          <w:tcPr>
            <w:tcW w:w="1704" w:type="dxa"/>
            <w:shd w:val="clear" w:color="auto" w:fill="231F20"/>
          </w:tcPr>
          <w:p w14:paraId="68755266" w14:textId="77777777" w:rsidR="00D03C17" w:rsidRDefault="00D03C17">
            <w:pPr>
              <w:pStyle w:val="Other0"/>
              <w:framePr w:w="11414" w:h="5323" w:vSpace="883" w:wrap="none" w:hAnchor="page" w:x="635" w:y="419"/>
              <w:pBdr>
                <w:top w:val="single" w:sz="0" w:space="0" w:color="231F20"/>
                <w:left w:val="single" w:sz="0" w:space="0" w:color="231F20"/>
                <w:bottom w:val="single" w:sz="0" w:space="0" w:color="231F20"/>
                <w:right w:val="single" w:sz="0" w:space="0" w:color="231F20"/>
              </w:pBdr>
              <w:shd w:val="clear" w:color="auto" w:fill="231F20"/>
              <w:spacing w:line="209" w:lineRule="auto"/>
              <w:ind w:firstLine="0"/>
              <w:rPr>
                <w:sz w:val="24"/>
                <w:szCs w:val="24"/>
              </w:rPr>
            </w:pPr>
            <w:r>
              <w:rPr>
                <w:rFonts w:ascii="Arial" w:eastAsia="Arial" w:hAnsi="Arial" w:cs="Arial"/>
                <w:b/>
                <w:bCs/>
                <w:color w:val="FFFFFF"/>
                <w:w w:val="70"/>
                <w:sz w:val="24"/>
                <w:szCs w:val="24"/>
              </w:rPr>
              <w:t>Manifestaciones en seres humanos</w:t>
            </w:r>
          </w:p>
        </w:tc>
      </w:tr>
      <w:tr w:rsidR="00D03C17" w14:paraId="696EB5A8" w14:textId="77777777">
        <w:tblPrEx>
          <w:tblCellMar>
            <w:top w:w="0" w:type="dxa"/>
            <w:bottom w:w="0" w:type="dxa"/>
          </w:tblCellMar>
        </w:tblPrEx>
        <w:trPr>
          <w:trHeight w:hRule="exact" w:val="302"/>
        </w:trPr>
        <w:tc>
          <w:tcPr>
            <w:tcW w:w="1267" w:type="dxa"/>
            <w:shd w:val="clear" w:color="auto" w:fill="FFFFFF"/>
            <w:vAlign w:val="bottom"/>
          </w:tcPr>
          <w:p w14:paraId="726E0F9A" w14:textId="77777777" w:rsidR="00D03C17" w:rsidRDefault="00D03C17">
            <w:pPr>
              <w:pStyle w:val="Other0"/>
              <w:framePr w:w="11414" w:h="5323" w:vSpace="883" w:wrap="none" w:hAnchor="page" w:x="635" w:y="419"/>
              <w:spacing w:line="240" w:lineRule="auto"/>
              <w:ind w:firstLine="0"/>
              <w:rPr>
                <w:sz w:val="16"/>
                <w:szCs w:val="16"/>
              </w:rPr>
            </w:pPr>
            <w:r>
              <w:rPr>
                <w:rFonts w:ascii="Times New Roman" w:eastAsia="Times New Roman" w:hAnsi="Times New Roman" w:cs="Times New Roman"/>
                <w:i/>
                <w:iCs/>
                <w:sz w:val="16"/>
                <w:szCs w:val="16"/>
              </w:rPr>
              <w:t>Baylisascaris</w:t>
            </w:r>
          </w:p>
        </w:tc>
        <w:tc>
          <w:tcPr>
            <w:tcW w:w="1176" w:type="dxa"/>
            <w:shd w:val="clear" w:color="auto" w:fill="FFFFFF"/>
            <w:vAlign w:val="bottom"/>
          </w:tcPr>
          <w:p w14:paraId="03596CC7" w14:textId="77777777" w:rsidR="00D03C17" w:rsidRDefault="00D03C17">
            <w:pPr>
              <w:pStyle w:val="Other0"/>
              <w:framePr w:w="11414" w:h="5323" w:vSpace="883" w:wrap="none" w:hAnchor="page" w:x="635" w:y="419"/>
              <w:spacing w:line="240" w:lineRule="auto"/>
              <w:ind w:firstLine="0"/>
              <w:rPr>
                <w:sz w:val="16"/>
                <w:szCs w:val="16"/>
              </w:rPr>
            </w:pPr>
            <w:r>
              <w:rPr>
                <w:rFonts w:ascii="Times New Roman" w:eastAsia="Times New Roman" w:hAnsi="Times New Roman" w:cs="Times New Roman"/>
                <w:sz w:val="16"/>
                <w:szCs w:val="16"/>
              </w:rPr>
              <w:t>Norteamérica</w:t>
            </w:r>
          </w:p>
        </w:tc>
        <w:tc>
          <w:tcPr>
            <w:tcW w:w="1133" w:type="dxa"/>
            <w:shd w:val="clear" w:color="auto" w:fill="FFFFFF"/>
            <w:vAlign w:val="bottom"/>
          </w:tcPr>
          <w:p w14:paraId="18AEBC14" w14:textId="77777777" w:rsidR="00D03C17" w:rsidRDefault="00D03C17">
            <w:pPr>
              <w:pStyle w:val="Other0"/>
              <w:framePr w:w="11414" w:h="5323" w:vSpace="883" w:wrap="none" w:hAnchor="page" w:x="635" w:y="419"/>
              <w:spacing w:line="240" w:lineRule="auto"/>
              <w:ind w:firstLine="0"/>
              <w:rPr>
                <w:sz w:val="16"/>
                <w:szCs w:val="16"/>
              </w:rPr>
            </w:pPr>
            <w:r>
              <w:rPr>
                <w:rFonts w:ascii="Times New Roman" w:eastAsia="Times New Roman" w:hAnsi="Times New Roman" w:cs="Times New Roman"/>
                <w:sz w:val="16"/>
                <w:szCs w:val="16"/>
              </w:rPr>
              <w:t>Mapaches</w:t>
            </w:r>
          </w:p>
        </w:tc>
        <w:tc>
          <w:tcPr>
            <w:tcW w:w="1248" w:type="dxa"/>
            <w:shd w:val="clear" w:color="auto" w:fill="FFFFFF"/>
            <w:vAlign w:val="bottom"/>
          </w:tcPr>
          <w:p w14:paraId="0271FE12" w14:textId="77777777" w:rsidR="00D03C17" w:rsidRDefault="00D03C17">
            <w:pPr>
              <w:pStyle w:val="Other0"/>
              <w:framePr w:w="11414" w:h="5323" w:vSpace="883" w:wrap="none" w:hAnchor="page" w:x="635" w:y="419"/>
              <w:spacing w:line="240" w:lineRule="auto"/>
              <w:ind w:firstLine="0"/>
              <w:rPr>
                <w:sz w:val="16"/>
                <w:szCs w:val="16"/>
              </w:rPr>
            </w:pPr>
            <w:r>
              <w:rPr>
                <w:rFonts w:ascii="Times New Roman" w:eastAsia="Times New Roman" w:hAnsi="Times New Roman" w:cs="Times New Roman"/>
                <w:sz w:val="16"/>
                <w:szCs w:val="16"/>
              </w:rPr>
              <w:t>Ninguna</w:t>
            </w:r>
          </w:p>
        </w:tc>
        <w:tc>
          <w:tcPr>
            <w:tcW w:w="1243" w:type="dxa"/>
            <w:shd w:val="clear" w:color="auto" w:fill="FFFFFF"/>
            <w:vAlign w:val="bottom"/>
          </w:tcPr>
          <w:p w14:paraId="6A2CB1DB" w14:textId="77777777" w:rsidR="00D03C17" w:rsidRDefault="00D03C17">
            <w:pPr>
              <w:pStyle w:val="Other0"/>
              <w:framePr w:w="11414" w:h="5323" w:vSpace="883" w:wrap="none" w:hAnchor="page" w:x="635" w:y="419"/>
              <w:spacing w:line="240" w:lineRule="auto"/>
              <w:ind w:firstLine="0"/>
              <w:rPr>
                <w:sz w:val="16"/>
                <w:szCs w:val="16"/>
              </w:rPr>
            </w:pPr>
            <w:r>
              <w:rPr>
                <w:rFonts w:ascii="Times New Roman" w:eastAsia="Times New Roman" w:hAnsi="Times New Roman" w:cs="Times New Roman"/>
                <w:sz w:val="16"/>
                <w:szCs w:val="16"/>
              </w:rPr>
              <w:t>Exposición a</w:t>
            </w:r>
          </w:p>
        </w:tc>
        <w:tc>
          <w:tcPr>
            <w:tcW w:w="1138" w:type="dxa"/>
            <w:shd w:val="clear" w:color="auto" w:fill="FFFFFF"/>
            <w:vAlign w:val="bottom"/>
          </w:tcPr>
          <w:p w14:paraId="4FB01D0A" w14:textId="77777777" w:rsidR="00D03C17" w:rsidRDefault="00D03C17">
            <w:pPr>
              <w:pStyle w:val="Other0"/>
              <w:framePr w:w="11414" w:h="5323" w:vSpace="883" w:wrap="none" w:hAnchor="page" w:x="635" w:y="419"/>
              <w:spacing w:line="240" w:lineRule="auto"/>
              <w:ind w:firstLine="0"/>
              <w:rPr>
                <w:sz w:val="16"/>
                <w:szCs w:val="16"/>
              </w:rPr>
            </w:pPr>
            <w:r>
              <w:rPr>
                <w:rFonts w:ascii="Times New Roman" w:eastAsia="Times New Roman" w:hAnsi="Times New Roman" w:cs="Times New Roman"/>
                <w:sz w:val="16"/>
                <w:szCs w:val="16"/>
              </w:rPr>
              <w:t>No</w:t>
            </w:r>
          </w:p>
        </w:tc>
        <w:tc>
          <w:tcPr>
            <w:tcW w:w="1258" w:type="dxa"/>
            <w:shd w:val="clear" w:color="auto" w:fill="FFFFFF"/>
            <w:vAlign w:val="bottom"/>
          </w:tcPr>
          <w:p w14:paraId="3256EA7E" w14:textId="77777777" w:rsidR="00D03C17" w:rsidRDefault="00D03C17">
            <w:pPr>
              <w:pStyle w:val="Other0"/>
              <w:framePr w:w="11414" w:h="5323" w:vSpace="883" w:wrap="none" w:hAnchor="page" w:x="635" w:y="419"/>
              <w:spacing w:line="240" w:lineRule="auto"/>
              <w:ind w:firstLine="0"/>
              <w:rPr>
                <w:sz w:val="16"/>
                <w:szCs w:val="16"/>
              </w:rPr>
            </w:pPr>
            <w:r>
              <w:rPr>
                <w:rFonts w:ascii="Times New Roman" w:eastAsia="Times New Roman" w:hAnsi="Times New Roman" w:cs="Times New Roman"/>
                <w:sz w:val="16"/>
                <w:szCs w:val="16"/>
              </w:rPr>
              <w:t>Eosinófilos en</w:t>
            </w:r>
          </w:p>
        </w:tc>
        <w:tc>
          <w:tcPr>
            <w:tcW w:w="1248" w:type="dxa"/>
            <w:shd w:val="clear" w:color="auto" w:fill="FFFFFF"/>
            <w:vAlign w:val="bottom"/>
          </w:tcPr>
          <w:p w14:paraId="4B6E9FCA" w14:textId="77777777" w:rsidR="00D03C17" w:rsidRDefault="00D03C17">
            <w:pPr>
              <w:pStyle w:val="Other0"/>
              <w:framePr w:w="11414" w:h="5323" w:vSpace="883" w:wrap="none" w:hAnchor="page" w:x="635" w:y="419"/>
              <w:spacing w:line="240" w:lineRule="auto"/>
              <w:ind w:firstLine="0"/>
              <w:rPr>
                <w:sz w:val="16"/>
                <w:szCs w:val="16"/>
              </w:rPr>
            </w:pPr>
            <w:r>
              <w:rPr>
                <w:rFonts w:ascii="Times New Roman" w:eastAsia="Times New Roman" w:hAnsi="Times New Roman" w:cs="Times New Roman"/>
                <w:sz w:val="16"/>
                <w:szCs w:val="16"/>
              </w:rPr>
              <w:t>Larvas del verme</w:t>
            </w:r>
          </w:p>
        </w:tc>
        <w:tc>
          <w:tcPr>
            <w:tcW w:w="1704" w:type="dxa"/>
            <w:shd w:val="clear" w:color="auto" w:fill="FFFFFF"/>
            <w:vAlign w:val="bottom"/>
          </w:tcPr>
          <w:p w14:paraId="6DF4F52D" w14:textId="77777777" w:rsidR="00D03C17" w:rsidRDefault="00D03C17">
            <w:pPr>
              <w:pStyle w:val="Other0"/>
              <w:framePr w:w="11414" w:h="5323" w:vSpace="883" w:wrap="none" w:hAnchor="page" w:x="635" w:y="419"/>
              <w:spacing w:line="240" w:lineRule="auto"/>
              <w:ind w:firstLine="0"/>
              <w:rPr>
                <w:sz w:val="16"/>
                <w:szCs w:val="16"/>
              </w:rPr>
            </w:pPr>
            <w:r>
              <w:rPr>
                <w:rFonts w:ascii="Times New Roman" w:eastAsia="Times New Roman" w:hAnsi="Times New Roman" w:cs="Times New Roman"/>
                <w:sz w:val="16"/>
                <w:szCs w:val="16"/>
              </w:rPr>
              <w:t>Larva migrans en ojos</w:t>
            </w:r>
          </w:p>
        </w:tc>
      </w:tr>
      <w:tr w:rsidR="00D03C17" w14:paraId="35953ABD" w14:textId="77777777">
        <w:tblPrEx>
          <w:tblCellMar>
            <w:top w:w="0" w:type="dxa"/>
            <w:bottom w:w="0" w:type="dxa"/>
          </w:tblCellMar>
        </w:tblPrEx>
        <w:trPr>
          <w:trHeight w:hRule="exact" w:val="206"/>
        </w:trPr>
        <w:tc>
          <w:tcPr>
            <w:tcW w:w="1267" w:type="dxa"/>
            <w:shd w:val="clear" w:color="auto" w:fill="FFFFFF"/>
            <w:vAlign w:val="bottom"/>
          </w:tcPr>
          <w:p w14:paraId="573BE70A" w14:textId="77777777" w:rsidR="00D03C17" w:rsidRDefault="00D03C17">
            <w:pPr>
              <w:pStyle w:val="Other0"/>
              <w:framePr w:w="11414" w:h="5323" w:vSpace="883" w:wrap="none" w:hAnchor="page" w:x="635" w:y="419"/>
              <w:spacing w:line="240" w:lineRule="auto"/>
              <w:ind w:firstLine="140"/>
              <w:rPr>
                <w:sz w:val="16"/>
                <w:szCs w:val="16"/>
              </w:rPr>
            </w:pPr>
            <w:r>
              <w:rPr>
                <w:rFonts w:ascii="Times New Roman" w:eastAsia="Times New Roman" w:hAnsi="Times New Roman" w:cs="Times New Roman"/>
                <w:i/>
                <w:iCs/>
                <w:sz w:val="16"/>
                <w:szCs w:val="16"/>
              </w:rPr>
              <w:t>procyonis</w:t>
            </w:r>
          </w:p>
        </w:tc>
        <w:tc>
          <w:tcPr>
            <w:tcW w:w="1176" w:type="dxa"/>
            <w:shd w:val="clear" w:color="auto" w:fill="FFFFFF"/>
          </w:tcPr>
          <w:p w14:paraId="301B51E3" w14:textId="77777777" w:rsidR="00D03C17" w:rsidRDefault="00D03C17">
            <w:pPr>
              <w:framePr w:w="11414" w:h="5323" w:vSpace="883" w:wrap="none" w:hAnchor="page" w:x="635" w:y="419"/>
              <w:rPr>
                <w:sz w:val="10"/>
                <w:szCs w:val="10"/>
              </w:rPr>
            </w:pPr>
          </w:p>
        </w:tc>
        <w:tc>
          <w:tcPr>
            <w:tcW w:w="1133" w:type="dxa"/>
            <w:shd w:val="clear" w:color="auto" w:fill="FFFFFF"/>
          </w:tcPr>
          <w:p w14:paraId="2321307B" w14:textId="77777777" w:rsidR="00D03C17" w:rsidRDefault="00D03C17">
            <w:pPr>
              <w:framePr w:w="11414" w:h="5323" w:vSpace="883" w:wrap="none" w:hAnchor="page" w:x="635" w:y="419"/>
              <w:rPr>
                <w:sz w:val="10"/>
                <w:szCs w:val="10"/>
              </w:rPr>
            </w:pPr>
          </w:p>
        </w:tc>
        <w:tc>
          <w:tcPr>
            <w:tcW w:w="1248" w:type="dxa"/>
            <w:shd w:val="clear" w:color="auto" w:fill="FFFFFF"/>
          </w:tcPr>
          <w:p w14:paraId="4B4DAF4E" w14:textId="77777777" w:rsidR="00D03C17" w:rsidRDefault="00D03C17">
            <w:pPr>
              <w:framePr w:w="11414" w:h="5323" w:vSpace="883" w:wrap="none" w:hAnchor="page" w:x="635" w:y="419"/>
              <w:rPr>
                <w:sz w:val="10"/>
                <w:szCs w:val="10"/>
              </w:rPr>
            </w:pPr>
          </w:p>
        </w:tc>
        <w:tc>
          <w:tcPr>
            <w:tcW w:w="1243" w:type="dxa"/>
            <w:shd w:val="clear" w:color="auto" w:fill="FFFFFF"/>
            <w:vAlign w:val="bottom"/>
          </w:tcPr>
          <w:p w14:paraId="7E4B2E41" w14:textId="77777777" w:rsidR="00D03C17" w:rsidRDefault="00D03C17">
            <w:pPr>
              <w:pStyle w:val="Other0"/>
              <w:framePr w:w="11414" w:h="5323" w:vSpace="883" w:wrap="none" w:hAnchor="page" w:x="635" w:y="419"/>
              <w:spacing w:line="240" w:lineRule="auto"/>
              <w:ind w:firstLine="160"/>
              <w:rPr>
                <w:sz w:val="16"/>
                <w:szCs w:val="16"/>
              </w:rPr>
            </w:pPr>
            <w:r>
              <w:rPr>
                <w:rFonts w:ascii="Times New Roman" w:eastAsia="Times New Roman" w:hAnsi="Times New Roman" w:cs="Times New Roman"/>
                <w:sz w:val="16"/>
                <w:szCs w:val="16"/>
              </w:rPr>
              <w:t>excrementos de</w:t>
            </w:r>
          </w:p>
        </w:tc>
        <w:tc>
          <w:tcPr>
            <w:tcW w:w="1138" w:type="dxa"/>
            <w:shd w:val="clear" w:color="auto" w:fill="FFFFFF"/>
          </w:tcPr>
          <w:p w14:paraId="253A7B89" w14:textId="77777777" w:rsidR="00D03C17" w:rsidRDefault="00D03C17">
            <w:pPr>
              <w:framePr w:w="11414" w:h="5323" w:vSpace="883" w:wrap="none" w:hAnchor="page" w:x="635" w:y="419"/>
              <w:rPr>
                <w:sz w:val="10"/>
                <w:szCs w:val="10"/>
              </w:rPr>
            </w:pPr>
          </w:p>
        </w:tc>
        <w:tc>
          <w:tcPr>
            <w:tcW w:w="1258" w:type="dxa"/>
            <w:shd w:val="clear" w:color="auto" w:fill="FFFFFF"/>
            <w:vAlign w:val="bottom"/>
          </w:tcPr>
          <w:p w14:paraId="4FA1FD6D" w14:textId="77777777" w:rsidR="00D03C17" w:rsidRDefault="00D03C17">
            <w:pPr>
              <w:pStyle w:val="Other0"/>
              <w:framePr w:w="11414" w:h="5323" w:vSpace="883" w:wrap="none" w:hAnchor="page" w:x="635" w:y="419"/>
              <w:spacing w:line="240" w:lineRule="auto"/>
              <w:ind w:firstLine="220"/>
              <w:rPr>
                <w:sz w:val="16"/>
                <w:szCs w:val="16"/>
              </w:rPr>
            </w:pPr>
            <w:r>
              <w:rPr>
                <w:rFonts w:ascii="Times New Roman" w:eastAsia="Times New Roman" w:hAnsi="Times New Roman" w:cs="Times New Roman"/>
                <w:sz w:val="16"/>
                <w:szCs w:val="16"/>
              </w:rPr>
              <w:t>sangre y</w:t>
            </w:r>
          </w:p>
        </w:tc>
        <w:tc>
          <w:tcPr>
            <w:tcW w:w="1248" w:type="dxa"/>
            <w:shd w:val="clear" w:color="auto" w:fill="FFFFFF"/>
          </w:tcPr>
          <w:p w14:paraId="14842374" w14:textId="77777777" w:rsidR="00D03C17" w:rsidRDefault="00D03C17">
            <w:pPr>
              <w:framePr w:w="11414" w:h="5323" w:vSpace="883" w:wrap="none" w:hAnchor="page" w:x="635" w:y="419"/>
              <w:rPr>
                <w:sz w:val="10"/>
                <w:szCs w:val="10"/>
              </w:rPr>
            </w:pPr>
          </w:p>
        </w:tc>
        <w:tc>
          <w:tcPr>
            <w:tcW w:w="1704" w:type="dxa"/>
            <w:shd w:val="clear" w:color="auto" w:fill="FFFFFF"/>
            <w:vAlign w:val="bottom"/>
          </w:tcPr>
          <w:p w14:paraId="2C50DF5A" w14:textId="77777777" w:rsidR="00D03C17" w:rsidRDefault="00D03C17">
            <w:pPr>
              <w:pStyle w:val="Other0"/>
              <w:framePr w:w="11414" w:h="5323" w:vSpace="883" w:wrap="none" w:hAnchor="page" w:x="635" w:y="419"/>
              <w:spacing w:line="240" w:lineRule="auto"/>
              <w:ind w:firstLine="160"/>
              <w:rPr>
                <w:sz w:val="16"/>
                <w:szCs w:val="16"/>
              </w:rPr>
            </w:pPr>
            <w:r>
              <w:rPr>
                <w:rFonts w:ascii="Times New Roman" w:eastAsia="Times New Roman" w:hAnsi="Times New Roman" w:cs="Times New Roman"/>
                <w:sz w:val="16"/>
                <w:szCs w:val="16"/>
              </w:rPr>
              <w:t>y en nervios,</w:t>
            </w:r>
          </w:p>
        </w:tc>
      </w:tr>
      <w:tr w:rsidR="00D03C17" w14:paraId="73F61D2C" w14:textId="77777777">
        <w:tblPrEx>
          <w:tblCellMar>
            <w:top w:w="0" w:type="dxa"/>
            <w:bottom w:w="0" w:type="dxa"/>
          </w:tblCellMar>
        </w:tblPrEx>
        <w:trPr>
          <w:trHeight w:hRule="exact" w:val="216"/>
        </w:trPr>
        <w:tc>
          <w:tcPr>
            <w:tcW w:w="2443" w:type="dxa"/>
            <w:gridSpan w:val="2"/>
            <w:shd w:val="clear" w:color="auto" w:fill="FFFFFF"/>
          </w:tcPr>
          <w:p w14:paraId="38FB4398" w14:textId="77777777" w:rsidR="00D03C17" w:rsidRDefault="00D03C17">
            <w:pPr>
              <w:pStyle w:val="Other0"/>
              <w:framePr w:w="11414" w:h="5323" w:vSpace="883" w:wrap="none" w:hAnchor="page" w:x="635" w:y="419"/>
              <w:spacing w:line="240" w:lineRule="auto"/>
              <w:ind w:firstLine="160"/>
              <w:rPr>
                <w:sz w:val="16"/>
                <w:szCs w:val="16"/>
              </w:rPr>
            </w:pPr>
            <w:r>
              <w:rPr>
                <w:rFonts w:ascii="Times New Roman" w:eastAsia="Times New Roman" w:hAnsi="Times New Roman" w:cs="Times New Roman"/>
                <w:sz w:val="16"/>
                <w:szCs w:val="16"/>
              </w:rPr>
              <w:t>(verme redondo</w:t>
            </w:r>
          </w:p>
        </w:tc>
        <w:tc>
          <w:tcPr>
            <w:tcW w:w="1133" w:type="dxa"/>
            <w:shd w:val="clear" w:color="auto" w:fill="FFFFFF"/>
          </w:tcPr>
          <w:p w14:paraId="1A5CFD61" w14:textId="77777777" w:rsidR="00D03C17" w:rsidRDefault="00D03C17">
            <w:pPr>
              <w:framePr w:w="11414" w:h="5323" w:vSpace="883" w:wrap="none" w:hAnchor="page" w:x="635" w:y="419"/>
              <w:rPr>
                <w:sz w:val="10"/>
                <w:szCs w:val="10"/>
              </w:rPr>
            </w:pPr>
          </w:p>
        </w:tc>
        <w:tc>
          <w:tcPr>
            <w:tcW w:w="1248" w:type="dxa"/>
            <w:shd w:val="clear" w:color="auto" w:fill="FFFFFF"/>
          </w:tcPr>
          <w:p w14:paraId="7C713FF0" w14:textId="77777777" w:rsidR="00D03C17" w:rsidRDefault="00D03C17">
            <w:pPr>
              <w:framePr w:w="11414" w:h="5323" w:vSpace="883" w:wrap="none" w:hAnchor="page" w:x="635" w:y="419"/>
              <w:rPr>
                <w:sz w:val="10"/>
                <w:szCs w:val="10"/>
              </w:rPr>
            </w:pPr>
          </w:p>
        </w:tc>
        <w:tc>
          <w:tcPr>
            <w:tcW w:w="1243" w:type="dxa"/>
            <w:shd w:val="clear" w:color="auto" w:fill="FFFFFF"/>
          </w:tcPr>
          <w:p w14:paraId="1FAEC1E4" w14:textId="77777777" w:rsidR="00D03C17" w:rsidRDefault="00D03C17">
            <w:pPr>
              <w:pStyle w:val="Other0"/>
              <w:framePr w:w="11414" w:h="5323" w:vSpace="883" w:wrap="none" w:hAnchor="page" w:x="635" w:y="419"/>
              <w:spacing w:line="240" w:lineRule="auto"/>
              <w:ind w:firstLine="160"/>
              <w:rPr>
                <w:sz w:val="16"/>
                <w:szCs w:val="16"/>
              </w:rPr>
            </w:pPr>
            <w:r>
              <w:rPr>
                <w:rFonts w:ascii="Times New Roman" w:eastAsia="Times New Roman" w:hAnsi="Times New Roman" w:cs="Times New Roman"/>
                <w:sz w:val="16"/>
                <w:szCs w:val="16"/>
              </w:rPr>
              <w:t>mapache (pica,</w:t>
            </w:r>
          </w:p>
        </w:tc>
        <w:tc>
          <w:tcPr>
            <w:tcW w:w="1138" w:type="dxa"/>
            <w:shd w:val="clear" w:color="auto" w:fill="FFFFFF"/>
          </w:tcPr>
          <w:p w14:paraId="0E510A4B" w14:textId="77777777" w:rsidR="00D03C17" w:rsidRDefault="00D03C17">
            <w:pPr>
              <w:framePr w:w="11414" w:h="5323" w:vSpace="883" w:wrap="none" w:hAnchor="page" w:x="635" w:y="419"/>
              <w:rPr>
                <w:sz w:val="10"/>
                <w:szCs w:val="10"/>
              </w:rPr>
            </w:pPr>
          </w:p>
        </w:tc>
        <w:tc>
          <w:tcPr>
            <w:tcW w:w="1258" w:type="dxa"/>
            <w:shd w:val="clear" w:color="auto" w:fill="FFFFFF"/>
          </w:tcPr>
          <w:p w14:paraId="56049724" w14:textId="77777777" w:rsidR="00D03C17" w:rsidRDefault="00D03C17">
            <w:pPr>
              <w:pStyle w:val="Other0"/>
              <w:framePr w:w="11414" w:h="5323" w:vSpace="883" w:wrap="none" w:hAnchor="page" w:x="635" w:y="419"/>
              <w:spacing w:line="240" w:lineRule="auto"/>
              <w:ind w:firstLine="220"/>
              <w:rPr>
                <w:sz w:val="16"/>
                <w:szCs w:val="16"/>
              </w:rPr>
            </w:pPr>
            <w:r>
              <w:rPr>
                <w:rFonts w:ascii="Times New Roman" w:eastAsia="Times New Roman" w:hAnsi="Times New Roman" w:cs="Times New Roman"/>
                <w:sz w:val="16"/>
                <w:szCs w:val="16"/>
              </w:rPr>
              <w:t>líquido</w:t>
            </w:r>
          </w:p>
        </w:tc>
        <w:tc>
          <w:tcPr>
            <w:tcW w:w="1248" w:type="dxa"/>
            <w:shd w:val="clear" w:color="auto" w:fill="FFFFFF"/>
          </w:tcPr>
          <w:p w14:paraId="09272D41" w14:textId="77777777" w:rsidR="00D03C17" w:rsidRDefault="00D03C17">
            <w:pPr>
              <w:framePr w:w="11414" w:h="5323" w:vSpace="883" w:wrap="none" w:hAnchor="page" w:x="635" w:y="419"/>
              <w:rPr>
                <w:sz w:val="10"/>
                <w:szCs w:val="10"/>
              </w:rPr>
            </w:pPr>
          </w:p>
        </w:tc>
        <w:tc>
          <w:tcPr>
            <w:tcW w:w="1704" w:type="dxa"/>
            <w:shd w:val="clear" w:color="auto" w:fill="FFFFFF"/>
          </w:tcPr>
          <w:p w14:paraId="3EFFBCAD" w14:textId="77777777" w:rsidR="00D03C17" w:rsidRDefault="00D03C17">
            <w:pPr>
              <w:pStyle w:val="Other0"/>
              <w:framePr w:w="11414" w:h="5323" w:vSpace="883" w:wrap="none" w:hAnchor="page" w:x="635" w:y="419"/>
              <w:spacing w:line="240" w:lineRule="auto"/>
              <w:ind w:firstLine="160"/>
              <w:rPr>
                <w:sz w:val="16"/>
                <w:szCs w:val="16"/>
              </w:rPr>
            </w:pPr>
            <w:r>
              <w:rPr>
                <w:rFonts w:ascii="Times New Roman" w:eastAsia="Times New Roman" w:hAnsi="Times New Roman" w:cs="Times New Roman"/>
                <w:sz w:val="16"/>
                <w:szCs w:val="16"/>
              </w:rPr>
              <w:t>encefalitis</w:t>
            </w:r>
          </w:p>
        </w:tc>
      </w:tr>
      <w:tr w:rsidR="00D03C17" w14:paraId="13BB10FE" w14:textId="77777777">
        <w:tblPrEx>
          <w:tblCellMar>
            <w:top w:w="0" w:type="dxa"/>
            <w:bottom w:w="0" w:type="dxa"/>
          </w:tblCellMar>
        </w:tblPrEx>
        <w:trPr>
          <w:trHeight w:hRule="exact" w:val="216"/>
        </w:trPr>
        <w:tc>
          <w:tcPr>
            <w:tcW w:w="2443" w:type="dxa"/>
            <w:gridSpan w:val="2"/>
            <w:shd w:val="clear" w:color="auto" w:fill="FFFFFF"/>
            <w:vAlign w:val="bottom"/>
          </w:tcPr>
          <w:p w14:paraId="43CA2981" w14:textId="77777777" w:rsidR="00D03C17" w:rsidRDefault="00D03C17">
            <w:pPr>
              <w:pStyle w:val="Other0"/>
              <w:framePr w:w="11414" w:h="5323" w:vSpace="883" w:wrap="none" w:hAnchor="page" w:x="635" w:y="419"/>
              <w:spacing w:line="240" w:lineRule="auto"/>
              <w:ind w:firstLine="160"/>
              <w:rPr>
                <w:sz w:val="16"/>
                <w:szCs w:val="16"/>
              </w:rPr>
            </w:pPr>
            <w:r>
              <w:rPr>
                <w:rFonts w:ascii="Times New Roman" w:eastAsia="Times New Roman" w:hAnsi="Times New Roman" w:cs="Times New Roman"/>
                <w:sz w:val="16"/>
                <w:szCs w:val="16"/>
              </w:rPr>
              <w:t>de los mapaches)</w:t>
            </w:r>
          </w:p>
        </w:tc>
        <w:tc>
          <w:tcPr>
            <w:tcW w:w="1133" w:type="dxa"/>
            <w:shd w:val="clear" w:color="auto" w:fill="FFFFFF"/>
          </w:tcPr>
          <w:p w14:paraId="3DA711E8" w14:textId="77777777" w:rsidR="00D03C17" w:rsidRDefault="00D03C17">
            <w:pPr>
              <w:framePr w:w="11414" w:h="5323" w:vSpace="883" w:wrap="none" w:hAnchor="page" w:x="635" w:y="419"/>
              <w:rPr>
                <w:sz w:val="10"/>
                <w:szCs w:val="10"/>
              </w:rPr>
            </w:pPr>
          </w:p>
        </w:tc>
        <w:tc>
          <w:tcPr>
            <w:tcW w:w="1248" w:type="dxa"/>
            <w:shd w:val="clear" w:color="auto" w:fill="FFFFFF"/>
          </w:tcPr>
          <w:p w14:paraId="4D66B52A" w14:textId="77777777" w:rsidR="00D03C17" w:rsidRDefault="00D03C17">
            <w:pPr>
              <w:framePr w:w="11414" w:h="5323" w:vSpace="883" w:wrap="none" w:hAnchor="page" w:x="635" w:y="419"/>
              <w:rPr>
                <w:sz w:val="10"/>
                <w:szCs w:val="10"/>
              </w:rPr>
            </w:pPr>
          </w:p>
        </w:tc>
        <w:tc>
          <w:tcPr>
            <w:tcW w:w="1243" w:type="dxa"/>
            <w:shd w:val="clear" w:color="auto" w:fill="FFFFFF"/>
            <w:vAlign w:val="bottom"/>
          </w:tcPr>
          <w:p w14:paraId="7840FBD3" w14:textId="77777777" w:rsidR="00D03C17" w:rsidRDefault="00D03C17">
            <w:pPr>
              <w:pStyle w:val="Other0"/>
              <w:framePr w:w="11414" w:h="5323" w:vSpace="883" w:wrap="none" w:hAnchor="page" w:x="635" w:y="419"/>
              <w:spacing w:line="240" w:lineRule="auto"/>
              <w:ind w:firstLine="160"/>
              <w:rPr>
                <w:sz w:val="16"/>
                <w:szCs w:val="16"/>
              </w:rPr>
            </w:pPr>
            <w:r>
              <w:rPr>
                <w:rFonts w:ascii="Times New Roman" w:eastAsia="Times New Roman" w:hAnsi="Times New Roman" w:cs="Times New Roman"/>
                <w:sz w:val="16"/>
                <w:szCs w:val="16"/>
              </w:rPr>
              <w:t>geofagia)</w:t>
            </w:r>
          </w:p>
        </w:tc>
        <w:tc>
          <w:tcPr>
            <w:tcW w:w="1138" w:type="dxa"/>
            <w:shd w:val="clear" w:color="auto" w:fill="FFFFFF"/>
          </w:tcPr>
          <w:p w14:paraId="7009B93F" w14:textId="77777777" w:rsidR="00D03C17" w:rsidRDefault="00D03C17">
            <w:pPr>
              <w:framePr w:w="11414" w:h="5323" w:vSpace="883" w:wrap="none" w:hAnchor="page" w:x="635" w:y="419"/>
              <w:rPr>
                <w:sz w:val="10"/>
                <w:szCs w:val="10"/>
              </w:rPr>
            </w:pPr>
          </w:p>
        </w:tc>
        <w:tc>
          <w:tcPr>
            <w:tcW w:w="2506" w:type="dxa"/>
            <w:gridSpan w:val="2"/>
            <w:shd w:val="clear" w:color="auto" w:fill="FFFFFF"/>
            <w:vAlign w:val="bottom"/>
          </w:tcPr>
          <w:p w14:paraId="40149FCC" w14:textId="77777777" w:rsidR="00D03C17" w:rsidRDefault="00D03C17">
            <w:pPr>
              <w:pStyle w:val="Other0"/>
              <w:framePr w:w="11414" w:h="5323" w:vSpace="883" w:wrap="none" w:hAnchor="page" w:x="635" w:y="419"/>
              <w:spacing w:line="240" w:lineRule="auto"/>
              <w:ind w:firstLine="220"/>
              <w:rPr>
                <w:sz w:val="16"/>
                <w:szCs w:val="16"/>
              </w:rPr>
            </w:pPr>
            <w:r>
              <w:rPr>
                <w:rFonts w:ascii="Times New Roman" w:eastAsia="Times New Roman" w:hAnsi="Times New Roman" w:cs="Times New Roman"/>
                <w:sz w:val="16"/>
                <w:szCs w:val="16"/>
              </w:rPr>
              <w:t>cefalorraquídeo,</w:t>
            </w:r>
          </w:p>
        </w:tc>
        <w:tc>
          <w:tcPr>
            <w:tcW w:w="1704" w:type="dxa"/>
            <w:shd w:val="clear" w:color="auto" w:fill="FFFFFF"/>
          </w:tcPr>
          <w:p w14:paraId="72431CF6" w14:textId="77777777" w:rsidR="00D03C17" w:rsidRDefault="00D03C17">
            <w:pPr>
              <w:framePr w:w="11414" w:h="5323" w:vSpace="883" w:wrap="none" w:hAnchor="page" w:x="635" w:y="419"/>
              <w:rPr>
                <w:sz w:val="10"/>
                <w:szCs w:val="10"/>
              </w:rPr>
            </w:pPr>
          </w:p>
        </w:tc>
      </w:tr>
      <w:tr w:rsidR="00D03C17" w14:paraId="7BB2D246" w14:textId="77777777">
        <w:tblPrEx>
          <w:tblCellMar>
            <w:top w:w="0" w:type="dxa"/>
            <w:bottom w:w="0" w:type="dxa"/>
          </w:tblCellMar>
        </w:tblPrEx>
        <w:trPr>
          <w:trHeight w:hRule="exact" w:val="1080"/>
        </w:trPr>
        <w:tc>
          <w:tcPr>
            <w:tcW w:w="1267" w:type="dxa"/>
            <w:shd w:val="clear" w:color="auto" w:fill="FFFFFF"/>
          </w:tcPr>
          <w:p w14:paraId="0A878B10" w14:textId="77777777" w:rsidR="00D03C17" w:rsidRDefault="00D03C17">
            <w:pPr>
              <w:framePr w:w="11414" w:h="5323" w:vSpace="883" w:wrap="none" w:hAnchor="page" w:x="635" w:y="419"/>
              <w:rPr>
                <w:sz w:val="10"/>
                <w:szCs w:val="10"/>
              </w:rPr>
            </w:pPr>
          </w:p>
        </w:tc>
        <w:tc>
          <w:tcPr>
            <w:tcW w:w="1176" w:type="dxa"/>
            <w:shd w:val="clear" w:color="auto" w:fill="FFFFFF"/>
          </w:tcPr>
          <w:p w14:paraId="0CEE8D6D" w14:textId="77777777" w:rsidR="00D03C17" w:rsidRDefault="00D03C17">
            <w:pPr>
              <w:framePr w:w="11414" w:h="5323" w:vSpace="883" w:wrap="none" w:hAnchor="page" w:x="635" w:y="419"/>
              <w:rPr>
                <w:sz w:val="10"/>
                <w:szCs w:val="10"/>
              </w:rPr>
            </w:pPr>
          </w:p>
        </w:tc>
        <w:tc>
          <w:tcPr>
            <w:tcW w:w="1133" w:type="dxa"/>
            <w:shd w:val="clear" w:color="auto" w:fill="FFFFFF"/>
          </w:tcPr>
          <w:p w14:paraId="36B4534F" w14:textId="77777777" w:rsidR="00D03C17" w:rsidRDefault="00D03C17">
            <w:pPr>
              <w:framePr w:w="11414" w:h="5323" w:vSpace="883" w:wrap="none" w:hAnchor="page" w:x="635" w:y="419"/>
              <w:rPr>
                <w:sz w:val="10"/>
                <w:szCs w:val="10"/>
              </w:rPr>
            </w:pPr>
          </w:p>
        </w:tc>
        <w:tc>
          <w:tcPr>
            <w:tcW w:w="1248" w:type="dxa"/>
            <w:shd w:val="clear" w:color="auto" w:fill="FFFFFF"/>
          </w:tcPr>
          <w:p w14:paraId="3EECC6D4" w14:textId="77777777" w:rsidR="00D03C17" w:rsidRDefault="00D03C17">
            <w:pPr>
              <w:framePr w:w="11414" w:h="5323" w:vSpace="883" w:wrap="none" w:hAnchor="page" w:x="635" w:y="419"/>
              <w:rPr>
                <w:sz w:val="10"/>
                <w:szCs w:val="10"/>
              </w:rPr>
            </w:pPr>
          </w:p>
        </w:tc>
        <w:tc>
          <w:tcPr>
            <w:tcW w:w="1243" w:type="dxa"/>
            <w:shd w:val="clear" w:color="auto" w:fill="FFFFFF"/>
          </w:tcPr>
          <w:p w14:paraId="1C9497A6" w14:textId="77777777" w:rsidR="00D03C17" w:rsidRDefault="00D03C17">
            <w:pPr>
              <w:framePr w:w="11414" w:h="5323" w:vSpace="883" w:wrap="none" w:hAnchor="page" w:x="635" w:y="419"/>
              <w:rPr>
                <w:sz w:val="10"/>
                <w:szCs w:val="10"/>
              </w:rPr>
            </w:pPr>
          </w:p>
        </w:tc>
        <w:tc>
          <w:tcPr>
            <w:tcW w:w="1138" w:type="dxa"/>
            <w:shd w:val="clear" w:color="auto" w:fill="FFFFFF"/>
          </w:tcPr>
          <w:p w14:paraId="0B8A6C9C" w14:textId="77777777" w:rsidR="00D03C17" w:rsidRDefault="00D03C17">
            <w:pPr>
              <w:framePr w:w="11414" w:h="5323" w:vSpace="883" w:wrap="none" w:hAnchor="page" w:x="635" w:y="419"/>
              <w:rPr>
                <w:sz w:val="10"/>
                <w:szCs w:val="10"/>
              </w:rPr>
            </w:pPr>
          </w:p>
        </w:tc>
        <w:tc>
          <w:tcPr>
            <w:tcW w:w="1258" w:type="dxa"/>
            <w:shd w:val="clear" w:color="auto" w:fill="FFFFFF"/>
            <w:vAlign w:val="bottom"/>
          </w:tcPr>
          <w:p w14:paraId="58756414" w14:textId="77777777" w:rsidR="00D03C17" w:rsidRDefault="00D03C17">
            <w:pPr>
              <w:pStyle w:val="Other0"/>
              <w:framePr w:w="11414" w:h="5323" w:vSpace="883" w:wrap="none" w:hAnchor="page" w:x="635" w:y="419"/>
              <w:spacing w:line="283" w:lineRule="auto"/>
              <w:ind w:left="220" w:firstLine="0"/>
              <w:rPr>
                <w:sz w:val="16"/>
                <w:szCs w:val="16"/>
              </w:rPr>
            </w:pPr>
            <w:r>
              <w:rPr>
                <w:rFonts w:ascii="Times New Roman" w:eastAsia="Times New Roman" w:hAnsi="Times New Roman" w:cs="Times New Roman"/>
                <w:sz w:val="16"/>
                <w:szCs w:val="16"/>
              </w:rPr>
              <w:t>identificación de larvas en ojo o encéfalo; métodos serológicos</w:t>
            </w:r>
          </w:p>
        </w:tc>
        <w:tc>
          <w:tcPr>
            <w:tcW w:w="1248" w:type="dxa"/>
            <w:shd w:val="clear" w:color="auto" w:fill="FFFFFF"/>
          </w:tcPr>
          <w:p w14:paraId="2A8D3114" w14:textId="77777777" w:rsidR="00D03C17" w:rsidRDefault="00D03C17">
            <w:pPr>
              <w:framePr w:w="11414" w:h="5323" w:vSpace="883" w:wrap="none" w:hAnchor="page" w:x="635" w:y="419"/>
              <w:rPr>
                <w:sz w:val="10"/>
                <w:szCs w:val="10"/>
              </w:rPr>
            </w:pPr>
          </w:p>
        </w:tc>
        <w:tc>
          <w:tcPr>
            <w:tcW w:w="1704" w:type="dxa"/>
            <w:shd w:val="clear" w:color="auto" w:fill="FFFFFF"/>
          </w:tcPr>
          <w:p w14:paraId="05A08FA1" w14:textId="77777777" w:rsidR="00D03C17" w:rsidRDefault="00D03C17">
            <w:pPr>
              <w:framePr w:w="11414" w:h="5323" w:vSpace="883" w:wrap="none" w:hAnchor="page" w:x="635" w:y="419"/>
              <w:rPr>
                <w:sz w:val="10"/>
                <w:szCs w:val="10"/>
              </w:rPr>
            </w:pPr>
          </w:p>
        </w:tc>
      </w:tr>
      <w:tr w:rsidR="00D03C17" w14:paraId="7F8803C6" w14:textId="77777777">
        <w:tblPrEx>
          <w:tblCellMar>
            <w:top w:w="0" w:type="dxa"/>
            <w:bottom w:w="0" w:type="dxa"/>
          </w:tblCellMar>
        </w:tblPrEx>
        <w:trPr>
          <w:trHeight w:hRule="exact" w:val="202"/>
        </w:trPr>
        <w:tc>
          <w:tcPr>
            <w:tcW w:w="1267" w:type="dxa"/>
            <w:shd w:val="clear" w:color="auto" w:fill="FFFFFF"/>
          </w:tcPr>
          <w:p w14:paraId="1639CFE1" w14:textId="77777777" w:rsidR="00D03C17" w:rsidRDefault="00D03C17">
            <w:pPr>
              <w:pStyle w:val="Other0"/>
              <w:framePr w:w="11414" w:h="5323" w:vSpace="883" w:wrap="none" w:hAnchor="page" w:x="635" w:y="419"/>
              <w:spacing w:line="240" w:lineRule="auto"/>
              <w:ind w:firstLine="0"/>
              <w:rPr>
                <w:sz w:val="16"/>
                <w:szCs w:val="16"/>
              </w:rPr>
            </w:pPr>
            <w:r>
              <w:rPr>
                <w:rFonts w:ascii="Times New Roman" w:eastAsia="Times New Roman" w:hAnsi="Times New Roman" w:cs="Times New Roman"/>
                <w:i/>
                <w:iCs/>
                <w:sz w:val="16"/>
                <w:szCs w:val="16"/>
              </w:rPr>
              <w:t>Clonorchis</w:t>
            </w:r>
          </w:p>
        </w:tc>
        <w:tc>
          <w:tcPr>
            <w:tcW w:w="1176" w:type="dxa"/>
            <w:shd w:val="clear" w:color="auto" w:fill="FFFFFF"/>
          </w:tcPr>
          <w:p w14:paraId="42E8955F" w14:textId="77777777" w:rsidR="00D03C17" w:rsidRDefault="00D03C17">
            <w:pPr>
              <w:pStyle w:val="Other0"/>
              <w:framePr w:w="11414" w:h="5323" w:vSpace="883" w:wrap="none" w:hAnchor="page" w:x="635" w:y="419"/>
              <w:spacing w:line="240" w:lineRule="auto"/>
              <w:ind w:firstLine="0"/>
              <w:rPr>
                <w:sz w:val="16"/>
                <w:szCs w:val="16"/>
              </w:rPr>
            </w:pPr>
            <w:r>
              <w:rPr>
                <w:rFonts w:ascii="Times New Roman" w:eastAsia="Times New Roman" w:hAnsi="Times New Roman" w:cs="Times New Roman"/>
                <w:sz w:val="16"/>
                <w:szCs w:val="16"/>
              </w:rPr>
              <w:t>Lejano Este,</w:t>
            </w:r>
          </w:p>
        </w:tc>
        <w:tc>
          <w:tcPr>
            <w:tcW w:w="1133" w:type="dxa"/>
            <w:shd w:val="clear" w:color="auto" w:fill="FFFFFF"/>
          </w:tcPr>
          <w:p w14:paraId="6FB744E9" w14:textId="77777777" w:rsidR="00D03C17" w:rsidRDefault="00D03C17">
            <w:pPr>
              <w:pStyle w:val="Other0"/>
              <w:framePr w:w="11414" w:h="5323" w:vSpace="883" w:wrap="none" w:hAnchor="page" w:x="635" w:y="419"/>
              <w:spacing w:line="240" w:lineRule="auto"/>
              <w:ind w:firstLine="0"/>
              <w:rPr>
                <w:sz w:val="16"/>
                <w:szCs w:val="16"/>
              </w:rPr>
            </w:pPr>
            <w:r>
              <w:rPr>
                <w:rFonts w:ascii="Times New Roman" w:eastAsia="Times New Roman" w:hAnsi="Times New Roman" w:cs="Times New Roman"/>
                <w:sz w:val="16"/>
                <w:szCs w:val="16"/>
              </w:rPr>
              <w:t>Seres humanos,</w:t>
            </w:r>
          </w:p>
        </w:tc>
        <w:tc>
          <w:tcPr>
            <w:tcW w:w="1248" w:type="dxa"/>
            <w:shd w:val="clear" w:color="auto" w:fill="FFFFFF"/>
          </w:tcPr>
          <w:p w14:paraId="64DB91F5" w14:textId="77777777" w:rsidR="00D03C17" w:rsidRDefault="00D03C17">
            <w:pPr>
              <w:pStyle w:val="Other0"/>
              <w:framePr w:w="11414" w:h="5323" w:vSpace="883" w:wrap="none" w:hAnchor="page" w:x="635" w:y="419"/>
              <w:spacing w:line="240" w:lineRule="auto"/>
              <w:ind w:firstLine="0"/>
              <w:rPr>
                <w:sz w:val="16"/>
                <w:szCs w:val="16"/>
              </w:rPr>
            </w:pPr>
            <w:r>
              <w:rPr>
                <w:rFonts w:ascii="Times New Roman" w:eastAsia="Times New Roman" w:hAnsi="Times New Roman" w:cs="Times New Roman"/>
                <w:sz w:val="16"/>
                <w:szCs w:val="16"/>
              </w:rPr>
              <w:t>Algunos caracoles</w:t>
            </w:r>
          </w:p>
        </w:tc>
        <w:tc>
          <w:tcPr>
            <w:tcW w:w="1243" w:type="dxa"/>
            <w:shd w:val="clear" w:color="auto" w:fill="FFFFFF"/>
          </w:tcPr>
          <w:p w14:paraId="567B52D2" w14:textId="77777777" w:rsidR="00D03C17" w:rsidRDefault="00D03C17">
            <w:pPr>
              <w:pStyle w:val="Other0"/>
              <w:framePr w:w="11414" w:h="5323" w:vSpace="883" w:wrap="none" w:hAnchor="page" w:x="635" w:y="419"/>
              <w:spacing w:line="240" w:lineRule="auto"/>
              <w:ind w:firstLine="0"/>
              <w:rPr>
                <w:sz w:val="16"/>
                <w:szCs w:val="16"/>
              </w:rPr>
            </w:pPr>
            <w:r>
              <w:rPr>
                <w:rFonts w:ascii="Times New Roman" w:eastAsia="Times New Roman" w:hAnsi="Times New Roman" w:cs="Times New Roman"/>
                <w:sz w:val="16"/>
                <w:szCs w:val="16"/>
              </w:rPr>
              <w:t>Consumo de</w:t>
            </w:r>
          </w:p>
        </w:tc>
        <w:tc>
          <w:tcPr>
            <w:tcW w:w="1138" w:type="dxa"/>
            <w:shd w:val="clear" w:color="auto" w:fill="FFFFFF"/>
          </w:tcPr>
          <w:p w14:paraId="542534EE" w14:textId="77777777" w:rsidR="00D03C17" w:rsidRDefault="00D03C17">
            <w:pPr>
              <w:pStyle w:val="Other0"/>
              <w:framePr w:w="11414" w:h="5323" w:vSpace="883" w:wrap="none" w:hAnchor="page" w:x="635" w:y="419"/>
              <w:spacing w:line="240" w:lineRule="auto"/>
              <w:ind w:firstLine="0"/>
              <w:rPr>
                <w:sz w:val="16"/>
                <w:szCs w:val="16"/>
              </w:rPr>
            </w:pPr>
            <w:r>
              <w:rPr>
                <w:rFonts w:ascii="Times New Roman" w:eastAsia="Times New Roman" w:hAnsi="Times New Roman" w:cs="Times New Roman"/>
                <w:sz w:val="16"/>
                <w:szCs w:val="16"/>
              </w:rPr>
              <w:t>No</w:t>
            </w:r>
          </w:p>
        </w:tc>
        <w:tc>
          <w:tcPr>
            <w:tcW w:w="1258" w:type="dxa"/>
            <w:shd w:val="clear" w:color="auto" w:fill="FFFFFF"/>
          </w:tcPr>
          <w:p w14:paraId="326C64DB" w14:textId="77777777" w:rsidR="00D03C17" w:rsidRDefault="00D03C17">
            <w:pPr>
              <w:pStyle w:val="Other0"/>
              <w:framePr w:w="11414" w:h="5323" w:vSpace="883" w:wrap="none" w:hAnchor="page" w:x="635" w:y="419"/>
              <w:spacing w:line="240" w:lineRule="auto"/>
              <w:ind w:firstLine="0"/>
              <w:rPr>
                <w:sz w:val="16"/>
                <w:szCs w:val="16"/>
              </w:rPr>
            </w:pPr>
            <w:r>
              <w:rPr>
                <w:rFonts w:ascii="Times New Roman" w:eastAsia="Times New Roman" w:hAnsi="Times New Roman" w:cs="Times New Roman"/>
                <w:sz w:val="16"/>
                <w:szCs w:val="16"/>
              </w:rPr>
              <w:t>Huevos en</w:t>
            </w:r>
          </w:p>
        </w:tc>
        <w:tc>
          <w:tcPr>
            <w:tcW w:w="1248" w:type="dxa"/>
            <w:shd w:val="clear" w:color="auto" w:fill="FFFFFF"/>
          </w:tcPr>
          <w:p w14:paraId="0365E999" w14:textId="77777777" w:rsidR="00D03C17" w:rsidRDefault="00D03C17">
            <w:pPr>
              <w:pStyle w:val="Other0"/>
              <w:framePr w:w="11414" w:h="5323" w:vSpace="883" w:wrap="none" w:hAnchor="page" w:x="635" w:y="419"/>
              <w:spacing w:line="240" w:lineRule="auto"/>
              <w:ind w:firstLine="0"/>
              <w:rPr>
                <w:sz w:val="16"/>
                <w:szCs w:val="16"/>
              </w:rPr>
            </w:pPr>
            <w:r>
              <w:rPr>
                <w:rFonts w:ascii="Times New Roman" w:eastAsia="Times New Roman" w:hAnsi="Times New Roman" w:cs="Times New Roman"/>
                <w:sz w:val="16"/>
                <w:szCs w:val="16"/>
              </w:rPr>
              <w:t>Larvas y duelas</w:t>
            </w:r>
          </w:p>
        </w:tc>
        <w:tc>
          <w:tcPr>
            <w:tcW w:w="1704" w:type="dxa"/>
            <w:shd w:val="clear" w:color="auto" w:fill="FFFFFF"/>
          </w:tcPr>
          <w:p w14:paraId="77BF435B" w14:textId="77777777" w:rsidR="00D03C17" w:rsidRDefault="00D03C17">
            <w:pPr>
              <w:pStyle w:val="Other0"/>
              <w:framePr w:w="11414" w:h="5323" w:vSpace="883" w:wrap="none" w:hAnchor="page" w:x="635" w:y="419"/>
              <w:spacing w:line="240" w:lineRule="auto"/>
              <w:ind w:firstLine="0"/>
              <w:rPr>
                <w:sz w:val="16"/>
                <w:szCs w:val="16"/>
              </w:rPr>
            </w:pPr>
            <w:r>
              <w:rPr>
                <w:rFonts w:ascii="Times New Roman" w:eastAsia="Times New Roman" w:hAnsi="Times New Roman" w:cs="Times New Roman"/>
                <w:sz w:val="16"/>
                <w:szCs w:val="16"/>
              </w:rPr>
              <w:t>Dolor abdominal;</w:t>
            </w:r>
          </w:p>
        </w:tc>
      </w:tr>
      <w:tr w:rsidR="00D03C17" w14:paraId="55B272C0" w14:textId="77777777">
        <w:tblPrEx>
          <w:tblCellMar>
            <w:top w:w="0" w:type="dxa"/>
            <w:bottom w:w="0" w:type="dxa"/>
          </w:tblCellMar>
        </w:tblPrEx>
        <w:trPr>
          <w:trHeight w:hRule="exact" w:val="230"/>
        </w:trPr>
        <w:tc>
          <w:tcPr>
            <w:tcW w:w="1267" w:type="dxa"/>
            <w:shd w:val="clear" w:color="auto" w:fill="FFFFFF"/>
            <w:vAlign w:val="bottom"/>
          </w:tcPr>
          <w:p w14:paraId="2005BDBD" w14:textId="77777777" w:rsidR="00D03C17" w:rsidRDefault="00D03C17">
            <w:pPr>
              <w:pStyle w:val="Other0"/>
              <w:framePr w:w="11414" w:h="5323" w:vSpace="883" w:wrap="none" w:hAnchor="page" w:x="635" w:y="419"/>
              <w:spacing w:line="240" w:lineRule="auto"/>
              <w:ind w:firstLine="140"/>
              <w:rPr>
                <w:sz w:val="16"/>
                <w:szCs w:val="16"/>
              </w:rPr>
            </w:pPr>
            <w:r>
              <w:rPr>
                <w:rFonts w:ascii="Times New Roman" w:eastAsia="Times New Roman" w:hAnsi="Times New Roman" w:cs="Times New Roman"/>
                <w:i/>
                <w:iCs/>
                <w:sz w:val="16"/>
                <w:szCs w:val="16"/>
              </w:rPr>
              <w:t>sinensis,</w:t>
            </w:r>
          </w:p>
        </w:tc>
        <w:tc>
          <w:tcPr>
            <w:tcW w:w="1176" w:type="dxa"/>
            <w:shd w:val="clear" w:color="auto" w:fill="FFFFFF"/>
            <w:vAlign w:val="bottom"/>
          </w:tcPr>
          <w:p w14:paraId="174CCA6A" w14:textId="77777777" w:rsidR="00D03C17" w:rsidRDefault="00D03C17">
            <w:pPr>
              <w:pStyle w:val="Other0"/>
              <w:framePr w:w="11414" w:h="5323" w:vSpace="883" w:wrap="none" w:hAnchor="page" w:x="635" w:y="419"/>
              <w:spacing w:line="240" w:lineRule="auto"/>
              <w:ind w:firstLine="140"/>
              <w:rPr>
                <w:sz w:val="16"/>
                <w:szCs w:val="16"/>
              </w:rPr>
            </w:pPr>
            <w:r>
              <w:rPr>
                <w:rFonts w:ascii="Times New Roman" w:eastAsia="Times New Roman" w:hAnsi="Times New Roman" w:cs="Times New Roman"/>
                <w:sz w:val="16"/>
                <w:szCs w:val="16"/>
              </w:rPr>
              <w:t>zona oriental</w:t>
            </w:r>
          </w:p>
        </w:tc>
        <w:tc>
          <w:tcPr>
            <w:tcW w:w="1133" w:type="dxa"/>
            <w:shd w:val="clear" w:color="auto" w:fill="FFFFFF"/>
            <w:vAlign w:val="bottom"/>
          </w:tcPr>
          <w:p w14:paraId="77FDF44F" w14:textId="77777777" w:rsidR="00D03C17" w:rsidRDefault="00D03C17">
            <w:pPr>
              <w:pStyle w:val="Other0"/>
              <w:framePr w:w="11414" w:h="5323" w:vSpace="883" w:wrap="none" w:hAnchor="page" w:x="635" w:y="419"/>
              <w:spacing w:line="240" w:lineRule="auto"/>
              <w:ind w:firstLine="160"/>
              <w:rPr>
                <w:sz w:val="16"/>
                <w:szCs w:val="16"/>
              </w:rPr>
            </w:pPr>
            <w:r>
              <w:rPr>
                <w:rFonts w:ascii="Times New Roman" w:eastAsia="Times New Roman" w:hAnsi="Times New Roman" w:cs="Times New Roman"/>
                <w:sz w:val="16"/>
                <w:szCs w:val="16"/>
              </w:rPr>
              <w:t>gatos, perros</w:t>
            </w:r>
          </w:p>
        </w:tc>
        <w:tc>
          <w:tcPr>
            <w:tcW w:w="1248" w:type="dxa"/>
            <w:shd w:val="clear" w:color="auto" w:fill="FFFFFF"/>
            <w:vAlign w:val="bottom"/>
          </w:tcPr>
          <w:p w14:paraId="6492768E" w14:textId="77777777" w:rsidR="00D03C17" w:rsidRDefault="00D03C17">
            <w:pPr>
              <w:pStyle w:val="Other0"/>
              <w:framePr w:w="11414" w:h="5323" w:vSpace="883" w:wrap="none" w:hAnchor="page" w:x="635" w:y="419"/>
              <w:spacing w:line="240" w:lineRule="auto"/>
              <w:ind w:firstLine="160"/>
              <w:rPr>
                <w:sz w:val="16"/>
                <w:szCs w:val="16"/>
              </w:rPr>
            </w:pPr>
            <w:r>
              <w:rPr>
                <w:rFonts w:ascii="Times New Roman" w:eastAsia="Times New Roman" w:hAnsi="Times New Roman" w:cs="Times New Roman"/>
                <w:sz w:val="16"/>
                <w:szCs w:val="16"/>
              </w:rPr>
              <w:t>de agua dulce</w:t>
            </w:r>
          </w:p>
        </w:tc>
        <w:tc>
          <w:tcPr>
            <w:tcW w:w="1243" w:type="dxa"/>
            <w:shd w:val="clear" w:color="auto" w:fill="FFFFFF"/>
            <w:vAlign w:val="bottom"/>
          </w:tcPr>
          <w:p w14:paraId="61DB092A" w14:textId="77777777" w:rsidR="00D03C17" w:rsidRDefault="00D03C17">
            <w:pPr>
              <w:pStyle w:val="Other0"/>
              <w:framePr w:w="11414" w:h="5323" w:vSpace="883" w:wrap="none" w:hAnchor="page" w:x="635" w:y="419"/>
              <w:spacing w:line="240" w:lineRule="auto"/>
              <w:ind w:firstLine="160"/>
              <w:rPr>
                <w:sz w:val="16"/>
                <w:szCs w:val="16"/>
              </w:rPr>
            </w:pPr>
            <w:r>
              <w:rPr>
                <w:rFonts w:ascii="Times New Roman" w:eastAsia="Times New Roman" w:hAnsi="Times New Roman" w:cs="Times New Roman"/>
                <w:sz w:val="16"/>
                <w:szCs w:val="16"/>
              </w:rPr>
              <w:t>peces de agua</w:t>
            </w:r>
          </w:p>
        </w:tc>
        <w:tc>
          <w:tcPr>
            <w:tcW w:w="1138" w:type="dxa"/>
            <w:shd w:val="clear" w:color="auto" w:fill="FFFFFF"/>
          </w:tcPr>
          <w:p w14:paraId="2AFB7975" w14:textId="77777777" w:rsidR="00D03C17" w:rsidRDefault="00D03C17">
            <w:pPr>
              <w:framePr w:w="11414" w:h="5323" w:vSpace="883" w:wrap="none" w:hAnchor="page" w:x="635" w:y="419"/>
              <w:rPr>
                <w:sz w:val="10"/>
                <w:szCs w:val="10"/>
              </w:rPr>
            </w:pPr>
          </w:p>
        </w:tc>
        <w:tc>
          <w:tcPr>
            <w:tcW w:w="1258" w:type="dxa"/>
            <w:shd w:val="clear" w:color="auto" w:fill="FFFFFF"/>
            <w:vAlign w:val="bottom"/>
          </w:tcPr>
          <w:p w14:paraId="0C6F583F" w14:textId="77777777" w:rsidR="00D03C17" w:rsidRDefault="00D03C17">
            <w:pPr>
              <w:pStyle w:val="Other0"/>
              <w:framePr w:w="11414" w:h="5323" w:vSpace="883" w:wrap="none" w:hAnchor="page" w:x="635" w:y="419"/>
              <w:spacing w:line="240" w:lineRule="auto"/>
              <w:ind w:firstLine="220"/>
              <w:rPr>
                <w:sz w:val="16"/>
                <w:szCs w:val="16"/>
              </w:rPr>
            </w:pPr>
            <w:r>
              <w:rPr>
                <w:rFonts w:ascii="Times New Roman" w:eastAsia="Times New Roman" w:hAnsi="Times New Roman" w:cs="Times New Roman"/>
                <w:sz w:val="16"/>
                <w:szCs w:val="16"/>
              </w:rPr>
              <w:t>excrementos o</w:t>
            </w:r>
          </w:p>
        </w:tc>
        <w:tc>
          <w:tcPr>
            <w:tcW w:w="1248" w:type="dxa"/>
            <w:shd w:val="clear" w:color="auto" w:fill="FFFFFF"/>
            <w:vAlign w:val="bottom"/>
          </w:tcPr>
          <w:p w14:paraId="26991B17" w14:textId="77777777" w:rsidR="00D03C17" w:rsidRDefault="00D03C17">
            <w:pPr>
              <w:pStyle w:val="Other0"/>
              <w:framePr w:w="11414" w:h="5323" w:vSpace="883" w:wrap="none" w:hAnchor="page" w:x="635" w:y="419"/>
              <w:spacing w:line="240" w:lineRule="auto"/>
              <w:ind w:firstLine="140"/>
              <w:rPr>
                <w:sz w:val="16"/>
                <w:szCs w:val="16"/>
              </w:rPr>
            </w:pPr>
            <w:r>
              <w:rPr>
                <w:rFonts w:ascii="Times New Roman" w:eastAsia="Times New Roman" w:hAnsi="Times New Roman" w:cs="Times New Roman"/>
                <w:sz w:val="16"/>
                <w:szCs w:val="16"/>
              </w:rPr>
              <w:t>maduras</w:t>
            </w:r>
          </w:p>
        </w:tc>
        <w:tc>
          <w:tcPr>
            <w:tcW w:w="1704" w:type="dxa"/>
            <w:shd w:val="clear" w:color="auto" w:fill="FFFFFF"/>
            <w:vAlign w:val="bottom"/>
          </w:tcPr>
          <w:p w14:paraId="5AB10FA7" w14:textId="77777777" w:rsidR="00D03C17" w:rsidRDefault="00D03C17">
            <w:pPr>
              <w:pStyle w:val="Other0"/>
              <w:framePr w:w="11414" w:h="5323" w:vSpace="883" w:wrap="none" w:hAnchor="page" w:x="635" w:y="419"/>
              <w:spacing w:line="240" w:lineRule="auto"/>
              <w:ind w:firstLine="160"/>
              <w:rPr>
                <w:sz w:val="16"/>
                <w:szCs w:val="16"/>
              </w:rPr>
            </w:pPr>
            <w:r>
              <w:rPr>
                <w:rFonts w:ascii="Times New Roman" w:eastAsia="Times New Roman" w:hAnsi="Times New Roman" w:cs="Times New Roman"/>
                <w:sz w:val="16"/>
                <w:szCs w:val="16"/>
              </w:rPr>
              <w:t>enfermedad</w:t>
            </w:r>
          </w:p>
        </w:tc>
      </w:tr>
      <w:tr w:rsidR="00D03C17" w14:paraId="25DFECB8" w14:textId="77777777">
        <w:tblPrEx>
          <w:tblCellMar>
            <w:top w:w="0" w:type="dxa"/>
            <w:bottom w:w="0" w:type="dxa"/>
          </w:tblCellMar>
        </w:tblPrEx>
        <w:trPr>
          <w:trHeight w:hRule="exact" w:val="216"/>
        </w:trPr>
        <w:tc>
          <w:tcPr>
            <w:tcW w:w="1267" w:type="dxa"/>
            <w:shd w:val="clear" w:color="auto" w:fill="FFFFFF"/>
            <w:vAlign w:val="bottom"/>
          </w:tcPr>
          <w:p w14:paraId="39E91DF8" w14:textId="77777777" w:rsidR="00D03C17" w:rsidRDefault="00D03C17">
            <w:pPr>
              <w:pStyle w:val="Other0"/>
              <w:framePr w:w="11414" w:h="5323" w:vSpace="883" w:wrap="none" w:hAnchor="page" w:x="635" w:y="419"/>
              <w:spacing w:line="240" w:lineRule="auto"/>
              <w:ind w:firstLine="140"/>
              <w:rPr>
                <w:sz w:val="16"/>
                <w:szCs w:val="16"/>
              </w:rPr>
            </w:pPr>
            <w:r>
              <w:rPr>
                <w:rFonts w:ascii="Times New Roman" w:eastAsia="Times New Roman" w:hAnsi="Times New Roman" w:cs="Times New Roman"/>
                <w:i/>
                <w:iCs/>
                <w:sz w:val="16"/>
                <w:szCs w:val="16"/>
              </w:rPr>
              <w:t>Opisthorchis</w:t>
            </w:r>
          </w:p>
        </w:tc>
        <w:tc>
          <w:tcPr>
            <w:tcW w:w="1176" w:type="dxa"/>
            <w:shd w:val="clear" w:color="auto" w:fill="FFFFFF"/>
            <w:vAlign w:val="bottom"/>
          </w:tcPr>
          <w:p w14:paraId="3F2F945A" w14:textId="77777777" w:rsidR="00D03C17" w:rsidRDefault="00D03C17">
            <w:pPr>
              <w:pStyle w:val="Other0"/>
              <w:framePr w:w="11414" w:h="5323" w:vSpace="883" w:wrap="none" w:hAnchor="page" w:x="635" w:y="419"/>
              <w:spacing w:line="240" w:lineRule="auto"/>
              <w:ind w:firstLine="140"/>
              <w:rPr>
                <w:sz w:val="16"/>
                <w:szCs w:val="16"/>
              </w:rPr>
            </w:pPr>
            <w:r>
              <w:rPr>
                <w:rFonts w:ascii="Times New Roman" w:eastAsia="Times New Roman" w:hAnsi="Times New Roman" w:cs="Times New Roman"/>
                <w:sz w:val="16"/>
                <w:szCs w:val="16"/>
              </w:rPr>
              <w:t>de Europa,</w:t>
            </w:r>
          </w:p>
        </w:tc>
        <w:tc>
          <w:tcPr>
            <w:tcW w:w="1133" w:type="dxa"/>
            <w:shd w:val="clear" w:color="auto" w:fill="FFFFFF"/>
            <w:vAlign w:val="bottom"/>
          </w:tcPr>
          <w:p w14:paraId="1F5B11B2" w14:textId="77777777" w:rsidR="00D03C17" w:rsidRDefault="00D03C17">
            <w:pPr>
              <w:pStyle w:val="Other0"/>
              <w:framePr w:w="11414" w:h="5323" w:vSpace="883" w:wrap="none" w:hAnchor="page" w:x="635" w:y="419"/>
              <w:spacing w:line="240" w:lineRule="auto"/>
              <w:ind w:firstLine="160"/>
              <w:rPr>
                <w:sz w:val="16"/>
                <w:szCs w:val="16"/>
              </w:rPr>
            </w:pPr>
            <w:r>
              <w:rPr>
                <w:rFonts w:ascii="Times New Roman" w:eastAsia="Times New Roman" w:hAnsi="Times New Roman" w:cs="Times New Roman"/>
                <w:sz w:val="16"/>
                <w:szCs w:val="16"/>
              </w:rPr>
              <w:t>y otros</w:t>
            </w:r>
          </w:p>
        </w:tc>
        <w:tc>
          <w:tcPr>
            <w:tcW w:w="1248" w:type="dxa"/>
            <w:shd w:val="clear" w:color="auto" w:fill="FFFFFF"/>
          </w:tcPr>
          <w:p w14:paraId="03C29AB5" w14:textId="77777777" w:rsidR="00D03C17" w:rsidRDefault="00D03C17">
            <w:pPr>
              <w:framePr w:w="11414" w:h="5323" w:vSpace="883" w:wrap="none" w:hAnchor="page" w:x="635" w:y="419"/>
              <w:rPr>
                <w:sz w:val="10"/>
                <w:szCs w:val="10"/>
              </w:rPr>
            </w:pPr>
          </w:p>
        </w:tc>
        <w:tc>
          <w:tcPr>
            <w:tcW w:w="1243" w:type="dxa"/>
            <w:shd w:val="clear" w:color="auto" w:fill="FFFFFF"/>
            <w:vAlign w:val="bottom"/>
          </w:tcPr>
          <w:p w14:paraId="5BB5B857" w14:textId="77777777" w:rsidR="00D03C17" w:rsidRDefault="00D03C17">
            <w:pPr>
              <w:pStyle w:val="Other0"/>
              <w:framePr w:w="11414" w:h="5323" w:vSpace="883" w:wrap="none" w:hAnchor="page" w:x="635" w:y="419"/>
              <w:spacing w:line="240" w:lineRule="auto"/>
              <w:ind w:firstLine="160"/>
              <w:rPr>
                <w:sz w:val="16"/>
                <w:szCs w:val="16"/>
              </w:rPr>
            </w:pPr>
            <w:r>
              <w:rPr>
                <w:rFonts w:ascii="Times New Roman" w:eastAsia="Times New Roman" w:hAnsi="Times New Roman" w:cs="Times New Roman"/>
                <w:sz w:val="16"/>
                <w:szCs w:val="16"/>
              </w:rPr>
              <w:t>dulce crudos</w:t>
            </w:r>
          </w:p>
        </w:tc>
        <w:tc>
          <w:tcPr>
            <w:tcW w:w="1138" w:type="dxa"/>
            <w:shd w:val="clear" w:color="auto" w:fill="FFFFFF"/>
          </w:tcPr>
          <w:p w14:paraId="656DD059" w14:textId="77777777" w:rsidR="00D03C17" w:rsidRDefault="00D03C17">
            <w:pPr>
              <w:framePr w:w="11414" w:h="5323" w:vSpace="883" w:wrap="none" w:hAnchor="page" w:x="635" w:y="419"/>
              <w:rPr>
                <w:sz w:val="10"/>
                <w:szCs w:val="10"/>
              </w:rPr>
            </w:pPr>
          </w:p>
        </w:tc>
        <w:tc>
          <w:tcPr>
            <w:tcW w:w="1258" w:type="dxa"/>
            <w:shd w:val="clear" w:color="auto" w:fill="FFFFFF"/>
            <w:vAlign w:val="bottom"/>
          </w:tcPr>
          <w:p w14:paraId="40DED201" w14:textId="77777777" w:rsidR="00D03C17" w:rsidRDefault="00D03C17">
            <w:pPr>
              <w:pStyle w:val="Other0"/>
              <w:framePr w:w="11414" w:h="5323" w:vSpace="883" w:wrap="none" w:hAnchor="page" w:x="635" w:y="419"/>
              <w:spacing w:line="240" w:lineRule="auto"/>
              <w:ind w:firstLine="220"/>
              <w:rPr>
                <w:sz w:val="16"/>
                <w:szCs w:val="16"/>
              </w:rPr>
            </w:pPr>
            <w:r>
              <w:rPr>
                <w:rFonts w:ascii="Times New Roman" w:eastAsia="Times New Roman" w:hAnsi="Times New Roman" w:cs="Times New Roman"/>
                <w:sz w:val="16"/>
                <w:szCs w:val="16"/>
              </w:rPr>
              <w:t>líquido</w:t>
            </w:r>
          </w:p>
        </w:tc>
        <w:tc>
          <w:tcPr>
            <w:tcW w:w="1248" w:type="dxa"/>
            <w:shd w:val="clear" w:color="auto" w:fill="FFFFFF"/>
          </w:tcPr>
          <w:p w14:paraId="3F2B4AE1" w14:textId="77777777" w:rsidR="00D03C17" w:rsidRDefault="00D03C17">
            <w:pPr>
              <w:framePr w:w="11414" w:h="5323" w:vSpace="883" w:wrap="none" w:hAnchor="page" w:x="635" w:y="419"/>
              <w:rPr>
                <w:sz w:val="10"/>
                <w:szCs w:val="10"/>
              </w:rPr>
            </w:pPr>
          </w:p>
        </w:tc>
        <w:tc>
          <w:tcPr>
            <w:tcW w:w="1704" w:type="dxa"/>
            <w:shd w:val="clear" w:color="auto" w:fill="FFFFFF"/>
            <w:vAlign w:val="bottom"/>
          </w:tcPr>
          <w:p w14:paraId="7AE45D65" w14:textId="77777777" w:rsidR="00D03C17" w:rsidRDefault="00D03C17">
            <w:pPr>
              <w:pStyle w:val="Other0"/>
              <w:framePr w:w="11414" w:h="5323" w:vSpace="883" w:wrap="none" w:hAnchor="page" w:x="635" w:y="419"/>
              <w:spacing w:line="240" w:lineRule="auto"/>
              <w:ind w:firstLine="160"/>
              <w:rPr>
                <w:sz w:val="16"/>
                <w:szCs w:val="16"/>
              </w:rPr>
            </w:pPr>
            <w:r>
              <w:rPr>
                <w:rFonts w:ascii="Times New Roman" w:eastAsia="Times New Roman" w:hAnsi="Times New Roman" w:cs="Times New Roman"/>
                <w:sz w:val="16"/>
                <w:szCs w:val="16"/>
              </w:rPr>
              <w:t>hepatobiliar</w:t>
            </w:r>
          </w:p>
        </w:tc>
      </w:tr>
      <w:tr w:rsidR="00D03C17" w14:paraId="6ABAD336" w14:textId="77777777">
        <w:tblPrEx>
          <w:tblCellMar>
            <w:top w:w="0" w:type="dxa"/>
            <w:bottom w:w="0" w:type="dxa"/>
          </w:tblCellMar>
        </w:tblPrEx>
        <w:trPr>
          <w:trHeight w:hRule="exact" w:val="202"/>
        </w:trPr>
        <w:tc>
          <w:tcPr>
            <w:tcW w:w="1267" w:type="dxa"/>
            <w:shd w:val="clear" w:color="auto" w:fill="FFFFFF"/>
          </w:tcPr>
          <w:p w14:paraId="1A892098" w14:textId="77777777" w:rsidR="00D03C17" w:rsidRDefault="00D03C17">
            <w:pPr>
              <w:pStyle w:val="Other0"/>
              <w:framePr w:w="11414" w:h="5323" w:vSpace="883" w:wrap="none" w:hAnchor="page" w:x="635" w:y="419"/>
              <w:spacing w:line="240" w:lineRule="auto"/>
              <w:ind w:firstLine="140"/>
              <w:rPr>
                <w:sz w:val="16"/>
                <w:szCs w:val="16"/>
              </w:rPr>
            </w:pPr>
            <w:r>
              <w:rPr>
                <w:rFonts w:ascii="Times New Roman" w:eastAsia="Times New Roman" w:hAnsi="Times New Roman" w:cs="Times New Roman"/>
                <w:i/>
                <w:iCs/>
                <w:sz w:val="16"/>
                <w:szCs w:val="16"/>
              </w:rPr>
              <w:t>viverrini,</w:t>
            </w:r>
          </w:p>
        </w:tc>
        <w:tc>
          <w:tcPr>
            <w:tcW w:w="1176" w:type="dxa"/>
            <w:shd w:val="clear" w:color="auto" w:fill="FFFFFF"/>
          </w:tcPr>
          <w:p w14:paraId="19B42137" w14:textId="77777777" w:rsidR="00D03C17" w:rsidRDefault="00D03C17">
            <w:pPr>
              <w:pStyle w:val="Other0"/>
              <w:framePr w:w="11414" w:h="5323" w:vSpace="883" w:wrap="none" w:hAnchor="page" w:x="635" w:y="419"/>
              <w:spacing w:line="240" w:lineRule="auto"/>
              <w:ind w:firstLine="140"/>
              <w:rPr>
                <w:sz w:val="16"/>
                <w:szCs w:val="16"/>
              </w:rPr>
            </w:pPr>
            <w:r>
              <w:rPr>
                <w:rFonts w:ascii="Times New Roman" w:eastAsia="Times New Roman" w:hAnsi="Times New Roman" w:cs="Times New Roman"/>
                <w:sz w:val="16"/>
                <w:szCs w:val="16"/>
              </w:rPr>
              <w:t>Federación</w:t>
            </w:r>
          </w:p>
        </w:tc>
        <w:tc>
          <w:tcPr>
            <w:tcW w:w="1133" w:type="dxa"/>
            <w:shd w:val="clear" w:color="auto" w:fill="FFFFFF"/>
          </w:tcPr>
          <w:p w14:paraId="2E6B0516" w14:textId="77777777" w:rsidR="00D03C17" w:rsidRDefault="00D03C17">
            <w:pPr>
              <w:pStyle w:val="Other0"/>
              <w:framePr w:w="11414" w:h="5323" w:vSpace="883" w:wrap="none" w:hAnchor="page" w:x="635" w:y="419"/>
              <w:spacing w:line="240" w:lineRule="auto"/>
              <w:ind w:firstLine="160"/>
              <w:rPr>
                <w:sz w:val="16"/>
                <w:szCs w:val="16"/>
              </w:rPr>
            </w:pPr>
            <w:r>
              <w:rPr>
                <w:rFonts w:ascii="Times New Roman" w:eastAsia="Times New Roman" w:hAnsi="Times New Roman" w:cs="Times New Roman"/>
                <w:sz w:val="16"/>
                <w:szCs w:val="16"/>
              </w:rPr>
              <w:t>mamíferos</w:t>
            </w:r>
          </w:p>
        </w:tc>
        <w:tc>
          <w:tcPr>
            <w:tcW w:w="1248" w:type="dxa"/>
            <w:shd w:val="clear" w:color="auto" w:fill="FFFFFF"/>
          </w:tcPr>
          <w:p w14:paraId="5AAEE91E" w14:textId="77777777" w:rsidR="00D03C17" w:rsidRDefault="00D03C17">
            <w:pPr>
              <w:framePr w:w="11414" w:h="5323" w:vSpace="883" w:wrap="none" w:hAnchor="page" w:x="635" w:y="419"/>
              <w:rPr>
                <w:sz w:val="10"/>
                <w:szCs w:val="10"/>
              </w:rPr>
            </w:pPr>
          </w:p>
        </w:tc>
        <w:tc>
          <w:tcPr>
            <w:tcW w:w="1243" w:type="dxa"/>
            <w:shd w:val="clear" w:color="auto" w:fill="FFFFFF"/>
          </w:tcPr>
          <w:p w14:paraId="033212B9" w14:textId="77777777" w:rsidR="00D03C17" w:rsidRDefault="00D03C17">
            <w:pPr>
              <w:pStyle w:val="Other0"/>
              <w:framePr w:w="11414" w:h="5323" w:vSpace="883" w:wrap="none" w:hAnchor="page" w:x="635" w:y="419"/>
              <w:spacing w:line="240" w:lineRule="auto"/>
              <w:ind w:firstLine="160"/>
              <w:rPr>
                <w:sz w:val="16"/>
                <w:szCs w:val="16"/>
              </w:rPr>
            </w:pPr>
            <w:r>
              <w:rPr>
                <w:rFonts w:ascii="Times New Roman" w:eastAsia="Times New Roman" w:hAnsi="Times New Roman" w:cs="Times New Roman"/>
                <w:sz w:val="16"/>
                <w:szCs w:val="16"/>
              </w:rPr>
              <w:t>infectados</w:t>
            </w:r>
          </w:p>
        </w:tc>
        <w:tc>
          <w:tcPr>
            <w:tcW w:w="1138" w:type="dxa"/>
            <w:shd w:val="clear" w:color="auto" w:fill="FFFFFF"/>
          </w:tcPr>
          <w:p w14:paraId="3304E91F" w14:textId="77777777" w:rsidR="00D03C17" w:rsidRDefault="00D03C17">
            <w:pPr>
              <w:framePr w:w="11414" w:h="5323" w:vSpace="883" w:wrap="none" w:hAnchor="page" w:x="635" w:y="419"/>
              <w:rPr>
                <w:sz w:val="10"/>
                <w:szCs w:val="10"/>
              </w:rPr>
            </w:pPr>
          </w:p>
        </w:tc>
        <w:tc>
          <w:tcPr>
            <w:tcW w:w="1258" w:type="dxa"/>
            <w:shd w:val="clear" w:color="auto" w:fill="FFFFFF"/>
          </w:tcPr>
          <w:p w14:paraId="5E7020A8" w14:textId="77777777" w:rsidR="00D03C17" w:rsidRDefault="00D03C17">
            <w:pPr>
              <w:pStyle w:val="Other0"/>
              <w:framePr w:w="11414" w:h="5323" w:vSpace="883" w:wrap="none" w:hAnchor="page" w:x="635" w:y="419"/>
              <w:spacing w:line="240" w:lineRule="auto"/>
              <w:ind w:firstLine="220"/>
              <w:rPr>
                <w:sz w:val="16"/>
                <w:szCs w:val="16"/>
              </w:rPr>
            </w:pPr>
            <w:r>
              <w:rPr>
                <w:rFonts w:ascii="Times New Roman" w:eastAsia="Times New Roman" w:hAnsi="Times New Roman" w:cs="Times New Roman"/>
                <w:sz w:val="16"/>
                <w:szCs w:val="16"/>
              </w:rPr>
              <w:t>duodenal</w:t>
            </w:r>
          </w:p>
        </w:tc>
        <w:tc>
          <w:tcPr>
            <w:tcW w:w="1248" w:type="dxa"/>
            <w:shd w:val="clear" w:color="auto" w:fill="FFFFFF"/>
          </w:tcPr>
          <w:p w14:paraId="0EA1A813" w14:textId="77777777" w:rsidR="00D03C17" w:rsidRDefault="00D03C17">
            <w:pPr>
              <w:framePr w:w="11414" w:h="5323" w:vSpace="883" w:wrap="none" w:hAnchor="page" w:x="635" w:y="419"/>
              <w:rPr>
                <w:sz w:val="10"/>
                <w:szCs w:val="10"/>
              </w:rPr>
            </w:pPr>
          </w:p>
        </w:tc>
        <w:tc>
          <w:tcPr>
            <w:tcW w:w="1704" w:type="dxa"/>
            <w:shd w:val="clear" w:color="auto" w:fill="FFFFFF"/>
          </w:tcPr>
          <w:p w14:paraId="6AB9889D" w14:textId="77777777" w:rsidR="00D03C17" w:rsidRDefault="00D03C17">
            <w:pPr>
              <w:framePr w:w="11414" w:h="5323" w:vSpace="883" w:wrap="none" w:hAnchor="page" w:x="635" w:y="419"/>
              <w:rPr>
                <w:sz w:val="10"/>
                <w:szCs w:val="10"/>
              </w:rPr>
            </w:pPr>
          </w:p>
        </w:tc>
      </w:tr>
      <w:tr w:rsidR="00D03C17" w14:paraId="769A498E" w14:textId="77777777">
        <w:tblPrEx>
          <w:tblCellMar>
            <w:top w:w="0" w:type="dxa"/>
            <w:bottom w:w="0" w:type="dxa"/>
          </w:tblCellMar>
        </w:tblPrEx>
        <w:trPr>
          <w:trHeight w:hRule="exact" w:val="446"/>
        </w:trPr>
        <w:tc>
          <w:tcPr>
            <w:tcW w:w="1267" w:type="dxa"/>
            <w:shd w:val="clear" w:color="auto" w:fill="FFFFFF"/>
            <w:vAlign w:val="bottom"/>
          </w:tcPr>
          <w:p w14:paraId="1C45B934" w14:textId="77777777" w:rsidR="00D03C17" w:rsidRDefault="00D03C17">
            <w:pPr>
              <w:pStyle w:val="Other0"/>
              <w:framePr w:w="11414" w:h="5323" w:vSpace="883" w:wrap="none" w:hAnchor="page" w:x="635" w:y="419"/>
              <w:spacing w:line="283" w:lineRule="auto"/>
              <w:ind w:left="140"/>
              <w:rPr>
                <w:sz w:val="16"/>
                <w:szCs w:val="16"/>
              </w:rPr>
            </w:pPr>
            <w:r>
              <w:rPr>
                <w:rFonts w:ascii="Times New Roman" w:eastAsia="Times New Roman" w:hAnsi="Times New Roman" w:cs="Times New Roman"/>
                <w:i/>
                <w:iCs/>
                <w:sz w:val="16"/>
                <w:szCs w:val="16"/>
              </w:rPr>
              <w:t>Opisthorchis felineus</w:t>
            </w:r>
          </w:p>
        </w:tc>
        <w:tc>
          <w:tcPr>
            <w:tcW w:w="1176" w:type="dxa"/>
            <w:shd w:val="clear" w:color="auto" w:fill="FFFFFF"/>
          </w:tcPr>
          <w:p w14:paraId="39DEB9A9" w14:textId="77777777" w:rsidR="00D03C17" w:rsidRDefault="00D03C17">
            <w:pPr>
              <w:pStyle w:val="Other0"/>
              <w:framePr w:w="11414" w:h="5323" w:vSpace="883" w:wrap="none" w:hAnchor="page" w:x="635" w:y="419"/>
              <w:spacing w:line="240" w:lineRule="auto"/>
              <w:ind w:firstLine="140"/>
              <w:rPr>
                <w:sz w:val="16"/>
                <w:szCs w:val="16"/>
              </w:rPr>
            </w:pPr>
            <w:r>
              <w:rPr>
                <w:rFonts w:ascii="Times New Roman" w:eastAsia="Times New Roman" w:hAnsi="Times New Roman" w:cs="Times New Roman"/>
                <w:sz w:val="16"/>
                <w:szCs w:val="16"/>
              </w:rPr>
              <w:t>Rusa</w:t>
            </w:r>
          </w:p>
        </w:tc>
        <w:tc>
          <w:tcPr>
            <w:tcW w:w="1133" w:type="dxa"/>
            <w:shd w:val="clear" w:color="auto" w:fill="FFFFFF"/>
          </w:tcPr>
          <w:p w14:paraId="308563F5" w14:textId="77777777" w:rsidR="00D03C17" w:rsidRDefault="00D03C17">
            <w:pPr>
              <w:framePr w:w="11414" w:h="5323" w:vSpace="883" w:wrap="none" w:hAnchor="page" w:x="635" w:y="419"/>
              <w:rPr>
                <w:sz w:val="10"/>
                <w:szCs w:val="10"/>
              </w:rPr>
            </w:pPr>
          </w:p>
        </w:tc>
        <w:tc>
          <w:tcPr>
            <w:tcW w:w="1248" w:type="dxa"/>
            <w:shd w:val="clear" w:color="auto" w:fill="FFFFFF"/>
          </w:tcPr>
          <w:p w14:paraId="0858867F" w14:textId="77777777" w:rsidR="00D03C17" w:rsidRDefault="00D03C17">
            <w:pPr>
              <w:framePr w:w="11414" w:h="5323" w:vSpace="883" w:wrap="none" w:hAnchor="page" w:x="635" w:y="419"/>
              <w:rPr>
                <w:sz w:val="10"/>
                <w:szCs w:val="10"/>
              </w:rPr>
            </w:pPr>
          </w:p>
        </w:tc>
        <w:tc>
          <w:tcPr>
            <w:tcW w:w="1243" w:type="dxa"/>
            <w:shd w:val="clear" w:color="auto" w:fill="FFFFFF"/>
          </w:tcPr>
          <w:p w14:paraId="472C7D78" w14:textId="77777777" w:rsidR="00D03C17" w:rsidRDefault="00D03C17">
            <w:pPr>
              <w:framePr w:w="11414" w:h="5323" w:vSpace="883" w:wrap="none" w:hAnchor="page" w:x="635" w:y="419"/>
              <w:rPr>
                <w:sz w:val="10"/>
                <w:szCs w:val="10"/>
              </w:rPr>
            </w:pPr>
          </w:p>
        </w:tc>
        <w:tc>
          <w:tcPr>
            <w:tcW w:w="1138" w:type="dxa"/>
            <w:shd w:val="clear" w:color="auto" w:fill="FFFFFF"/>
          </w:tcPr>
          <w:p w14:paraId="10D63B70" w14:textId="77777777" w:rsidR="00D03C17" w:rsidRDefault="00D03C17">
            <w:pPr>
              <w:framePr w:w="11414" w:h="5323" w:vSpace="883" w:wrap="none" w:hAnchor="page" w:x="635" w:y="419"/>
              <w:rPr>
                <w:sz w:val="10"/>
                <w:szCs w:val="10"/>
              </w:rPr>
            </w:pPr>
          </w:p>
        </w:tc>
        <w:tc>
          <w:tcPr>
            <w:tcW w:w="1258" w:type="dxa"/>
            <w:shd w:val="clear" w:color="auto" w:fill="FFFFFF"/>
          </w:tcPr>
          <w:p w14:paraId="05B2FF2C" w14:textId="77777777" w:rsidR="00D03C17" w:rsidRDefault="00D03C17">
            <w:pPr>
              <w:framePr w:w="11414" w:h="5323" w:vSpace="883" w:wrap="none" w:hAnchor="page" w:x="635" w:y="419"/>
              <w:rPr>
                <w:sz w:val="10"/>
                <w:szCs w:val="10"/>
              </w:rPr>
            </w:pPr>
          </w:p>
        </w:tc>
        <w:tc>
          <w:tcPr>
            <w:tcW w:w="1248" w:type="dxa"/>
            <w:shd w:val="clear" w:color="auto" w:fill="FFFFFF"/>
          </w:tcPr>
          <w:p w14:paraId="3EF3F966" w14:textId="77777777" w:rsidR="00D03C17" w:rsidRDefault="00D03C17">
            <w:pPr>
              <w:framePr w:w="11414" w:h="5323" w:vSpace="883" w:wrap="none" w:hAnchor="page" w:x="635" w:y="419"/>
              <w:rPr>
                <w:sz w:val="10"/>
                <w:szCs w:val="10"/>
              </w:rPr>
            </w:pPr>
          </w:p>
        </w:tc>
        <w:tc>
          <w:tcPr>
            <w:tcW w:w="1704" w:type="dxa"/>
            <w:shd w:val="clear" w:color="auto" w:fill="FFFFFF"/>
          </w:tcPr>
          <w:p w14:paraId="30B3A3A9" w14:textId="77777777" w:rsidR="00D03C17" w:rsidRDefault="00D03C17">
            <w:pPr>
              <w:framePr w:w="11414" w:h="5323" w:vSpace="883" w:wrap="none" w:hAnchor="page" w:x="635" w:y="419"/>
              <w:rPr>
                <w:sz w:val="10"/>
                <w:szCs w:val="10"/>
              </w:rPr>
            </w:pPr>
          </w:p>
        </w:tc>
      </w:tr>
      <w:tr w:rsidR="00D03C17" w14:paraId="009A34CA" w14:textId="77777777">
        <w:tblPrEx>
          <w:tblCellMar>
            <w:top w:w="0" w:type="dxa"/>
            <w:bottom w:w="0" w:type="dxa"/>
          </w:tblCellMar>
        </w:tblPrEx>
        <w:trPr>
          <w:trHeight w:hRule="exact" w:val="197"/>
        </w:trPr>
        <w:tc>
          <w:tcPr>
            <w:tcW w:w="1267" w:type="dxa"/>
            <w:shd w:val="clear" w:color="auto" w:fill="FFFFFF"/>
          </w:tcPr>
          <w:p w14:paraId="1804D183" w14:textId="77777777" w:rsidR="00D03C17" w:rsidRDefault="00D03C17">
            <w:pPr>
              <w:pStyle w:val="Other0"/>
              <w:framePr w:w="11414" w:h="5323" w:vSpace="883" w:wrap="none" w:hAnchor="page" w:x="635" w:y="419"/>
              <w:spacing w:line="240" w:lineRule="auto"/>
              <w:ind w:firstLine="0"/>
              <w:rPr>
                <w:sz w:val="16"/>
                <w:szCs w:val="16"/>
              </w:rPr>
            </w:pPr>
            <w:r>
              <w:rPr>
                <w:rFonts w:ascii="Times New Roman" w:eastAsia="Times New Roman" w:hAnsi="Times New Roman" w:cs="Times New Roman"/>
                <w:sz w:val="16"/>
                <w:szCs w:val="16"/>
              </w:rPr>
              <w:t>Dracunculiasis</w:t>
            </w:r>
          </w:p>
        </w:tc>
        <w:tc>
          <w:tcPr>
            <w:tcW w:w="1176" w:type="dxa"/>
            <w:shd w:val="clear" w:color="auto" w:fill="FFFFFF"/>
          </w:tcPr>
          <w:p w14:paraId="0BE64B0F" w14:textId="77777777" w:rsidR="00D03C17" w:rsidRDefault="00D03C17">
            <w:pPr>
              <w:pStyle w:val="Other0"/>
              <w:framePr w:w="11414" w:h="5323" w:vSpace="883" w:wrap="none" w:hAnchor="page" w:x="635" w:y="419"/>
              <w:spacing w:line="240" w:lineRule="auto"/>
              <w:ind w:firstLine="0"/>
              <w:rPr>
                <w:sz w:val="16"/>
                <w:szCs w:val="16"/>
              </w:rPr>
            </w:pPr>
            <w:r>
              <w:rPr>
                <w:rFonts w:ascii="Times New Roman" w:eastAsia="Times New Roman" w:hAnsi="Times New Roman" w:cs="Times New Roman"/>
                <w:sz w:val="16"/>
                <w:szCs w:val="16"/>
              </w:rPr>
              <w:t>Focos en África</w:t>
            </w:r>
          </w:p>
        </w:tc>
        <w:tc>
          <w:tcPr>
            <w:tcW w:w="1133" w:type="dxa"/>
            <w:shd w:val="clear" w:color="auto" w:fill="FFFFFF"/>
          </w:tcPr>
          <w:p w14:paraId="1CDA4855" w14:textId="77777777" w:rsidR="00D03C17" w:rsidRDefault="00D03C17">
            <w:pPr>
              <w:pStyle w:val="Other0"/>
              <w:framePr w:w="11414" w:h="5323" w:vSpace="883" w:wrap="none" w:hAnchor="page" w:x="635" w:y="419"/>
              <w:spacing w:line="240" w:lineRule="auto"/>
              <w:ind w:firstLine="0"/>
              <w:rPr>
                <w:sz w:val="16"/>
                <w:szCs w:val="16"/>
              </w:rPr>
            </w:pPr>
            <w:r>
              <w:rPr>
                <w:rFonts w:ascii="Times New Roman" w:eastAsia="Times New Roman" w:hAnsi="Times New Roman" w:cs="Times New Roman"/>
                <w:sz w:val="16"/>
                <w:szCs w:val="16"/>
              </w:rPr>
              <w:t>Seres humanos</w:t>
            </w:r>
          </w:p>
        </w:tc>
        <w:tc>
          <w:tcPr>
            <w:tcW w:w="1248" w:type="dxa"/>
            <w:shd w:val="clear" w:color="auto" w:fill="FFFFFF"/>
          </w:tcPr>
          <w:p w14:paraId="7D159C19" w14:textId="77777777" w:rsidR="00D03C17" w:rsidRDefault="00D03C17">
            <w:pPr>
              <w:pStyle w:val="Other0"/>
              <w:framePr w:w="11414" w:h="5323" w:vSpace="883" w:wrap="none" w:hAnchor="page" w:x="635" w:y="419"/>
              <w:spacing w:line="240" w:lineRule="auto"/>
              <w:ind w:firstLine="0"/>
              <w:rPr>
                <w:sz w:val="16"/>
                <w:szCs w:val="16"/>
              </w:rPr>
            </w:pPr>
            <w:r>
              <w:rPr>
                <w:rFonts w:ascii="Times New Roman" w:eastAsia="Times New Roman" w:hAnsi="Times New Roman" w:cs="Times New Roman"/>
                <w:sz w:val="16"/>
                <w:szCs w:val="16"/>
              </w:rPr>
              <w:t>Crustáceos</w:t>
            </w:r>
          </w:p>
        </w:tc>
        <w:tc>
          <w:tcPr>
            <w:tcW w:w="1243" w:type="dxa"/>
            <w:shd w:val="clear" w:color="auto" w:fill="FFFFFF"/>
          </w:tcPr>
          <w:p w14:paraId="41126644" w14:textId="77777777" w:rsidR="00D03C17" w:rsidRDefault="00D03C17">
            <w:pPr>
              <w:pStyle w:val="Other0"/>
              <w:framePr w:w="11414" w:h="5323" w:vSpace="883" w:wrap="none" w:hAnchor="page" w:x="635" w:y="419"/>
              <w:spacing w:line="240" w:lineRule="auto"/>
              <w:ind w:firstLine="0"/>
              <w:rPr>
                <w:sz w:val="16"/>
                <w:szCs w:val="16"/>
              </w:rPr>
            </w:pPr>
            <w:r>
              <w:rPr>
                <w:rFonts w:ascii="Times New Roman" w:eastAsia="Times New Roman" w:hAnsi="Times New Roman" w:cs="Times New Roman"/>
                <w:sz w:val="16"/>
                <w:szCs w:val="16"/>
              </w:rPr>
              <w:t>Consumo de</w:t>
            </w:r>
          </w:p>
        </w:tc>
        <w:tc>
          <w:tcPr>
            <w:tcW w:w="1138" w:type="dxa"/>
            <w:shd w:val="clear" w:color="auto" w:fill="FFFFFF"/>
          </w:tcPr>
          <w:p w14:paraId="79EA09DA" w14:textId="77777777" w:rsidR="00D03C17" w:rsidRDefault="00D03C17">
            <w:pPr>
              <w:pStyle w:val="Other0"/>
              <w:framePr w:w="11414" w:h="5323" w:vSpace="883" w:wrap="none" w:hAnchor="page" w:x="635" w:y="419"/>
              <w:spacing w:line="240" w:lineRule="auto"/>
              <w:ind w:firstLine="0"/>
              <w:rPr>
                <w:sz w:val="16"/>
                <w:szCs w:val="16"/>
              </w:rPr>
            </w:pPr>
            <w:r>
              <w:rPr>
                <w:rFonts w:ascii="Times New Roman" w:eastAsia="Times New Roman" w:hAnsi="Times New Roman" w:cs="Times New Roman"/>
                <w:sz w:val="16"/>
                <w:szCs w:val="16"/>
              </w:rPr>
              <w:t>No</w:t>
            </w:r>
          </w:p>
        </w:tc>
        <w:tc>
          <w:tcPr>
            <w:tcW w:w="1258" w:type="dxa"/>
            <w:shd w:val="clear" w:color="auto" w:fill="FFFFFF"/>
          </w:tcPr>
          <w:p w14:paraId="2288F785" w14:textId="77777777" w:rsidR="00D03C17" w:rsidRDefault="00D03C17">
            <w:pPr>
              <w:pStyle w:val="Other0"/>
              <w:framePr w:w="11414" w:h="5323" w:vSpace="883" w:wrap="none" w:hAnchor="page" w:x="635" w:y="419"/>
              <w:spacing w:line="240" w:lineRule="auto"/>
              <w:ind w:firstLine="0"/>
              <w:rPr>
                <w:sz w:val="16"/>
                <w:szCs w:val="16"/>
              </w:rPr>
            </w:pPr>
            <w:r>
              <w:rPr>
                <w:rFonts w:ascii="Times New Roman" w:eastAsia="Times New Roman" w:hAnsi="Times New Roman" w:cs="Times New Roman"/>
                <w:sz w:val="16"/>
                <w:szCs w:val="16"/>
              </w:rPr>
              <w:t>Identificación</w:t>
            </w:r>
          </w:p>
        </w:tc>
        <w:tc>
          <w:tcPr>
            <w:tcW w:w="1248" w:type="dxa"/>
            <w:shd w:val="clear" w:color="auto" w:fill="FFFFFF"/>
          </w:tcPr>
          <w:p w14:paraId="7B8C5E96" w14:textId="77777777" w:rsidR="00D03C17" w:rsidRDefault="00D03C17">
            <w:pPr>
              <w:pStyle w:val="Other0"/>
              <w:framePr w:w="11414" w:h="5323" w:vSpace="883" w:wrap="none" w:hAnchor="page" w:x="635" w:y="419"/>
              <w:spacing w:line="240" w:lineRule="auto"/>
              <w:ind w:firstLine="0"/>
              <w:rPr>
                <w:sz w:val="16"/>
                <w:szCs w:val="16"/>
              </w:rPr>
            </w:pPr>
            <w:r>
              <w:rPr>
                <w:rFonts w:ascii="Times New Roman" w:eastAsia="Times New Roman" w:hAnsi="Times New Roman" w:cs="Times New Roman"/>
                <w:sz w:val="16"/>
                <w:szCs w:val="16"/>
              </w:rPr>
              <w:t>Hembra adulta</w:t>
            </w:r>
          </w:p>
        </w:tc>
        <w:tc>
          <w:tcPr>
            <w:tcW w:w="1704" w:type="dxa"/>
            <w:shd w:val="clear" w:color="auto" w:fill="FFFFFF"/>
          </w:tcPr>
          <w:p w14:paraId="5315A650" w14:textId="77777777" w:rsidR="00D03C17" w:rsidRDefault="00D03C17">
            <w:pPr>
              <w:pStyle w:val="Other0"/>
              <w:framePr w:w="11414" w:h="5323" w:vSpace="883" w:wrap="none" w:hAnchor="page" w:x="635" w:y="419"/>
              <w:spacing w:line="240" w:lineRule="auto"/>
              <w:ind w:firstLine="0"/>
              <w:rPr>
                <w:sz w:val="16"/>
                <w:szCs w:val="16"/>
              </w:rPr>
            </w:pPr>
            <w:r>
              <w:rPr>
                <w:rFonts w:ascii="Times New Roman" w:eastAsia="Times New Roman" w:hAnsi="Times New Roman" w:cs="Times New Roman"/>
                <w:sz w:val="16"/>
                <w:szCs w:val="16"/>
              </w:rPr>
              <w:t>Vermes redondos que</w:t>
            </w:r>
          </w:p>
        </w:tc>
      </w:tr>
      <w:tr w:rsidR="00D03C17" w14:paraId="45048146" w14:textId="77777777">
        <w:tblPrEx>
          <w:tblCellMar>
            <w:top w:w="0" w:type="dxa"/>
            <w:bottom w:w="0" w:type="dxa"/>
          </w:tblCellMar>
        </w:tblPrEx>
        <w:trPr>
          <w:trHeight w:hRule="exact" w:val="235"/>
        </w:trPr>
        <w:tc>
          <w:tcPr>
            <w:tcW w:w="1267" w:type="dxa"/>
            <w:shd w:val="clear" w:color="auto" w:fill="FFFFFF"/>
            <w:vAlign w:val="bottom"/>
          </w:tcPr>
          <w:p w14:paraId="36E7E82C" w14:textId="77777777" w:rsidR="00D03C17" w:rsidRDefault="00D03C17">
            <w:pPr>
              <w:pStyle w:val="Other0"/>
              <w:framePr w:w="11414" w:h="5323" w:vSpace="883" w:wrap="none" w:hAnchor="page" w:x="635" w:y="419"/>
              <w:spacing w:line="240" w:lineRule="auto"/>
              <w:ind w:firstLine="140"/>
              <w:rPr>
                <w:sz w:val="16"/>
                <w:szCs w:val="16"/>
              </w:rPr>
            </w:pPr>
            <w:r>
              <w:rPr>
                <w:rFonts w:ascii="Times New Roman" w:eastAsia="Times New Roman" w:hAnsi="Times New Roman" w:cs="Times New Roman"/>
                <w:i/>
                <w:iCs/>
                <w:sz w:val="16"/>
                <w:szCs w:val="16"/>
              </w:rPr>
              <w:t>(Dracunculus</w:t>
            </w:r>
          </w:p>
        </w:tc>
        <w:tc>
          <w:tcPr>
            <w:tcW w:w="1176" w:type="dxa"/>
            <w:shd w:val="clear" w:color="auto" w:fill="FFFFFF"/>
          </w:tcPr>
          <w:p w14:paraId="79C2C210" w14:textId="77777777" w:rsidR="00D03C17" w:rsidRDefault="00D03C17">
            <w:pPr>
              <w:framePr w:w="11414" w:h="5323" w:vSpace="883" w:wrap="none" w:hAnchor="page" w:x="635" w:y="419"/>
              <w:rPr>
                <w:sz w:val="10"/>
                <w:szCs w:val="10"/>
              </w:rPr>
            </w:pPr>
          </w:p>
        </w:tc>
        <w:tc>
          <w:tcPr>
            <w:tcW w:w="1133" w:type="dxa"/>
            <w:shd w:val="clear" w:color="auto" w:fill="FFFFFF"/>
          </w:tcPr>
          <w:p w14:paraId="3F9BE290" w14:textId="77777777" w:rsidR="00D03C17" w:rsidRDefault="00D03C17">
            <w:pPr>
              <w:framePr w:w="11414" w:h="5323" w:vSpace="883" w:wrap="none" w:hAnchor="page" w:x="635" w:y="419"/>
              <w:rPr>
                <w:sz w:val="10"/>
                <w:szCs w:val="10"/>
              </w:rPr>
            </w:pPr>
          </w:p>
        </w:tc>
        <w:tc>
          <w:tcPr>
            <w:tcW w:w="1248" w:type="dxa"/>
            <w:shd w:val="clear" w:color="auto" w:fill="FFFFFF"/>
            <w:vAlign w:val="bottom"/>
          </w:tcPr>
          <w:p w14:paraId="5A4F86CD" w14:textId="77777777" w:rsidR="00D03C17" w:rsidRDefault="00D03C17">
            <w:pPr>
              <w:pStyle w:val="Other0"/>
              <w:framePr w:w="11414" w:h="5323" w:vSpace="883" w:wrap="none" w:hAnchor="page" w:x="635" w:y="419"/>
              <w:spacing w:line="240" w:lineRule="auto"/>
              <w:ind w:firstLine="160"/>
              <w:rPr>
                <w:sz w:val="16"/>
                <w:szCs w:val="16"/>
              </w:rPr>
            </w:pPr>
            <w:r>
              <w:rPr>
                <w:rFonts w:ascii="Times New Roman" w:eastAsia="Times New Roman" w:hAnsi="Times New Roman" w:cs="Times New Roman"/>
                <w:sz w:val="16"/>
                <w:szCs w:val="16"/>
              </w:rPr>
              <w:t>(copepodos)</w:t>
            </w:r>
          </w:p>
        </w:tc>
        <w:tc>
          <w:tcPr>
            <w:tcW w:w="1243" w:type="dxa"/>
            <w:shd w:val="clear" w:color="auto" w:fill="FFFFFF"/>
            <w:vAlign w:val="bottom"/>
          </w:tcPr>
          <w:p w14:paraId="37F3542B" w14:textId="77777777" w:rsidR="00D03C17" w:rsidRDefault="00D03C17">
            <w:pPr>
              <w:pStyle w:val="Other0"/>
              <w:framePr w:w="11414" w:h="5323" w:vSpace="883" w:wrap="none" w:hAnchor="page" w:x="635" w:y="419"/>
              <w:spacing w:line="240" w:lineRule="auto"/>
              <w:ind w:firstLine="160"/>
              <w:rPr>
                <w:sz w:val="16"/>
                <w:szCs w:val="16"/>
              </w:rPr>
            </w:pPr>
            <w:r>
              <w:rPr>
                <w:rFonts w:ascii="Times New Roman" w:eastAsia="Times New Roman" w:hAnsi="Times New Roman" w:cs="Times New Roman"/>
                <w:sz w:val="16"/>
                <w:szCs w:val="16"/>
              </w:rPr>
              <w:t>agua infestada</w:t>
            </w:r>
          </w:p>
        </w:tc>
        <w:tc>
          <w:tcPr>
            <w:tcW w:w="1138" w:type="dxa"/>
            <w:shd w:val="clear" w:color="auto" w:fill="FFFFFF"/>
          </w:tcPr>
          <w:p w14:paraId="0CF0CC77" w14:textId="77777777" w:rsidR="00D03C17" w:rsidRDefault="00D03C17">
            <w:pPr>
              <w:framePr w:w="11414" w:h="5323" w:vSpace="883" w:wrap="none" w:hAnchor="page" w:x="635" w:y="419"/>
              <w:rPr>
                <w:sz w:val="10"/>
                <w:szCs w:val="10"/>
              </w:rPr>
            </w:pPr>
          </w:p>
        </w:tc>
        <w:tc>
          <w:tcPr>
            <w:tcW w:w="1258" w:type="dxa"/>
            <w:shd w:val="clear" w:color="auto" w:fill="FFFFFF"/>
            <w:vAlign w:val="bottom"/>
          </w:tcPr>
          <w:p w14:paraId="0CE0B8B7" w14:textId="77777777" w:rsidR="00D03C17" w:rsidRDefault="00D03C17">
            <w:pPr>
              <w:pStyle w:val="Other0"/>
              <w:framePr w:w="11414" w:h="5323" w:vSpace="883" w:wrap="none" w:hAnchor="page" w:x="635" w:y="419"/>
              <w:spacing w:line="240" w:lineRule="auto"/>
              <w:ind w:firstLine="220"/>
              <w:rPr>
                <w:sz w:val="16"/>
                <w:szCs w:val="16"/>
              </w:rPr>
            </w:pPr>
            <w:r>
              <w:rPr>
                <w:rFonts w:ascii="Times New Roman" w:eastAsia="Times New Roman" w:hAnsi="Times New Roman" w:cs="Times New Roman"/>
                <w:sz w:val="16"/>
                <w:szCs w:val="16"/>
              </w:rPr>
              <w:t>del verme</w:t>
            </w:r>
          </w:p>
        </w:tc>
        <w:tc>
          <w:tcPr>
            <w:tcW w:w="1248" w:type="dxa"/>
            <w:shd w:val="clear" w:color="auto" w:fill="FFFFFF"/>
            <w:vAlign w:val="bottom"/>
          </w:tcPr>
          <w:p w14:paraId="241B02E6" w14:textId="77777777" w:rsidR="00D03C17" w:rsidRDefault="00D03C17">
            <w:pPr>
              <w:pStyle w:val="Other0"/>
              <w:framePr w:w="11414" w:h="5323" w:vSpace="883" w:wrap="none" w:hAnchor="page" w:x="635" w:y="419"/>
              <w:spacing w:line="240" w:lineRule="auto"/>
              <w:ind w:firstLine="140"/>
              <w:rPr>
                <w:sz w:val="16"/>
                <w:szCs w:val="16"/>
              </w:rPr>
            </w:pPr>
            <w:r>
              <w:rPr>
                <w:rFonts w:ascii="Times New Roman" w:eastAsia="Times New Roman" w:hAnsi="Times New Roman" w:cs="Times New Roman"/>
                <w:sz w:val="16"/>
                <w:szCs w:val="16"/>
              </w:rPr>
              <w:t>(verme)</w:t>
            </w:r>
          </w:p>
        </w:tc>
        <w:tc>
          <w:tcPr>
            <w:tcW w:w="1704" w:type="dxa"/>
            <w:shd w:val="clear" w:color="auto" w:fill="FFFFFF"/>
            <w:vAlign w:val="bottom"/>
          </w:tcPr>
          <w:p w14:paraId="3B4AF0CB" w14:textId="77777777" w:rsidR="00D03C17" w:rsidRDefault="00D03C17">
            <w:pPr>
              <w:pStyle w:val="Other0"/>
              <w:framePr w:w="11414" w:h="5323" w:vSpace="883" w:wrap="none" w:hAnchor="page" w:x="635" w:y="419"/>
              <w:spacing w:line="240" w:lineRule="auto"/>
              <w:ind w:firstLine="160"/>
              <w:rPr>
                <w:sz w:val="16"/>
                <w:szCs w:val="16"/>
              </w:rPr>
            </w:pPr>
            <w:r>
              <w:rPr>
                <w:rFonts w:ascii="Times New Roman" w:eastAsia="Times New Roman" w:hAnsi="Times New Roman" w:cs="Times New Roman"/>
                <w:sz w:val="16"/>
                <w:szCs w:val="16"/>
              </w:rPr>
              <w:t>emergen; respuesta</w:t>
            </w:r>
          </w:p>
        </w:tc>
      </w:tr>
      <w:tr w:rsidR="00D03C17" w14:paraId="55720443" w14:textId="77777777">
        <w:tblPrEx>
          <w:tblCellMar>
            <w:top w:w="0" w:type="dxa"/>
            <w:bottom w:w="0" w:type="dxa"/>
          </w:tblCellMar>
        </w:tblPrEx>
        <w:trPr>
          <w:trHeight w:hRule="exact" w:val="211"/>
        </w:trPr>
        <w:tc>
          <w:tcPr>
            <w:tcW w:w="1267" w:type="dxa"/>
            <w:shd w:val="clear" w:color="auto" w:fill="FFFFFF"/>
          </w:tcPr>
          <w:p w14:paraId="58E038FD" w14:textId="77777777" w:rsidR="00D03C17" w:rsidRDefault="00D03C17">
            <w:pPr>
              <w:pStyle w:val="Other0"/>
              <w:framePr w:w="11414" w:h="5323" w:vSpace="883" w:wrap="none" w:hAnchor="page" w:x="635" w:y="419"/>
              <w:spacing w:line="240" w:lineRule="auto"/>
              <w:ind w:firstLine="140"/>
              <w:rPr>
                <w:sz w:val="16"/>
                <w:szCs w:val="16"/>
              </w:rPr>
            </w:pPr>
            <w:r>
              <w:rPr>
                <w:rFonts w:ascii="Times New Roman" w:eastAsia="Times New Roman" w:hAnsi="Times New Roman" w:cs="Times New Roman"/>
                <w:i/>
                <w:iCs/>
                <w:sz w:val="16"/>
                <w:szCs w:val="16"/>
              </w:rPr>
              <w:t>medinensis)</w:t>
            </w:r>
          </w:p>
        </w:tc>
        <w:tc>
          <w:tcPr>
            <w:tcW w:w="1176" w:type="dxa"/>
            <w:shd w:val="clear" w:color="auto" w:fill="FFFFFF"/>
          </w:tcPr>
          <w:p w14:paraId="2CF72498" w14:textId="77777777" w:rsidR="00D03C17" w:rsidRDefault="00D03C17">
            <w:pPr>
              <w:framePr w:w="11414" w:h="5323" w:vSpace="883" w:wrap="none" w:hAnchor="page" w:x="635" w:y="419"/>
              <w:rPr>
                <w:sz w:val="10"/>
                <w:szCs w:val="10"/>
              </w:rPr>
            </w:pPr>
          </w:p>
        </w:tc>
        <w:tc>
          <w:tcPr>
            <w:tcW w:w="1133" w:type="dxa"/>
            <w:shd w:val="clear" w:color="auto" w:fill="FFFFFF"/>
          </w:tcPr>
          <w:p w14:paraId="2043972A" w14:textId="77777777" w:rsidR="00D03C17" w:rsidRDefault="00D03C17">
            <w:pPr>
              <w:framePr w:w="11414" w:h="5323" w:vSpace="883" w:wrap="none" w:hAnchor="page" w:x="635" w:y="419"/>
              <w:rPr>
                <w:sz w:val="10"/>
                <w:szCs w:val="10"/>
              </w:rPr>
            </w:pPr>
          </w:p>
        </w:tc>
        <w:tc>
          <w:tcPr>
            <w:tcW w:w="1248" w:type="dxa"/>
            <w:shd w:val="clear" w:color="auto" w:fill="FFFFFF"/>
          </w:tcPr>
          <w:p w14:paraId="5C0AE5B8" w14:textId="77777777" w:rsidR="00D03C17" w:rsidRDefault="00D03C17">
            <w:pPr>
              <w:framePr w:w="11414" w:h="5323" w:vSpace="883" w:wrap="none" w:hAnchor="page" w:x="635" w:y="419"/>
              <w:rPr>
                <w:sz w:val="10"/>
                <w:szCs w:val="10"/>
              </w:rPr>
            </w:pPr>
          </w:p>
        </w:tc>
        <w:tc>
          <w:tcPr>
            <w:tcW w:w="1243" w:type="dxa"/>
            <w:shd w:val="clear" w:color="auto" w:fill="FFFFFF"/>
          </w:tcPr>
          <w:p w14:paraId="291BBE47" w14:textId="77777777" w:rsidR="00D03C17" w:rsidRDefault="00D03C17">
            <w:pPr>
              <w:framePr w:w="11414" w:h="5323" w:vSpace="883" w:wrap="none" w:hAnchor="page" w:x="635" w:y="419"/>
              <w:rPr>
                <w:sz w:val="10"/>
                <w:szCs w:val="10"/>
              </w:rPr>
            </w:pPr>
          </w:p>
        </w:tc>
        <w:tc>
          <w:tcPr>
            <w:tcW w:w="1138" w:type="dxa"/>
            <w:shd w:val="clear" w:color="auto" w:fill="FFFFFF"/>
          </w:tcPr>
          <w:p w14:paraId="285F7BFE" w14:textId="77777777" w:rsidR="00D03C17" w:rsidRDefault="00D03C17">
            <w:pPr>
              <w:framePr w:w="11414" w:h="5323" w:vSpace="883" w:wrap="none" w:hAnchor="page" w:x="635" w:y="419"/>
              <w:rPr>
                <w:sz w:val="10"/>
                <w:szCs w:val="10"/>
              </w:rPr>
            </w:pPr>
          </w:p>
        </w:tc>
        <w:tc>
          <w:tcPr>
            <w:tcW w:w="1258" w:type="dxa"/>
            <w:shd w:val="clear" w:color="auto" w:fill="FFFFFF"/>
          </w:tcPr>
          <w:p w14:paraId="72247CB6" w14:textId="77777777" w:rsidR="00D03C17" w:rsidRDefault="00D03C17">
            <w:pPr>
              <w:pStyle w:val="Other0"/>
              <w:framePr w:w="11414" w:h="5323" w:vSpace="883" w:wrap="none" w:hAnchor="page" w:x="635" w:y="419"/>
              <w:spacing w:line="240" w:lineRule="auto"/>
              <w:ind w:firstLine="220"/>
              <w:rPr>
                <w:sz w:val="16"/>
                <w:szCs w:val="16"/>
              </w:rPr>
            </w:pPr>
            <w:r>
              <w:rPr>
                <w:rFonts w:ascii="Times New Roman" w:eastAsia="Times New Roman" w:hAnsi="Times New Roman" w:cs="Times New Roman"/>
                <w:sz w:val="16"/>
                <w:szCs w:val="16"/>
              </w:rPr>
              <w:t>adulto o</w:t>
            </w:r>
          </w:p>
        </w:tc>
        <w:tc>
          <w:tcPr>
            <w:tcW w:w="1248" w:type="dxa"/>
            <w:shd w:val="clear" w:color="auto" w:fill="FFFFFF"/>
          </w:tcPr>
          <w:p w14:paraId="7CD15038" w14:textId="77777777" w:rsidR="00D03C17" w:rsidRDefault="00D03C17">
            <w:pPr>
              <w:framePr w:w="11414" w:h="5323" w:vSpace="883" w:wrap="none" w:hAnchor="page" w:x="635" w:y="419"/>
              <w:rPr>
                <w:sz w:val="10"/>
                <w:szCs w:val="10"/>
              </w:rPr>
            </w:pPr>
          </w:p>
        </w:tc>
        <w:tc>
          <w:tcPr>
            <w:tcW w:w="1704" w:type="dxa"/>
            <w:shd w:val="clear" w:color="auto" w:fill="FFFFFF"/>
          </w:tcPr>
          <w:p w14:paraId="04FF6929" w14:textId="77777777" w:rsidR="00D03C17" w:rsidRDefault="00D03C17">
            <w:pPr>
              <w:pStyle w:val="Other0"/>
              <w:framePr w:w="11414" w:h="5323" w:vSpace="883" w:wrap="none" w:hAnchor="page" w:x="635" w:y="419"/>
              <w:spacing w:line="240" w:lineRule="auto"/>
              <w:ind w:firstLine="160"/>
              <w:rPr>
                <w:sz w:val="16"/>
                <w:szCs w:val="16"/>
              </w:rPr>
            </w:pPr>
            <w:r>
              <w:rPr>
                <w:rFonts w:ascii="Times New Roman" w:eastAsia="Times New Roman" w:hAnsi="Times New Roman" w:cs="Times New Roman"/>
                <w:sz w:val="16"/>
                <w:szCs w:val="16"/>
              </w:rPr>
              <w:t>inflamatoria;</w:t>
            </w:r>
          </w:p>
        </w:tc>
      </w:tr>
    </w:tbl>
    <w:p w14:paraId="121A6B4A" w14:textId="77777777" w:rsidR="00D03C17" w:rsidRDefault="00D03C17">
      <w:pPr>
        <w:framePr w:w="11414" w:h="5323" w:vSpace="883" w:wrap="none" w:hAnchor="page" w:x="635" w:y="419"/>
        <w:spacing w:line="1" w:lineRule="exact"/>
      </w:pPr>
    </w:p>
    <w:p w14:paraId="1A92AD68" w14:textId="77777777" w:rsidR="00D03C17" w:rsidRDefault="00D03C17">
      <w:pPr>
        <w:pStyle w:val="Tablecaption0"/>
        <w:framePr w:w="3893" w:h="883" w:wrap="none" w:hAnchor="page" w:x="8032" w:y="5742"/>
        <w:tabs>
          <w:tab w:val="left" w:pos="2424"/>
        </w:tabs>
        <w:spacing w:line="240" w:lineRule="auto"/>
        <w:ind w:left="0"/>
        <w:rPr>
          <w:sz w:val="16"/>
          <w:szCs w:val="16"/>
        </w:rPr>
      </w:pPr>
      <w:r>
        <w:rPr>
          <w:sz w:val="16"/>
          <w:szCs w:val="16"/>
        </w:rPr>
        <w:t>eclosión en</w:t>
      </w:r>
      <w:r>
        <w:rPr>
          <w:sz w:val="16"/>
          <w:szCs w:val="16"/>
        </w:rPr>
        <w:tab/>
        <w:t>manifestaciones</w:t>
      </w:r>
    </w:p>
    <w:p w14:paraId="0813391D" w14:textId="77777777" w:rsidR="00D03C17" w:rsidRDefault="00D03C17">
      <w:pPr>
        <w:pStyle w:val="Tablecaption0"/>
        <w:framePr w:w="3893" w:h="883" w:wrap="none" w:hAnchor="page" w:x="8032" w:y="5742"/>
        <w:tabs>
          <w:tab w:val="left" w:pos="2424"/>
        </w:tabs>
        <w:spacing w:line="240" w:lineRule="auto"/>
        <w:ind w:left="0"/>
        <w:rPr>
          <w:sz w:val="16"/>
          <w:szCs w:val="16"/>
        </w:rPr>
      </w:pPr>
      <w:r>
        <w:rPr>
          <w:sz w:val="16"/>
          <w:szCs w:val="16"/>
        </w:rPr>
        <w:t>tejidos</w:t>
      </w:r>
      <w:r>
        <w:rPr>
          <w:sz w:val="16"/>
          <w:szCs w:val="16"/>
        </w:rPr>
        <w:tab/>
        <w:t>sistémicas y vesícula</w:t>
      </w:r>
    </w:p>
    <w:p w14:paraId="6482C834" w14:textId="77777777" w:rsidR="00D03C17" w:rsidRDefault="00D03C17">
      <w:pPr>
        <w:pStyle w:val="Tablecaption0"/>
        <w:framePr w:w="3893" w:h="883" w:wrap="none" w:hAnchor="page" w:x="8032" w:y="5742"/>
        <w:tabs>
          <w:tab w:val="left" w:pos="2424"/>
        </w:tabs>
        <w:spacing w:line="240" w:lineRule="auto"/>
        <w:ind w:left="0"/>
        <w:rPr>
          <w:sz w:val="16"/>
          <w:szCs w:val="16"/>
        </w:rPr>
      </w:pPr>
      <w:r>
        <w:rPr>
          <w:sz w:val="16"/>
          <w:szCs w:val="16"/>
        </w:rPr>
        <w:t>subcutáneos</w:t>
      </w:r>
      <w:r>
        <w:rPr>
          <w:sz w:val="16"/>
          <w:szCs w:val="16"/>
        </w:rPr>
        <w:tab/>
        <w:t>o úlcera locales</w:t>
      </w:r>
    </w:p>
    <w:p w14:paraId="0847555A" w14:textId="77777777" w:rsidR="00D03C17" w:rsidRDefault="00D03C17">
      <w:pPr>
        <w:pStyle w:val="Tablecaption0"/>
        <w:framePr w:w="3893" w:h="883" w:wrap="none" w:hAnchor="page" w:x="8032" w:y="5742"/>
        <w:spacing w:line="240" w:lineRule="auto"/>
        <w:ind w:left="2460"/>
        <w:rPr>
          <w:sz w:val="16"/>
          <w:szCs w:val="16"/>
        </w:rPr>
      </w:pPr>
      <w:r>
        <w:rPr>
          <w:sz w:val="16"/>
          <w:szCs w:val="16"/>
        </w:rPr>
        <w:t>en la piel</w:t>
      </w:r>
    </w:p>
    <w:p w14:paraId="33A204BC" w14:textId="77777777" w:rsidR="00D03C17" w:rsidRDefault="00D03C17">
      <w:pPr>
        <w:pStyle w:val="Bodytext20"/>
        <w:framePr w:w="701" w:h="245" w:wrap="none" w:hAnchor="page" w:x="11372" w:y="6908"/>
        <w:spacing w:line="240" w:lineRule="auto"/>
        <w:jc w:val="right"/>
      </w:pPr>
      <w:r>
        <w:rPr>
          <w:i/>
          <w:iCs/>
        </w:rPr>
        <w:t>continúa</w:t>
      </w:r>
    </w:p>
    <w:p w14:paraId="699C6C1F" w14:textId="77777777" w:rsidR="00D03C17" w:rsidRDefault="00D03C17">
      <w:pPr>
        <w:pStyle w:val="Bodytext80"/>
        <w:framePr w:w="168" w:h="3912" w:hRule="exact" w:wrap="none" w:hAnchor="page" w:x="12390" w:y="49"/>
        <w:tabs>
          <w:tab w:val="left" w:pos="2957"/>
        </w:tabs>
        <w:textDirection w:val="tbRl"/>
      </w:pPr>
      <w:r>
        <w:rPr>
          <w:sz w:val="16"/>
          <w:szCs w:val="16"/>
        </w:rPr>
        <w:t>530</w:t>
      </w:r>
      <w:r>
        <w:rPr>
          <w:sz w:val="16"/>
          <w:szCs w:val="16"/>
        </w:rPr>
        <w:tab/>
      </w:r>
      <w:r>
        <w:t>PARASITOSIS</w:t>
      </w:r>
    </w:p>
    <w:p w14:paraId="30ECDA92" w14:textId="77777777" w:rsidR="00D03C17" w:rsidRDefault="00D03C17">
      <w:pPr>
        <w:spacing w:line="360" w:lineRule="exact"/>
      </w:pPr>
    </w:p>
    <w:p w14:paraId="0989EFCE" w14:textId="77777777" w:rsidR="00D03C17" w:rsidRDefault="00D03C17">
      <w:pPr>
        <w:spacing w:line="360" w:lineRule="exact"/>
      </w:pPr>
    </w:p>
    <w:p w14:paraId="0BC1605F" w14:textId="77777777" w:rsidR="00D03C17" w:rsidRDefault="00D03C17">
      <w:pPr>
        <w:spacing w:line="360" w:lineRule="exact"/>
      </w:pPr>
    </w:p>
    <w:p w14:paraId="149AC846" w14:textId="77777777" w:rsidR="00D03C17" w:rsidRDefault="00D03C17">
      <w:pPr>
        <w:spacing w:line="360" w:lineRule="exact"/>
      </w:pPr>
    </w:p>
    <w:p w14:paraId="1101DBE8" w14:textId="77777777" w:rsidR="00D03C17" w:rsidRDefault="00D03C17">
      <w:pPr>
        <w:spacing w:line="360" w:lineRule="exact"/>
      </w:pPr>
    </w:p>
    <w:p w14:paraId="0F5E08C9" w14:textId="77777777" w:rsidR="00D03C17" w:rsidRDefault="00D03C17">
      <w:pPr>
        <w:spacing w:line="360" w:lineRule="exact"/>
      </w:pPr>
    </w:p>
    <w:p w14:paraId="2583AEA9" w14:textId="77777777" w:rsidR="00D03C17" w:rsidRDefault="00D03C17">
      <w:pPr>
        <w:spacing w:line="360" w:lineRule="exact"/>
      </w:pPr>
    </w:p>
    <w:p w14:paraId="47D0403E" w14:textId="77777777" w:rsidR="00D03C17" w:rsidRDefault="00D03C17">
      <w:pPr>
        <w:spacing w:line="360" w:lineRule="exact"/>
      </w:pPr>
    </w:p>
    <w:p w14:paraId="1B3D62DE" w14:textId="77777777" w:rsidR="00D03C17" w:rsidRDefault="00D03C17">
      <w:pPr>
        <w:spacing w:line="360" w:lineRule="exact"/>
      </w:pPr>
    </w:p>
    <w:p w14:paraId="1D06980C" w14:textId="77777777" w:rsidR="00D03C17" w:rsidRDefault="00D03C17">
      <w:pPr>
        <w:spacing w:line="360" w:lineRule="exact"/>
      </w:pPr>
    </w:p>
    <w:p w14:paraId="2103BD15" w14:textId="77777777" w:rsidR="00D03C17" w:rsidRDefault="00D03C17">
      <w:pPr>
        <w:spacing w:line="360" w:lineRule="exact"/>
      </w:pPr>
    </w:p>
    <w:p w14:paraId="2779955D" w14:textId="77777777" w:rsidR="00D03C17" w:rsidRDefault="00D03C17">
      <w:pPr>
        <w:spacing w:line="360" w:lineRule="exact"/>
      </w:pPr>
    </w:p>
    <w:p w14:paraId="7E63D63D" w14:textId="77777777" w:rsidR="00D03C17" w:rsidRDefault="00D03C17">
      <w:pPr>
        <w:spacing w:line="360" w:lineRule="exact"/>
      </w:pPr>
    </w:p>
    <w:p w14:paraId="571EF0F9" w14:textId="77777777" w:rsidR="00D03C17" w:rsidRDefault="00D03C17">
      <w:pPr>
        <w:spacing w:line="360" w:lineRule="exact"/>
      </w:pPr>
    </w:p>
    <w:p w14:paraId="590F6263" w14:textId="77777777" w:rsidR="00D03C17" w:rsidRDefault="00D03C17">
      <w:pPr>
        <w:spacing w:line="360" w:lineRule="exact"/>
      </w:pPr>
    </w:p>
    <w:p w14:paraId="3E3E5951" w14:textId="77777777" w:rsidR="00D03C17" w:rsidRDefault="00D03C17">
      <w:pPr>
        <w:spacing w:line="360" w:lineRule="exact"/>
      </w:pPr>
    </w:p>
    <w:p w14:paraId="78F53ABC" w14:textId="77777777" w:rsidR="00D03C17" w:rsidRDefault="00D03C17">
      <w:pPr>
        <w:spacing w:line="360" w:lineRule="exact"/>
      </w:pPr>
    </w:p>
    <w:p w14:paraId="72DB34FB" w14:textId="77777777" w:rsidR="00D03C17" w:rsidRDefault="00D03C17">
      <w:pPr>
        <w:spacing w:line="360" w:lineRule="exact"/>
      </w:pPr>
    </w:p>
    <w:p w14:paraId="5E8C7698" w14:textId="77777777" w:rsidR="00D03C17" w:rsidRDefault="00D03C17">
      <w:pPr>
        <w:spacing w:after="671" w:line="1" w:lineRule="exact"/>
      </w:pPr>
    </w:p>
    <w:p w14:paraId="4DAE9756" w14:textId="77777777" w:rsidR="00D03C17" w:rsidRDefault="00D03C17">
      <w:pPr>
        <w:spacing w:line="1" w:lineRule="exact"/>
        <w:sectPr w:rsidR="00D03C17" w:rsidSect="00D03C17">
          <w:footnotePr>
            <w:numFmt w:val="chicago"/>
          </w:footnotePr>
          <w:pgSz w:w="13022" w:h="8501" w:orient="landscape"/>
          <w:pgMar w:top="456" w:right="466" w:bottom="456" w:left="634" w:header="28" w:footer="3" w:gutter="0"/>
          <w:cols w:space="720"/>
          <w:noEndnote/>
          <w:docGrid w:linePitch="360"/>
          <w15:footnoteColumns w:val="1"/>
        </w:sectPr>
      </w:pPr>
    </w:p>
    <w:p w14:paraId="3DF08A38" w14:textId="77777777" w:rsidR="00D03C17" w:rsidRDefault="00D03C17">
      <w:pPr>
        <w:pStyle w:val="Heading31"/>
        <w:keepNext/>
        <w:keepLines/>
        <w:framePr w:w="4406" w:h="322" w:wrap="none" w:hAnchor="page" w:x="4143" w:y="1"/>
        <w:rPr>
          <w:sz w:val="16"/>
          <w:szCs w:val="16"/>
        </w:rPr>
      </w:pPr>
      <w:bookmarkStart w:id="55" w:name="bookmark1081"/>
      <w:bookmarkStart w:id="56" w:name="bookmark1082"/>
      <w:bookmarkStart w:id="57" w:name="bookmark1083"/>
      <w:r>
        <w:rPr>
          <w:b w:val="0"/>
          <w:bCs w:val="0"/>
        </w:rPr>
        <w:t xml:space="preserve">Cuadro 3-52. </w:t>
      </w:r>
      <w:r>
        <w:t>Parasitosis adicionales</w:t>
      </w:r>
      <w:r>
        <w:rPr>
          <w:vertAlign w:val="superscript"/>
        </w:rPr>
        <w:t>1</w:t>
      </w:r>
      <w:r>
        <w:t xml:space="preserve"> </w:t>
      </w:r>
      <w:r>
        <w:rPr>
          <w:rFonts w:ascii="Times New Roman" w:eastAsia="Times New Roman" w:hAnsi="Times New Roman" w:cs="Times New Roman"/>
          <w:b w:val="0"/>
          <w:bCs w:val="0"/>
          <w:i/>
          <w:iCs/>
          <w:w w:val="100"/>
          <w:sz w:val="16"/>
          <w:szCs w:val="16"/>
        </w:rPr>
        <w:t>continuación</w:t>
      </w:r>
      <w:bookmarkEnd w:id="55"/>
      <w:bookmarkEnd w:id="56"/>
      <w:bookmarkEnd w:id="57"/>
    </w:p>
    <w:tbl>
      <w:tblPr>
        <w:tblOverlap w:val="never"/>
        <w:tblW w:w="0" w:type="auto"/>
        <w:tblLayout w:type="fixed"/>
        <w:tblCellMar>
          <w:left w:w="10" w:type="dxa"/>
          <w:right w:w="10" w:type="dxa"/>
        </w:tblCellMar>
        <w:tblLook w:val="04A0" w:firstRow="1" w:lastRow="0" w:firstColumn="1" w:lastColumn="0" w:noHBand="0" w:noVBand="1"/>
      </w:tblPr>
      <w:tblGrid>
        <w:gridCol w:w="1210"/>
        <w:gridCol w:w="1253"/>
        <w:gridCol w:w="2328"/>
        <w:gridCol w:w="1277"/>
        <w:gridCol w:w="1138"/>
        <w:gridCol w:w="1258"/>
        <w:gridCol w:w="1234"/>
        <w:gridCol w:w="1718"/>
      </w:tblGrid>
      <w:tr w:rsidR="00D03C17" w14:paraId="2FF70538" w14:textId="77777777">
        <w:tblPrEx>
          <w:tblCellMar>
            <w:top w:w="0" w:type="dxa"/>
            <w:bottom w:w="0" w:type="dxa"/>
          </w:tblCellMar>
        </w:tblPrEx>
        <w:trPr>
          <w:trHeight w:hRule="exact" w:val="1411"/>
        </w:trPr>
        <w:tc>
          <w:tcPr>
            <w:tcW w:w="1210" w:type="dxa"/>
            <w:shd w:val="clear" w:color="auto" w:fill="231F20"/>
          </w:tcPr>
          <w:p w14:paraId="4FF3673A" w14:textId="77777777" w:rsidR="00D03C17" w:rsidRDefault="00D03C17">
            <w:pPr>
              <w:pStyle w:val="Other0"/>
              <w:framePr w:w="11414" w:h="5035" w:wrap="none" w:hAnchor="page" w:x="635" w:y="371"/>
              <w:pBdr>
                <w:top w:val="single" w:sz="0" w:space="0" w:color="231F20"/>
                <w:left w:val="single" w:sz="0" w:space="0" w:color="231F20"/>
                <w:bottom w:val="single" w:sz="0" w:space="0" w:color="231F20"/>
                <w:right w:val="single" w:sz="0" w:space="0" w:color="231F20"/>
              </w:pBdr>
              <w:shd w:val="clear" w:color="auto" w:fill="231F20"/>
              <w:spacing w:before="80" w:line="209" w:lineRule="auto"/>
              <w:ind w:firstLine="0"/>
              <w:rPr>
                <w:sz w:val="24"/>
                <w:szCs w:val="24"/>
              </w:rPr>
            </w:pPr>
            <w:r>
              <w:rPr>
                <w:rFonts w:ascii="Arial" w:eastAsia="Arial" w:hAnsi="Arial" w:cs="Arial"/>
                <w:b/>
                <w:bCs/>
                <w:color w:val="FFFFFF"/>
                <w:w w:val="70"/>
                <w:sz w:val="24"/>
                <w:szCs w:val="24"/>
              </w:rPr>
              <w:t>Enfermedad, agente o ambos</w:t>
            </w:r>
          </w:p>
        </w:tc>
        <w:tc>
          <w:tcPr>
            <w:tcW w:w="1253" w:type="dxa"/>
            <w:shd w:val="clear" w:color="auto" w:fill="231F20"/>
            <w:vAlign w:val="center"/>
          </w:tcPr>
          <w:p w14:paraId="47CBF097" w14:textId="77777777" w:rsidR="00D03C17" w:rsidRDefault="00D03C17">
            <w:pPr>
              <w:pStyle w:val="Other0"/>
              <w:framePr w:w="11414" w:h="5035" w:wrap="none" w:hAnchor="page" w:x="635" w:y="371"/>
              <w:pBdr>
                <w:top w:val="single" w:sz="0" w:space="0" w:color="231F20"/>
                <w:left w:val="single" w:sz="0" w:space="0" w:color="231F20"/>
                <w:bottom w:val="single" w:sz="0" w:space="0" w:color="231F20"/>
                <w:right w:val="single" w:sz="0" w:space="0" w:color="231F20"/>
              </w:pBdr>
              <w:shd w:val="clear" w:color="auto" w:fill="231F20"/>
              <w:spacing w:line="209" w:lineRule="auto"/>
              <w:ind w:firstLine="0"/>
              <w:rPr>
                <w:sz w:val="24"/>
                <w:szCs w:val="24"/>
              </w:rPr>
            </w:pPr>
            <w:r>
              <w:rPr>
                <w:rFonts w:ascii="Arial" w:eastAsia="Arial" w:hAnsi="Arial" w:cs="Arial"/>
                <w:b/>
                <w:bCs/>
                <w:color w:val="FFFFFF"/>
                <w:w w:val="70"/>
                <w:sz w:val="24"/>
                <w:szCs w:val="24"/>
              </w:rPr>
              <w:t>Sitio en que se puede adquirir la infección</w:t>
            </w:r>
          </w:p>
        </w:tc>
        <w:tc>
          <w:tcPr>
            <w:tcW w:w="2328" w:type="dxa"/>
            <w:shd w:val="clear" w:color="auto" w:fill="231F20"/>
          </w:tcPr>
          <w:p w14:paraId="75D9A67F" w14:textId="77777777" w:rsidR="00D03C17" w:rsidRDefault="00D03C17">
            <w:pPr>
              <w:pStyle w:val="Other0"/>
              <w:framePr w:w="11414" w:h="5035" w:wrap="none" w:hAnchor="page" w:x="635" w:y="371"/>
              <w:pBdr>
                <w:top w:val="single" w:sz="0" w:space="0" w:color="231F20"/>
                <w:left w:val="single" w:sz="0" w:space="0" w:color="231F20"/>
                <w:bottom w:val="single" w:sz="0" w:space="0" w:color="231F20"/>
                <w:right w:val="single" w:sz="0" w:space="0" w:color="231F20"/>
              </w:pBdr>
              <w:shd w:val="clear" w:color="auto" w:fill="231F20"/>
              <w:spacing w:before="80" w:line="209" w:lineRule="auto"/>
              <w:ind w:firstLine="0"/>
              <w:rPr>
                <w:sz w:val="24"/>
                <w:szCs w:val="24"/>
              </w:rPr>
            </w:pPr>
            <w:r>
              <w:rPr>
                <w:rFonts w:ascii="Arial" w:eastAsia="Arial" w:hAnsi="Arial" w:cs="Arial"/>
                <w:b/>
                <w:bCs/>
                <w:color w:val="FFFFFF"/>
                <w:w w:val="70"/>
                <w:sz w:val="24"/>
                <w:szCs w:val="24"/>
              </w:rPr>
              <w:t>Hospedador Hospedador definitivo intermediario</w:t>
            </w:r>
          </w:p>
        </w:tc>
        <w:tc>
          <w:tcPr>
            <w:tcW w:w="1277" w:type="dxa"/>
            <w:shd w:val="clear" w:color="auto" w:fill="231F20"/>
            <w:vAlign w:val="center"/>
          </w:tcPr>
          <w:p w14:paraId="39D54794" w14:textId="77777777" w:rsidR="00D03C17" w:rsidRDefault="00D03C17">
            <w:pPr>
              <w:pStyle w:val="Other0"/>
              <w:framePr w:w="11414" w:h="5035" w:wrap="none" w:hAnchor="page" w:x="635" w:y="371"/>
              <w:pBdr>
                <w:top w:val="single" w:sz="0" w:space="0" w:color="231F20"/>
                <w:left w:val="single" w:sz="0" w:space="0" w:color="231F20"/>
                <w:bottom w:val="single" w:sz="0" w:space="0" w:color="231F20"/>
                <w:right w:val="single" w:sz="0" w:space="0" w:color="231F20"/>
              </w:pBdr>
              <w:shd w:val="clear" w:color="auto" w:fill="231F20"/>
              <w:spacing w:line="209" w:lineRule="auto"/>
              <w:ind w:firstLine="0"/>
              <w:rPr>
                <w:sz w:val="24"/>
                <w:szCs w:val="24"/>
              </w:rPr>
            </w:pPr>
            <w:r>
              <w:rPr>
                <w:rFonts w:ascii="Arial" w:eastAsia="Arial" w:hAnsi="Arial" w:cs="Arial"/>
                <w:b/>
                <w:bCs/>
                <w:color w:val="FFFFFF"/>
                <w:w w:val="70"/>
                <w:sz w:val="24"/>
                <w:szCs w:val="24"/>
              </w:rPr>
              <w:t>Mecanismos de infección de seres humanos</w:t>
            </w:r>
          </w:p>
        </w:tc>
        <w:tc>
          <w:tcPr>
            <w:tcW w:w="1138" w:type="dxa"/>
            <w:shd w:val="clear" w:color="auto" w:fill="231F20"/>
            <w:vAlign w:val="center"/>
          </w:tcPr>
          <w:p w14:paraId="4627D2E8" w14:textId="77777777" w:rsidR="00D03C17" w:rsidRDefault="00D03C17">
            <w:pPr>
              <w:pStyle w:val="Other0"/>
              <w:framePr w:w="11414" w:h="5035" w:wrap="none" w:hAnchor="page" w:x="635" w:y="371"/>
              <w:pBdr>
                <w:top w:val="single" w:sz="0" w:space="0" w:color="231F20"/>
                <w:left w:val="single" w:sz="0" w:space="0" w:color="231F20"/>
                <w:bottom w:val="single" w:sz="0" w:space="0" w:color="231F20"/>
                <w:right w:val="single" w:sz="0" w:space="0" w:color="231F20"/>
              </w:pBdr>
              <w:shd w:val="clear" w:color="auto" w:fill="231F20"/>
              <w:spacing w:line="209" w:lineRule="auto"/>
              <w:ind w:firstLine="0"/>
              <w:rPr>
                <w:sz w:val="24"/>
                <w:szCs w:val="24"/>
              </w:rPr>
            </w:pPr>
            <w:r>
              <w:rPr>
                <w:rFonts w:ascii="Arial" w:eastAsia="Arial" w:hAnsi="Arial" w:cs="Arial"/>
                <w:b/>
                <w:bCs/>
                <w:color w:val="FFFFFF"/>
                <w:w w:val="70"/>
                <w:sz w:val="24"/>
                <w:szCs w:val="24"/>
              </w:rPr>
              <w:t>Transmisión directa (persona a persona)</w:t>
            </w:r>
          </w:p>
        </w:tc>
        <w:tc>
          <w:tcPr>
            <w:tcW w:w="1258" w:type="dxa"/>
            <w:shd w:val="clear" w:color="auto" w:fill="231F20"/>
            <w:vAlign w:val="center"/>
          </w:tcPr>
          <w:p w14:paraId="00D2D578" w14:textId="77777777" w:rsidR="00D03C17" w:rsidRDefault="00D03C17">
            <w:pPr>
              <w:pStyle w:val="Other0"/>
              <w:framePr w:w="11414" w:h="5035" w:wrap="none" w:hAnchor="page" w:x="635" w:y="371"/>
              <w:pBdr>
                <w:top w:val="single" w:sz="0" w:space="0" w:color="231F20"/>
                <w:left w:val="single" w:sz="0" w:space="0" w:color="231F20"/>
                <w:bottom w:val="single" w:sz="0" w:space="0" w:color="231F20"/>
                <w:right w:val="single" w:sz="0" w:space="0" w:color="231F20"/>
              </w:pBdr>
              <w:shd w:val="clear" w:color="auto" w:fill="231F20"/>
              <w:spacing w:line="209" w:lineRule="auto"/>
              <w:ind w:firstLine="0"/>
              <w:rPr>
                <w:sz w:val="24"/>
                <w:szCs w:val="24"/>
              </w:rPr>
            </w:pPr>
            <w:r>
              <w:rPr>
                <w:rFonts w:ascii="Arial" w:eastAsia="Arial" w:hAnsi="Arial" w:cs="Arial"/>
                <w:b/>
                <w:bCs/>
                <w:color w:val="FFFFFF"/>
                <w:w w:val="70"/>
                <w:sz w:val="24"/>
                <w:szCs w:val="24"/>
              </w:rPr>
              <w:t>Métodos de laboratorio diagnóstico en seres humanos</w:t>
            </w:r>
          </w:p>
        </w:tc>
        <w:tc>
          <w:tcPr>
            <w:tcW w:w="1234" w:type="dxa"/>
            <w:shd w:val="clear" w:color="auto" w:fill="231F20"/>
          </w:tcPr>
          <w:p w14:paraId="3353FF23" w14:textId="77777777" w:rsidR="00D03C17" w:rsidRDefault="00D03C17">
            <w:pPr>
              <w:pStyle w:val="Other0"/>
              <w:framePr w:w="11414" w:h="5035" w:wrap="none" w:hAnchor="page" w:x="635" w:y="371"/>
              <w:pBdr>
                <w:top w:val="single" w:sz="0" w:space="0" w:color="231F20"/>
                <w:left w:val="single" w:sz="0" w:space="0" w:color="231F20"/>
                <w:bottom w:val="single" w:sz="0" w:space="0" w:color="231F20"/>
                <w:right w:val="single" w:sz="0" w:space="0" w:color="231F20"/>
              </w:pBdr>
              <w:shd w:val="clear" w:color="auto" w:fill="231F20"/>
              <w:spacing w:before="80" w:line="214" w:lineRule="auto"/>
              <w:ind w:firstLine="0"/>
              <w:rPr>
                <w:sz w:val="24"/>
                <w:szCs w:val="24"/>
              </w:rPr>
            </w:pPr>
            <w:r>
              <w:rPr>
                <w:rFonts w:ascii="Arial" w:eastAsia="Arial" w:hAnsi="Arial" w:cs="Arial"/>
                <w:b/>
                <w:bCs/>
                <w:color w:val="FFFFFF"/>
                <w:w w:val="70"/>
                <w:sz w:val="24"/>
                <w:szCs w:val="24"/>
              </w:rPr>
              <w:t>Forma causal del parásito</w:t>
            </w:r>
          </w:p>
        </w:tc>
        <w:tc>
          <w:tcPr>
            <w:tcW w:w="1718" w:type="dxa"/>
            <w:shd w:val="clear" w:color="auto" w:fill="231F20"/>
          </w:tcPr>
          <w:p w14:paraId="386FB171" w14:textId="77777777" w:rsidR="00D03C17" w:rsidRDefault="00D03C17">
            <w:pPr>
              <w:pStyle w:val="Other0"/>
              <w:framePr w:w="11414" w:h="5035" w:wrap="none" w:hAnchor="page" w:x="635" w:y="371"/>
              <w:pBdr>
                <w:top w:val="single" w:sz="0" w:space="0" w:color="231F20"/>
                <w:left w:val="single" w:sz="0" w:space="0" w:color="231F20"/>
                <w:bottom w:val="single" w:sz="0" w:space="0" w:color="231F20"/>
                <w:right w:val="single" w:sz="0" w:space="0" w:color="231F20"/>
              </w:pBdr>
              <w:shd w:val="clear" w:color="auto" w:fill="231F20"/>
              <w:spacing w:before="80" w:line="209" w:lineRule="auto"/>
              <w:ind w:firstLine="0"/>
              <w:rPr>
                <w:sz w:val="24"/>
                <w:szCs w:val="24"/>
              </w:rPr>
            </w:pPr>
            <w:r>
              <w:rPr>
                <w:rFonts w:ascii="Arial" w:eastAsia="Arial" w:hAnsi="Arial" w:cs="Arial"/>
                <w:b/>
                <w:bCs/>
                <w:color w:val="FFFFFF"/>
                <w:w w:val="70"/>
                <w:sz w:val="24"/>
                <w:szCs w:val="24"/>
              </w:rPr>
              <w:t>Manifestaciones en seres humanos</w:t>
            </w:r>
          </w:p>
        </w:tc>
      </w:tr>
      <w:tr w:rsidR="00D03C17" w14:paraId="1034A021" w14:textId="77777777">
        <w:tblPrEx>
          <w:tblCellMar>
            <w:top w:w="0" w:type="dxa"/>
            <w:bottom w:w="0" w:type="dxa"/>
          </w:tblCellMar>
        </w:tblPrEx>
        <w:trPr>
          <w:trHeight w:hRule="exact" w:val="278"/>
        </w:trPr>
        <w:tc>
          <w:tcPr>
            <w:tcW w:w="1210" w:type="dxa"/>
            <w:shd w:val="clear" w:color="auto" w:fill="FFFFFF"/>
            <w:vAlign w:val="bottom"/>
          </w:tcPr>
          <w:p w14:paraId="32900A50" w14:textId="77777777" w:rsidR="00D03C17" w:rsidRDefault="00D03C17">
            <w:pPr>
              <w:pStyle w:val="Other0"/>
              <w:framePr w:w="11414" w:h="5035" w:wrap="none" w:hAnchor="page" w:x="635" w:y="371"/>
              <w:spacing w:line="240" w:lineRule="auto"/>
              <w:ind w:firstLine="0"/>
              <w:rPr>
                <w:sz w:val="16"/>
                <w:szCs w:val="16"/>
              </w:rPr>
            </w:pPr>
            <w:r>
              <w:rPr>
                <w:rFonts w:ascii="Times New Roman" w:eastAsia="Times New Roman" w:hAnsi="Times New Roman" w:cs="Times New Roman"/>
                <w:sz w:val="16"/>
                <w:szCs w:val="16"/>
              </w:rPr>
              <w:t>Fascioliasis</w:t>
            </w:r>
          </w:p>
        </w:tc>
        <w:tc>
          <w:tcPr>
            <w:tcW w:w="1253" w:type="dxa"/>
            <w:shd w:val="clear" w:color="auto" w:fill="FFFFFF"/>
            <w:vAlign w:val="bottom"/>
          </w:tcPr>
          <w:p w14:paraId="5AE87827" w14:textId="77777777" w:rsidR="00D03C17" w:rsidRDefault="00D03C17">
            <w:pPr>
              <w:pStyle w:val="Other0"/>
              <w:framePr w:w="11414" w:h="5035" w:wrap="none" w:hAnchor="page" w:x="635" w:y="371"/>
              <w:spacing w:line="240" w:lineRule="auto"/>
              <w:ind w:firstLine="0"/>
              <w:rPr>
                <w:sz w:val="16"/>
                <w:szCs w:val="16"/>
              </w:rPr>
            </w:pPr>
            <w:r>
              <w:rPr>
                <w:rFonts w:ascii="Times New Roman" w:eastAsia="Times New Roman" w:hAnsi="Times New Roman" w:cs="Times New Roman"/>
                <w:sz w:val="16"/>
                <w:szCs w:val="16"/>
              </w:rPr>
              <w:t>Focos en todos</w:t>
            </w:r>
          </w:p>
        </w:tc>
        <w:tc>
          <w:tcPr>
            <w:tcW w:w="2328" w:type="dxa"/>
            <w:shd w:val="clear" w:color="auto" w:fill="FFFFFF"/>
            <w:vAlign w:val="bottom"/>
          </w:tcPr>
          <w:p w14:paraId="235648E3" w14:textId="77777777" w:rsidR="00D03C17" w:rsidRDefault="00D03C17">
            <w:pPr>
              <w:pStyle w:val="Other0"/>
              <w:framePr w:w="11414" w:h="5035" w:wrap="none" w:hAnchor="page" w:x="635" w:y="371"/>
              <w:spacing w:line="240" w:lineRule="auto"/>
              <w:ind w:firstLine="0"/>
              <w:rPr>
                <w:sz w:val="16"/>
                <w:szCs w:val="16"/>
              </w:rPr>
            </w:pPr>
            <w:r>
              <w:rPr>
                <w:rFonts w:ascii="Times New Roman" w:eastAsia="Times New Roman" w:hAnsi="Times New Roman" w:cs="Times New Roman"/>
                <w:sz w:val="16"/>
                <w:szCs w:val="16"/>
              </w:rPr>
              <w:t>Seres humanos, Algunos</w:t>
            </w:r>
          </w:p>
        </w:tc>
        <w:tc>
          <w:tcPr>
            <w:tcW w:w="1277" w:type="dxa"/>
            <w:shd w:val="clear" w:color="auto" w:fill="FFFFFF"/>
            <w:vAlign w:val="bottom"/>
          </w:tcPr>
          <w:p w14:paraId="4036E257" w14:textId="77777777" w:rsidR="00D03C17" w:rsidRDefault="00D03C17">
            <w:pPr>
              <w:pStyle w:val="Other0"/>
              <w:framePr w:w="11414" w:h="5035" w:wrap="none" w:hAnchor="page" w:x="635" w:y="371"/>
              <w:spacing w:line="240" w:lineRule="auto"/>
              <w:ind w:firstLine="0"/>
              <w:rPr>
                <w:sz w:val="16"/>
                <w:szCs w:val="16"/>
              </w:rPr>
            </w:pPr>
            <w:r>
              <w:rPr>
                <w:rFonts w:ascii="Times New Roman" w:eastAsia="Times New Roman" w:hAnsi="Times New Roman" w:cs="Times New Roman"/>
                <w:sz w:val="16"/>
                <w:szCs w:val="16"/>
              </w:rPr>
              <w:t>Consumo de</w:t>
            </w:r>
          </w:p>
        </w:tc>
        <w:tc>
          <w:tcPr>
            <w:tcW w:w="1138" w:type="dxa"/>
            <w:shd w:val="clear" w:color="auto" w:fill="FFFFFF"/>
            <w:vAlign w:val="bottom"/>
          </w:tcPr>
          <w:p w14:paraId="1495EE16" w14:textId="77777777" w:rsidR="00D03C17" w:rsidRDefault="00D03C17">
            <w:pPr>
              <w:pStyle w:val="Other0"/>
              <w:framePr w:w="11414" w:h="5035" w:wrap="none" w:hAnchor="page" w:x="635" w:y="371"/>
              <w:spacing w:line="240" w:lineRule="auto"/>
              <w:ind w:firstLine="0"/>
              <w:rPr>
                <w:sz w:val="16"/>
                <w:szCs w:val="16"/>
              </w:rPr>
            </w:pPr>
            <w:r>
              <w:rPr>
                <w:rFonts w:ascii="Times New Roman" w:eastAsia="Times New Roman" w:hAnsi="Times New Roman" w:cs="Times New Roman"/>
                <w:sz w:val="16"/>
                <w:szCs w:val="16"/>
              </w:rPr>
              <w:t>No</w:t>
            </w:r>
          </w:p>
        </w:tc>
        <w:tc>
          <w:tcPr>
            <w:tcW w:w="1258" w:type="dxa"/>
            <w:shd w:val="clear" w:color="auto" w:fill="FFFFFF"/>
            <w:vAlign w:val="bottom"/>
          </w:tcPr>
          <w:p w14:paraId="56DB8A99" w14:textId="77777777" w:rsidR="00D03C17" w:rsidRDefault="00D03C17">
            <w:pPr>
              <w:pStyle w:val="Other0"/>
              <w:framePr w:w="11414" w:h="5035" w:wrap="none" w:hAnchor="page" w:x="635" w:y="371"/>
              <w:spacing w:line="240" w:lineRule="auto"/>
              <w:ind w:firstLine="0"/>
              <w:rPr>
                <w:sz w:val="16"/>
                <w:szCs w:val="16"/>
              </w:rPr>
            </w:pPr>
            <w:r>
              <w:rPr>
                <w:rFonts w:ascii="Times New Roman" w:eastAsia="Times New Roman" w:hAnsi="Times New Roman" w:cs="Times New Roman"/>
                <w:sz w:val="16"/>
                <w:szCs w:val="16"/>
              </w:rPr>
              <w:t>Huevos en</w:t>
            </w:r>
          </w:p>
        </w:tc>
        <w:tc>
          <w:tcPr>
            <w:tcW w:w="1234" w:type="dxa"/>
            <w:shd w:val="clear" w:color="auto" w:fill="FFFFFF"/>
            <w:vAlign w:val="bottom"/>
          </w:tcPr>
          <w:p w14:paraId="3F60E9CC" w14:textId="77777777" w:rsidR="00D03C17" w:rsidRDefault="00D03C17">
            <w:pPr>
              <w:pStyle w:val="Other0"/>
              <w:framePr w:w="11414" w:h="5035" w:wrap="none" w:hAnchor="page" w:x="635" w:y="371"/>
              <w:spacing w:line="240" w:lineRule="auto"/>
              <w:ind w:firstLine="0"/>
              <w:rPr>
                <w:sz w:val="16"/>
                <w:szCs w:val="16"/>
              </w:rPr>
            </w:pPr>
            <w:r>
              <w:rPr>
                <w:rFonts w:ascii="Times New Roman" w:eastAsia="Times New Roman" w:hAnsi="Times New Roman" w:cs="Times New Roman"/>
                <w:sz w:val="16"/>
                <w:szCs w:val="16"/>
              </w:rPr>
              <w:t>Larvas y vermes</w:t>
            </w:r>
          </w:p>
        </w:tc>
        <w:tc>
          <w:tcPr>
            <w:tcW w:w="1718" w:type="dxa"/>
            <w:shd w:val="clear" w:color="auto" w:fill="FFFFFF"/>
            <w:vAlign w:val="bottom"/>
          </w:tcPr>
          <w:p w14:paraId="03F60543" w14:textId="77777777" w:rsidR="00D03C17" w:rsidRDefault="00D03C17">
            <w:pPr>
              <w:pStyle w:val="Other0"/>
              <w:framePr w:w="11414" w:h="5035" w:wrap="none" w:hAnchor="page" w:x="635" w:y="371"/>
              <w:spacing w:line="240" w:lineRule="auto"/>
              <w:ind w:firstLine="0"/>
              <w:rPr>
                <w:sz w:val="16"/>
                <w:szCs w:val="16"/>
              </w:rPr>
            </w:pPr>
            <w:r>
              <w:rPr>
                <w:rFonts w:ascii="Times New Roman" w:eastAsia="Times New Roman" w:hAnsi="Times New Roman" w:cs="Times New Roman"/>
                <w:sz w:val="16"/>
                <w:szCs w:val="16"/>
              </w:rPr>
              <w:t>Ataque del hígado y</w:t>
            </w:r>
          </w:p>
        </w:tc>
      </w:tr>
      <w:tr w:rsidR="00D03C17" w14:paraId="2BBBF5CA" w14:textId="77777777">
        <w:tblPrEx>
          <w:tblCellMar>
            <w:top w:w="0" w:type="dxa"/>
            <w:bottom w:w="0" w:type="dxa"/>
          </w:tblCellMar>
        </w:tblPrEx>
        <w:trPr>
          <w:trHeight w:hRule="exact" w:val="226"/>
        </w:trPr>
        <w:tc>
          <w:tcPr>
            <w:tcW w:w="1210" w:type="dxa"/>
            <w:shd w:val="clear" w:color="auto" w:fill="FFFFFF"/>
            <w:vAlign w:val="bottom"/>
          </w:tcPr>
          <w:p w14:paraId="4DEFBBB9" w14:textId="77777777" w:rsidR="00D03C17" w:rsidRDefault="00D03C17">
            <w:pPr>
              <w:pStyle w:val="Other0"/>
              <w:framePr w:w="11414" w:h="5035" w:wrap="none" w:hAnchor="page" w:x="635" w:y="371"/>
              <w:spacing w:line="240" w:lineRule="auto"/>
              <w:ind w:firstLine="140"/>
              <w:rPr>
                <w:sz w:val="16"/>
                <w:szCs w:val="16"/>
              </w:rPr>
            </w:pPr>
            <w:r>
              <w:rPr>
                <w:rFonts w:ascii="Times New Roman" w:eastAsia="Times New Roman" w:hAnsi="Times New Roman" w:cs="Times New Roman"/>
                <w:i/>
                <w:iCs/>
                <w:sz w:val="16"/>
                <w:szCs w:val="16"/>
              </w:rPr>
              <w:t>(Fasciola</w:t>
            </w:r>
          </w:p>
        </w:tc>
        <w:tc>
          <w:tcPr>
            <w:tcW w:w="1253" w:type="dxa"/>
            <w:shd w:val="clear" w:color="auto" w:fill="FFFFFF"/>
            <w:vAlign w:val="bottom"/>
          </w:tcPr>
          <w:p w14:paraId="010188B8" w14:textId="77777777" w:rsidR="00D03C17" w:rsidRDefault="00D03C17">
            <w:pPr>
              <w:pStyle w:val="Other0"/>
              <w:framePr w:w="11414" w:h="5035" w:wrap="none" w:hAnchor="page" w:x="635" w:y="371"/>
              <w:spacing w:line="240" w:lineRule="auto"/>
              <w:ind w:firstLine="180"/>
              <w:rPr>
                <w:sz w:val="16"/>
                <w:szCs w:val="16"/>
              </w:rPr>
            </w:pPr>
            <w:r>
              <w:rPr>
                <w:rFonts w:ascii="Times New Roman" w:eastAsia="Times New Roman" w:hAnsi="Times New Roman" w:cs="Times New Roman"/>
                <w:sz w:val="16"/>
                <w:szCs w:val="16"/>
              </w:rPr>
              <w:t>los trópicos y</w:t>
            </w:r>
          </w:p>
        </w:tc>
        <w:tc>
          <w:tcPr>
            <w:tcW w:w="2328" w:type="dxa"/>
            <w:shd w:val="clear" w:color="auto" w:fill="FFFFFF"/>
            <w:vAlign w:val="bottom"/>
          </w:tcPr>
          <w:p w14:paraId="32E6AC86" w14:textId="77777777" w:rsidR="00D03C17" w:rsidRDefault="00D03C17">
            <w:pPr>
              <w:pStyle w:val="Other0"/>
              <w:framePr w:w="11414" w:h="5035" w:wrap="none" w:hAnchor="page" w:x="635" w:y="371"/>
              <w:spacing w:line="240" w:lineRule="auto"/>
              <w:ind w:firstLine="140"/>
              <w:rPr>
                <w:sz w:val="16"/>
                <w:szCs w:val="16"/>
              </w:rPr>
            </w:pPr>
            <w:r>
              <w:rPr>
                <w:rFonts w:ascii="Times New Roman" w:eastAsia="Times New Roman" w:hAnsi="Times New Roman" w:cs="Times New Roman"/>
                <w:sz w:val="16"/>
                <w:szCs w:val="16"/>
              </w:rPr>
              <w:t>ovejas y otros caracoles de</w:t>
            </w:r>
          </w:p>
        </w:tc>
        <w:tc>
          <w:tcPr>
            <w:tcW w:w="1277" w:type="dxa"/>
            <w:shd w:val="clear" w:color="auto" w:fill="FFFFFF"/>
            <w:vAlign w:val="bottom"/>
          </w:tcPr>
          <w:p w14:paraId="56755491" w14:textId="77777777" w:rsidR="00D03C17" w:rsidRDefault="00D03C17">
            <w:pPr>
              <w:pStyle w:val="Other0"/>
              <w:framePr w:w="11414" w:h="5035" w:wrap="none" w:hAnchor="page" w:x="635" w:y="371"/>
              <w:spacing w:line="240" w:lineRule="auto"/>
              <w:ind w:firstLine="180"/>
              <w:rPr>
                <w:sz w:val="16"/>
                <w:szCs w:val="16"/>
              </w:rPr>
            </w:pPr>
            <w:r>
              <w:rPr>
                <w:rFonts w:ascii="Times New Roman" w:eastAsia="Times New Roman" w:hAnsi="Times New Roman" w:cs="Times New Roman"/>
                <w:sz w:val="16"/>
                <w:szCs w:val="16"/>
              </w:rPr>
              <w:t>plantas</w:t>
            </w:r>
          </w:p>
        </w:tc>
        <w:tc>
          <w:tcPr>
            <w:tcW w:w="1138" w:type="dxa"/>
            <w:shd w:val="clear" w:color="auto" w:fill="FFFFFF"/>
          </w:tcPr>
          <w:p w14:paraId="6E3A1361" w14:textId="77777777" w:rsidR="00D03C17" w:rsidRDefault="00D03C17">
            <w:pPr>
              <w:framePr w:w="11414" w:h="5035" w:wrap="none" w:hAnchor="page" w:x="635" w:y="371"/>
              <w:rPr>
                <w:sz w:val="10"/>
                <w:szCs w:val="10"/>
              </w:rPr>
            </w:pPr>
          </w:p>
        </w:tc>
        <w:tc>
          <w:tcPr>
            <w:tcW w:w="1258" w:type="dxa"/>
            <w:shd w:val="clear" w:color="auto" w:fill="FFFFFF"/>
            <w:vAlign w:val="bottom"/>
          </w:tcPr>
          <w:p w14:paraId="45066A85" w14:textId="77777777" w:rsidR="00D03C17" w:rsidRDefault="00D03C17">
            <w:pPr>
              <w:pStyle w:val="Other0"/>
              <w:framePr w:w="11414" w:h="5035" w:wrap="none" w:hAnchor="page" w:x="635" w:y="371"/>
              <w:spacing w:line="240" w:lineRule="auto"/>
              <w:ind w:firstLine="200"/>
              <w:rPr>
                <w:sz w:val="16"/>
                <w:szCs w:val="16"/>
              </w:rPr>
            </w:pPr>
            <w:r>
              <w:rPr>
                <w:rFonts w:ascii="Times New Roman" w:eastAsia="Times New Roman" w:hAnsi="Times New Roman" w:cs="Times New Roman"/>
                <w:sz w:val="16"/>
                <w:szCs w:val="16"/>
              </w:rPr>
              <w:t>excremento,</w:t>
            </w:r>
          </w:p>
        </w:tc>
        <w:tc>
          <w:tcPr>
            <w:tcW w:w="1234" w:type="dxa"/>
            <w:shd w:val="clear" w:color="auto" w:fill="FFFFFF"/>
            <w:vAlign w:val="bottom"/>
          </w:tcPr>
          <w:p w14:paraId="22315AF1" w14:textId="77777777" w:rsidR="00D03C17" w:rsidRDefault="00D03C17">
            <w:pPr>
              <w:pStyle w:val="Other0"/>
              <w:framePr w:w="11414" w:h="5035" w:wrap="none" w:hAnchor="page" w:x="635" w:y="371"/>
              <w:spacing w:line="240" w:lineRule="auto"/>
              <w:ind w:firstLine="140"/>
              <w:rPr>
                <w:sz w:val="16"/>
                <w:szCs w:val="16"/>
              </w:rPr>
            </w:pPr>
            <w:r>
              <w:rPr>
                <w:rFonts w:ascii="Times New Roman" w:eastAsia="Times New Roman" w:hAnsi="Times New Roman" w:cs="Times New Roman"/>
                <w:sz w:val="16"/>
                <w:szCs w:val="16"/>
              </w:rPr>
              <w:t>maduros</w:t>
            </w:r>
          </w:p>
        </w:tc>
        <w:tc>
          <w:tcPr>
            <w:tcW w:w="1718" w:type="dxa"/>
            <w:shd w:val="clear" w:color="auto" w:fill="FFFFFF"/>
            <w:vAlign w:val="bottom"/>
          </w:tcPr>
          <w:p w14:paraId="5A7A953C" w14:textId="77777777" w:rsidR="00D03C17" w:rsidRDefault="00D03C17">
            <w:pPr>
              <w:pStyle w:val="Other0"/>
              <w:framePr w:w="11414" w:h="5035" w:wrap="none" w:hAnchor="page" w:x="635" w:y="371"/>
              <w:spacing w:line="240" w:lineRule="auto"/>
              <w:ind w:firstLine="160"/>
              <w:rPr>
                <w:sz w:val="16"/>
                <w:szCs w:val="16"/>
              </w:rPr>
            </w:pPr>
            <w:r>
              <w:rPr>
                <w:rFonts w:ascii="Times New Roman" w:eastAsia="Times New Roman" w:hAnsi="Times New Roman" w:cs="Times New Roman"/>
                <w:sz w:val="16"/>
                <w:szCs w:val="16"/>
              </w:rPr>
              <w:t>árbol biliar;</w:t>
            </w:r>
          </w:p>
        </w:tc>
      </w:tr>
      <w:tr w:rsidR="00D03C17" w14:paraId="18EC8EC5" w14:textId="77777777">
        <w:tblPrEx>
          <w:tblCellMar>
            <w:top w:w="0" w:type="dxa"/>
            <w:bottom w:w="0" w:type="dxa"/>
          </w:tblCellMar>
        </w:tblPrEx>
        <w:trPr>
          <w:trHeight w:hRule="exact" w:val="221"/>
        </w:trPr>
        <w:tc>
          <w:tcPr>
            <w:tcW w:w="1210" w:type="dxa"/>
            <w:shd w:val="clear" w:color="auto" w:fill="FFFFFF"/>
          </w:tcPr>
          <w:p w14:paraId="64D11BCD" w14:textId="77777777" w:rsidR="00D03C17" w:rsidRDefault="00D03C17">
            <w:pPr>
              <w:pStyle w:val="Other0"/>
              <w:framePr w:w="11414" w:h="5035" w:wrap="none" w:hAnchor="page" w:x="635" w:y="371"/>
              <w:spacing w:line="240" w:lineRule="auto"/>
              <w:ind w:firstLine="140"/>
              <w:rPr>
                <w:sz w:val="16"/>
                <w:szCs w:val="16"/>
              </w:rPr>
            </w:pPr>
            <w:r>
              <w:rPr>
                <w:rFonts w:ascii="Times New Roman" w:eastAsia="Times New Roman" w:hAnsi="Times New Roman" w:cs="Times New Roman"/>
                <w:i/>
                <w:iCs/>
                <w:sz w:val="16"/>
                <w:szCs w:val="16"/>
              </w:rPr>
              <w:t>hepatica)</w:t>
            </w:r>
          </w:p>
        </w:tc>
        <w:tc>
          <w:tcPr>
            <w:tcW w:w="1253" w:type="dxa"/>
            <w:shd w:val="clear" w:color="auto" w:fill="FFFFFF"/>
          </w:tcPr>
          <w:p w14:paraId="45246402" w14:textId="77777777" w:rsidR="00D03C17" w:rsidRDefault="00D03C17">
            <w:pPr>
              <w:pStyle w:val="Other0"/>
              <w:framePr w:w="11414" w:h="5035" w:wrap="none" w:hAnchor="page" w:x="635" w:y="371"/>
              <w:spacing w:line="240" w:lineRule="auto"/>
              <w:ind w:firstLine="180"/>
              <w:rPr>
                <w:sz w:val="16"/>
                <w:szCs w:val="16"/>
              </w:rPr>
            </w:pPr>
            <w:r>
              <w:rPr>
                <w:rFonts w:ascii="Times New Roman" w:eastAsia="Times New Roman" w:hAnsi="Times New Roman" w:cs="Times New Roman"/>
                <w:sz w:val="16"/>
                <w:szCs w:val="16"/>
              </w:rPr>
              <w:t>zonas templadas</w:t>
            </w:r>
          </w:p>
        </w:tc>
        <w:tc>
          <w:tcPr>
            <w:tcW w:w="2328" w:type="dxa"/>
            <w:shd w:val="clear" w:color="auto" w:fill="FFFFFF"/>
          </w:tcPr>
          <w:p w14:paraId="201D8715" w14:textId="77777777" w:rsidR="00D03C17" w:rsidRDefault="00D03C17">
            <w:pPr>
              <w:pStyle w:val="Other0"/>
              <w:framePr w:w="11414" w:h="5035" w:wrap="none" w:hAnchor="page" w:x="635" w:y="371"/>
              <w:tabs>
                <w:tab w:val="left" w:pos="1263"/>
              </w:tabs>
              <w:spacing w:line="240" w:lineRule="auto"/>
              <w:ind w:firstLine="140"/>
              <w:rPr>
                <w:sz w:val="16"/>
                <w:szCs w:val="16"/>
              </w:rPr>
            </w:pPr>
            <w:r>
              <w:rPr>
                <w:rFonts w:ascii="Times New Roman" w:eastAsia="Times New Roman" w:hAnsi="Times New Roman" w:cs="Times New Roman"/>
                <w:sz w:val="16"/>
                <w:szCs w:val="16"/>
              </w:rPr>
              <w:t>herbívoros</w:t>
            </w:r>
            <w:r>
              <w:rPr>
                <w:rFonts w:ascii="Times New Roman" w:eastAsia="Times New Roman" w:hAnsi="Times New Roman" w:cs="Times New Roman"/>
                <w:sz w:val="16"/>
                <w:szCs w:val="16"/>
              </w:rPr>
              <w:tab/>
              <w:t>agua dulce y</w:t>
            </w:r>
          </w:p>
        </w:tc>
        <w:tc>
          <w:tcPr>
            <w:tcW w:w="2415" w:type="dxa"/>
            <w:gridSpan w:val="2"/>
            <w:shd w:val="clear" w:color="auto" w:fill="FFFFFF"/>
          </w:tcPr>
          <w:p w14:paraId="27D3E8C1" w14:textId="77777777" w:rsidR="00D03C17" w:rsidRDefault="00D03C17">
            <w:pPr>
              <w:pStyle w:val="Other0"/>
              <w:framePr w:w="11414" w:h="5035" w:wrap="none" w:hAnchor="page" w:x="635" w:y="371"/>
              <w:spacing w:line="240" w:lineRule="auto"/>
              <w:ind w:firstLine="180"/>
              <w:rPr>
                <w:sz w:val="16"/>
                <w:szCs w:val="16"/>
              </w:rPr>
            </w:pPr>
            <w:r>
              <w:rPr>
                <w:rFonts w:ascii="Times New Roman" w:eastAsia="Times New Roman" w:hAnsi="Times New Roman" w:cs="Times New Roman"/>
                <w:sz w:val="16"/>
                <w:szCs w:val="16"/>
              </w:rPr>
              <w:t>infectadas crudas</w:t>
            </w:r>
          </w:p>
        </w:tc>
        <w:tc>
          <w:tcPr>
            <w:tcW w:w="1258" w:type="dxa"/>
            <w:shd w:val="clear" w:color="auto" w:fill="FFFFFF"/>
          </w:tcPr>
          <w:p w14:paraId="0794E977" w14:textId="77777777" w:rsidR="00D03C17" w:rsidRDefault="00D03C17">
            <w:pPr>
              <w:pStyle w:val="Other0"/>
              <w:framePr w:w="11414" w:h="5035" w:wrap="none" w:hAnchor="page" w:x="635" w:y="371"/>
              <w:spacing w:line="240" w:lineRule="auto"/>
              <w:ind w:firstLine="200"/>
              <w:rPr>
                <w:sz w:val="16"/>
                <w:szCs w:val="16"/>
              </w:rPr>
            </w:pPr>
            <w:r>
              <w:rPr>
                <w:rFonts w:ascii="Times New Roman" w:eastAsia="Times New Roman" w:hAnsi="Times New Roman" w:cs="Times New Roman"/>
                <w:sz w:val="16"/>
                <w:szCs w:val="16"/>
              </w:rPr>
              <w:t>líquido</w:t>
            </w:r>
          </w:p>
        </w:tc>
        <w:tc>
          <w:tcPr>
            <w:tcW w:w="1234" w:type="dxa"/>
            <w:shd w:val="clear" w:color="auto" w:fill="FFFFFF"/>
          </w:tcPr>
          <w:p w14:paraId="76CD3A4B" w14:textId="77777777" w:rsidR="00D03C17" w:rsidRDefault="00D03C17">
            <w:pPr>
              <w:framePr w:w="11414" w:h="5035" w:wrap="none" w:hAnchor="page" w:x="635" w:y="371"/>
              <w:rPr>
                <w:sz w:val="10"/>
                <w:szCs w:val="10"/>
              </w:rPr>
            </w:pPr>
          </w:p>
        </w:tc>
        <w:tc>
          <w:tcPr>
            <w:tcW w:w="1718" w:type="dxa"/>
            <w:shd w:val="clear" w:color="auto" w:fill="FFFFFF"/>
          </w:tcPr>
          <w:p w14:paraId="3A4234B3" w14:textId="77777777" w:rsidR="00D03C17" w:rsidRDefault="00D03C17">
            <w:pPr>
              <w:pStyle w:val="Other0"/>
              <w:framePr w:w="11414" w:h="5035" w:wrap="none" w:hAnchor="page" w:x="635" w:y="371"/>
              <w:spacing w:line="240" w:lineRule="auto"/>
              <w:ind w:firstLine="160"/>
              <w:rPr>
                <w:sz w:val="16"/>
                <w:szCs w:val="16"/>
              </w:rPr>
            </w:pPr>
            <w:r>
              <w:rPr>
                <w:rFonts w:ascii="Times New Roman" w:eastAsia="Times New Roman" w:hAnsi="Times New Roman" w:cs="Times New Roman"/>
                <w:sz w:val="16"/>
                <w:szCs w:val="16"/>
              </w:rPr>
              <w:t>enfermedad</w:t>
            </w:r>
          </w:p>
        </w:tc>
      </w:tr>
      <w:tr w:rsidR="00D03C17" w14:paraId="31A483C4" w14:textId="77777777">
        <w:tblPrEx>
          <w:tblCellMar>
            <w:top w:w="0" w:type="dxa"/>
            <w:bottom w:w="0" w:type="dxa"/>
          </w:tblCellMar>
        </w:tblPrEx>
        <w:trPr>
          <w:trHeight w:hRule="exact" w:val="216"/>
        </w:trPr>
        <w:tc>
          <w:tcPr>
            <w:tcW w:w="1210" w:type="dxa"/>
            <w:shd w:val="clear" w:color="auto" w:fill="FFFFFF"/>
          </w:tcPr>
          <w:p w14:paraId="462DE9F1" w14:textId="77777777" w:rsidR="00D03C17" w:rsidRDefault="00D03C17">
            <w:pPr>
              <w:framePr w:w="11414" w:h="5035" w:wrap="none" w:hAnchor="page" w:x="635" w:y="371"/>
              <w:rPr>
                <w:sz w:val="10"/>
                <w:szCs w:val="10"/>
              </w:rPr>
            </w:pPr>
          </w:p>
        </w:tc>
        <w:tc>
          <w:tcPr>
            <w:tcW w:w="1253" w:type="dxa"/>
            <w:shd w:val="clear" w:color="auto" w:fill="FFFFFF"/>
          </w:tcPr>
          <w:p w14:paraId="6A749C3D" w14:textId="77777777" w:rsidR="00D03C17" w:rsidRDefault="00D03C17">
            <w:pPr>
              <w:framePr w:w="11414" w:h="5035" w:wrap="none" w:hAnchor="page" w:x="635" w:y="371"/>
              <w:rPr>
                <w:sz w:val="10"/>
                <w:szCs w:val="10"/>
              </w:rPr>
            </w:pPr>
          </w:p>
        </w:tc>
        <w:tc>
          <w:tcPr>
            <w:tcW w:w="2328" w:type="dxa"/>
            <w:shd w:val="clear" w:color="auto" w:fill="FFFFFF"/>
          </w:tcPr>
          <w:p w14:paraId="169ABA43" w14:textId="77777777" w:rsidR="00D03C17" w:rsidRDefault="00D03C17">
            <w:pPr>
              <w:pStyle w:val="Other0"/>
              <w:framePr w:w="11414" w:h="5035" w:wrap="none" w:hAnchor="page" w:x="635" w:y="371"/>
              <w:spacing w:line="240" w:lineRule="auto"/>
              <w:ind w:left="1260" w:firstLine="0"/>
              <w:rPr>
                <w:sz w:val="16"/>
                <w:szCs w:val="16"/>
              </w:rPr>
            </w:pPr>
            <w:r>
              <w:rPr>
                <w:rFonts w:ascii="Times New Roman" w:eastAsia="Times New Roman" w:hAnsi="Times New Roman" w:cs="Times New Roman"/>
                <w:sz w:val="16"/>
                <w:szCs w:val="16"/>
              </w:rPr>
              <w:t>vegetación</w:t>
            </w:r>
          </w:p>
        </w:tc>
        <w:tc>
          <w:tcPr>
            <w:tcW w:w="1277" w:type="dxa"/>
            <w:shd w:val="clear" w:color="auto" w:fill="FFFFFF"/>
          </w:tcPr>
          <w:p w14:paraId="48E8579C" w14:textId="77777777" w:rsidR="00D03C17" w:rsidRDefault="00D03C17">
            <w:pPr>
              <w:pStyle w:val="Other0"/>
              <w:framePr w:w="11414" w:h="5035" w:wrap="none" w:hAnchor="page" w:x="635" w:y="371"/>
              <w:spacing w:line="240" w:lineRule="auto"/>
              <w:ind w:firstLine="180"/>
              <w:rPr>
                <w:sz w:val="16"/>
                <w:szCs w:val="16"/>
              </w:rPr>
            </w:pPr>
            <w:r>
              <w:rPr>
                <w:rFonts w:ascii="Times New Roman" w:eastAsia="Times New Roman" w:hAnsi="Times New Roman" w:cs="Times New Roman"/>
                <w:sz w:val="16"/>
                <w:szCs w:val="16"/>
              </w:rPr>
              <w:t>como el berro</w:t>
            </w:r>
          </w:p>
        </w:tc>
        <w:tc>
          <w:tcPr>
            <w:tcW w:w="1138" w:type="dxa"/>
            <w:shd w:val="clear" w:color="auto" w:fill="FFFFFF"/>
          </w:tcPr>
          <w:p w14:paraId="1475C927" w14:textId="77777777" w:rsidR="00D03C17" w:rsidRDefault="00D03C17">
            <w:pPr>
              <w:framePr w:w="11414" w:h="5035" w:wrap="none" w:hAnchor="page" w:x="635" w:y="371"/>
              <w:rPr>
                <w:sz w:val="10"/>
                <w:szCs w:val="10"/>
              </w:rPr>
            </w:pPr>
          </w:p>
        </w:tc>
        <w:tc>
          <w:tcPr>
            <w:tcW w:w="1258" w:type="dxa"/>
            <w:shd w:val="clear" w:color="auto" w:fill="FFFFFF"/>
          </w:tcPr>
          <w:p w14:paraId="05B2899B" w14:textId="77777777" w:rsidR="00D03C17" w:rsidRDefault="00D03C17">
            <w:pPr>
              <w:pStyle w:val="Other0"/>
              <w:framePr w:w="11414" w:h="5035" w:wrap="none" w:hAnchor="page" w:x="635" w:y="371"/>
              <w:spacing w:line="240" w:lineRule="auto"/>
              <w:ind w:firstLine="200"/>
              <w:rPr>
                <w:sz w:val="16"/>
                <w:szCs w:val="16"/>
              </w:rPr>
            </w:pPr>
            <w:r>
              <w:rPr>
                <w:rFonts w:ascii="Times New Roman" w:eastAsia="Times New Roman" w:hAnsi="Times New Roman" w:cs="Times New Roman"/>
                <w:sz w:val="16"/>
                <w:szCs w:val="16"/>
              </w:rPr>
              <w:t>duodenal o</w:t>
            </w:r>
          </w:p>
        </w:tc>
        <w:tc>
          <w:tcPr>
            <w:tcW w:w="1234" w:type="dxa"/>
            <w:shd w:val="clear" w:color="auto" w:fill="FFFFFF"/>
          </w:tcPr>
          <w:p w14:paraId="2D55A7C5" w14:textId="77777777" w:rsidR="00D03C17" w:rsidRDefault="00D03C17">
            <w:pPr>
              <w:framePr w:w="11414" w:h="5035" w:wrap="none" w:hAnchor="page" w:x="635" w:y="371"/>
              <w:rPr>
                <w:sz w:val="10"/>
                <w:szCs w:val="10"/>
              </w:rPr>
            </w:pPr>
          </w:p>
        </w:tc>
        <w:tc>
          <w:tcPr>
            <w:tcW w:w="1718" w:type="dxa"/>
            <w:shd w:val="clear" w:color="auto" w:fill="FFFFFF"/>
          </w:tcPr>
          <w:p w14:paraId="4A120DB4" w14:textId="77777777" w:rsidR="00D03C17" w:rsidRDefault="00D03C17">
            <w:pPr>
              <w:pStyle w:val="Other0"/>
              <w:framePr w:w="11414" w:h="5035" w:wrap="none" w:hAnchor="page" w:x="635" w:y="371"/>
              <w:spacing w:line="240" w:lineRule="auto"/>
              <w:ind w:firstLine="160"/>
              <w:rPr>
                <w:sz w:val="16"/>
                <w:szCs w:val="16"/>
              </w:rPr>
            </w:pPr>
            <w:r>
              <w:rPr>
                <w:rFonts w:ascii="Times New Roman" w:eastAsia="Times New Roman" w:hAnsi="Times New Roman" w:cs="Times New Roman"/>
                <w:sz w:val="16"/>
                <w:szCs w:val="16"/>
              </w:rPr>
              <w:t>gastrointestinal</w:t>
            </w:r>
          </w:p>
        </w:tc>
      </w:tr>
      <w:tr w:rsidR="00D03C17" w14:paraId="207D93C4" w14:textId="77777777">
        <w:tblPrEx>
          <w:tblCellMar>
            <w:top w:w="0" w:type="dxa"/>
            <w:bottom w:w="0" w:type="dxa"/>
          </w:tblCellMar>
        </w:tblPrEx>
        <w:trPr>
          <w:trHeight w:hRule="exact" w:val="437"/>
        </w:trPr>
        <w:tc>
          <w:tcPr>
            <w:tcW w:w="1210" w:type="dxa"/>
            <w:shd w:val="clear" w:color="auto" w:fill="FFFFFF"/>
          </w:tcPr>
          <w:p w14:paraId="0F5FB3B9" w14:textId="77777777" w:rsidR="00D03C17" w:rsidRDefault="00D03C17">
            <w:pPr>
              <w:framePr w:w="11414" w:h="5035" w:wrap="none" w:hAnchor="page" w:x="635" w:y="371"/>
              <w:rPr>
                <w:sz w:val="10"/>
                <w:szCs w:val="10"/>
              </w:rPr>
            </w:pPr>
          </w:p>
        </w:tc>
        <w:tc>
          <w:tcPr>
            <w:tcW w:w="1253" w:type="dxa"/>
            <w:shd w:val="clear" w:color="auto" w:fill="FFFFFF"/>
          </w:tcPr>
          <w:p w14:paraId="657E788D" w14:textId="77777777" w:rsidR="00D03C17" w:rsidRDefault="00D03C17">
            <w:pPr>
              <w:framePr w:w="11414" w:h="5035" w:wrap="none" w:hAnchor="page" w:x="635" w:y="371"/>
              <w:rPr>
                <w:sz w:val="10"/>
                <w:szCs w:val="10"/>
              </w:rPr>
            </w:pPr>
          </w:p>
        </w:tc>
        <w:tc>
          <w:tcPr>
            <w:tcW w:w="2328" w:type="dxa"/>
            <w:shd w:val="clear" w:color="auto" w:fill="FFFFFF"/>
          </w:tcPr>
          <w:p w14:paraId="3FE3A9D7" w14:textId="77777777" w:rsidR="00D03C17" w:rsidRDefault="00D03C17">
            <w:pPr>
              <w:framePr w:w="11414" w:h="5035" w:wrap="none" w:hAnchor="page" w:x="635" w:y="371"/>
              <w:rPr>
                <w:sz w:val="10"/>
                <w:szCs w:val="10"/>
              </w:rPr>
            </w:pPr>
          </w:p>
        </w:tc>
        <w:tc>
          <w:tcPr>
            <w:tcW w:w="1277" w:type="dxa"/>
            <w:shd w:val="clear" w:color="auto" w:fill="FFFFFF"/>
          </w:tcPr>
          <w:p w14:paraId="1BF7772C" w14:textId="77777777" w:rsidR="00D03C17" w:rsidRDefault="00D03C17">
            <w:pPr>
              <w:pStyle w:val="Other0"/>
              <w:framePr w:w="11414" w:h="5035" w:wrap="none" w:hAnchor="page" w:x="635" w:y="371"/>
              <w:spacing w:line="240" w:lineRule="auto"/>
              <w:ind w:firstLine="180"/>
              <w:rPr>
                <w:sz w:val="16"/>
                <w:szCs w:val="16"/>
              </w:rPr>
            </w:pPr>
            <w:r>
              <w:rPr>
                <w:rFonts w:ascii="Times New Roman" w:eastAsia="Times New Roman" w:hAnsi="Times New Roman" w:cs="Times New Roman"/>
                <w:sz w:val="16"/>
                <w:szCs w:val="16"/>
              </w:rPr>
              <w:t>acuático</w:t>
            </w:r>
          </w:p>
        </w:tc>
        <w:tc>
          <w:tcPr>
            <w:tcW w:w="1138" w:type="dxa"/>
            <w:shd w:val="clear" w:color="auto" w:fill="FFFFFF"/>
          </w:tcPr>
          <w:p w14:paraId="7FA39332" w14:textId="77777777" w:rsidR="00D03C17" w:rsidRDefault="00D03C17">
            <w:pPr>
              <w:framePr w:w="11414" w:h="5035" w:wrap="none" w:hAnchor="page" w:x="635" w:y="371"/>
              <w:rPr>
                <w:sz w:val="10"/>
                <w:szCs w:val="10"/>
              </w:rPr>
            </w:pPr>
          </w:p>
        </w:tc>
        <w:tc>
          <w:tcPr>
            <w:tcW w:w="1258" w:type="dxa"/>
            <w:shd w:val="clear" w:color="auto" w:fill="FFFFFF"/>
            <w:vAlign w:val="bottom"/>
          </w:tcPr>
          <w:p w14:paraId="4152D88E" w14:textId="77777777" w:rsidR="00D03C17" w:rsidRDefault="00D03C17">
            <w:pPr>
              <w:pStyle w:val="Other0"/>
              <w:framePr w:w="11414" w:h="5035" w:wrap="none" w:hAnchor="page" w:x="635" w:y="371"/>
              <w:spacing w:line="283" w:lineRule="auto"/>
              <w:ind w:left="200" w:firstLine="0"/>
              <w:rPr>
                <w:sz w:val="16"/>
                <w:szCs w:val="16"/>
              </w:rPr>
            </w:pPr>
            <w:r>
              <w:rPr>
                <w:rFonts w:ascii="Times New Roman" w:eastAsia="Times New Roman" w:hAnsi="Times New Roman" w:cs="Times New Roman"/>
                <w:sz w:val="16"/>
                <w:szCs w:val="16"/>
              </w:rPr>
              <w:t>bilis; métodos serológicos</w:t>
            </w:r>
          </w:p>
        </w:tc>
        <w:tc>
          <w:tcPr>
            <w:tcW w:w="1234" w:type="dxa"/>
            <w:shd w:val="clear" w:color="auto" w:fill="FFFFFF"/>
          </w:tcPr>
          <w:p w14:paraId="224A8EF0" w14:textId="77777777" w:rsidR="00D03C17" w:rsidRDefault="00D03C17">
            <w:pPr>
              <w:framePr w:w="11414" w:h="5035" w:wrap="none" w:hAnchor="page" w:x="635" w:y="371"/>
              <w:rPr>
                <w:sz w:val="10"/>
                <w:szCs w:val="10"/>
              </w:rPr>
            </w:pPr>
          </w:p>
        </w:tc>
        <w:tc>
          <w:tcPr>
            <w:tcW w:w="1718" w:type="dxa"/>
            <w:shd w:val="clear" w:color="auto" w:fill="FFFFFF"/>
          </w:tcPr>
          <w:p w14:paraId="215A4E61" w14:textId="77777777" w:rsidR="00D03C17" w:rsidRDefault="00D03C17">
            <w:pPr>
              <w:pStyle w:val="Other0"/>
              <w:framePr w:w="11414" w:h="5035" w:wrap="none" w:hAnchor="page" w:x="635" w:y="371"/>
              <w:spacing w:line="240" w:lineRule="auto"/>
              <w:ind w:firstLine="160"/>
              <w:rPr>
                <w:sz w:val="16"/>
                <w:szCs w:val="16"/>
              </w:rPr>
            </w:pPr>
            <w:r>
              <w:rPr>
                <w:rFonts w:ascii="Times New Roman" w:eastAsia="Times New Roman" w:hAnsi="Times New Roman" w:cs="Times New Roman"/>
                <w:sz w:val="16"/>
                <w:szCs w:val="16"/>
              </w:rPr>
              <w:t>aguda</w:t>
            </w:r>
          </w:p>
        </w:tc>
      </w:tr>
      <w:tr w:rsidR="00D03C17" w14:paraId="26ADCEB0" w14:textId="77777777">
        <w:tblPrEx>
          <w:tblCellMar>
            <w:top w:w="0" w:type="dxa"/>
            <w:bottom w:w="0" w:type="dxa"/>
          </w:tblCellMar>
        </w:tblPrEx>
        <w:trPr>
          <w:trHeight w:hRule="exact" w:val="197"/>
        </w:trPr>
        <w:tc>
          <w:tcPr>
            <w:tcW w:w="1210" w:type="dxa"/>
            <w:shd w:val="clear" w:color="auto" w:fill="FFFFFF"/>
            <w:vAlign w:val="bottom"/>
          </w:tcPr>
          <w:p w14:paraId="0C9A8658" w14:textId="77777777" w:rsidR="00D03C17" w:rsidRDefault="00D03C17">
            <w:pPr>
              <w:pStyle w:val="Other0"/>
              <w:framePr w:w="11414" w:h="5035" w:wrap="none" w:hAnchor="page" w:x="635" w:y="371"/>
              <w:spacing w:line="240" w:lineRule="auto"/>
              <w:ind w:firstLine="0"/>
              <w:rPr>
                <w:sz w:val="16"/>
                <w:szCs w:val="16"/>
              </w:rPr>
            </w:pPr>
            <w:r>
              <w:rPr>
                <w:rFonts w:ascii="Times New Roman" w:eastAsia="Times New Roman" w:hAnsi="Times New Roman" w:cs="Times New Roman"/>
                <w:sz w:val="16"/>
                <w:szCs w:val="16"/>
              </w:rPr>
              <w:t>Fasciolopsiasis</w:t>
            </w:r>
          </w:p>
        </w:tc>
        <w:tc>
          <w:tcPr>
            <w:tcW w:w="1253" w:type="dxa"/>
            <w:shd w:val="clear" w:color="auto" w:fill="FFFFFF"/>
            <w:vAlign w:val="bottom"/>
          </w:tcPr>
          <w:p w14:paraId="1F20A407" w14:textId="77777777" w:rsidR="00D03C17" w:rsidRDefault="00D03C17">
            <w:pPr>
              <w:pStyle w:val="Other0"/>
              <w:framePr w:w="11414" w:h="5035" w:wrap="none" w:hAnchor="page" w:x="635" w:y="371"/>
              <w:spacing w:line="240" w:lineRule="auto"/>
              <w:ind w:firstLine="0"/>
              <w:rPr>
                <w:sz w:val="16"/>
                <w:szCs w:val="16"/>
              </w:rPr>
            </w:pPr>
            <w:r>
              <w:rPr>
                <w:rFonts w:ascii="Times New Roman" w:eastAsia="Times New Roman" w:hAnsi="Times New Roman" w:cs="Times New Roman"/>
                <w:sz w:val="16"/>
                <w:szCs w:val="16"/>
              </w:rPr>
              <w:t>Lejano Oriente</w:t>
            </w:r>
          </w:p>
        </w:tc>
        <w:tc>
          <w:tcPr>
            <w:tcW w:w="2328" w:type="dxa"/>
            <w:shd w:val="clear" w:color="auto" w:fill="FFFFFF"/>
            <w:vAlign w:val="bottom"/>
          </w:tcPr>
          <w:p w14:paraId="42417403" w14:textId="77777777" w:rsidR="00D03C17" w:rsidRDefault="00D03C17">
            <w:pPr>
              <w:pStyle w:val="Other0"/>
              <w:framePr w:w="11414" w:h="5035" w:wrap="none" w:hAnchor="page" w:x="635" w:y="371"/>
              <w:spacing w:line="240" w:lineRule="auto"/>
              <w:ind w:firstLine="0"/>
              <w:rPr>
                <w:sz w:val="16"/>
                <w:szCs w:val="16"/>
              </w:rPr>
            </w:pPr>
            <w:r>
              <w:rPr>
                <w:rFonts w:ascii="Times New Roman" w:eastAsia="Times New Roman" w:hAnsi="Times New Roman" w:cs="Times New Roman"/>
                <w:sz w:val="16"/>
                <w:szCs w:val="16"/>
              </w:rPr>
              <w:t>Seres humanos, Algunos</w:t>
            </w:r>
          </w:p>
        </w:tc>
        <w:tc>
          <w:tcPr>
            <w:tcW w:w="1277" w:type="dxa"/>
            <w:shd w:val="clear" w:color="auto" w:fill="FFFFFF"/>
            <w:vAlign w:val="bottom"/>
          </w:tcPr>
          <w:p w14:paraId="640C7E44" w14:textId="77777777" w:rsidR="00D03C17" w:rsidRDefault="00D03C17">
            <w:pPr>
              <w:pStyle w:val="Other0"/>
              <w:framePr w:w="11414" w:h="5035" w:wrap="none" w:hAnchor="page" w:x="635" w:y="371"/>
              <w:spacing w:line="240" w:lineRule="auto"/>
              <w:ind w:firstLine="0"/>
              <w:rPr>
                <w:sz w:val="16"/>
                <w:szCs w:val="16"/>
              </w:rPr>
            </w:pPr>
            <w:r>
              <w:rPr>
                <w:rFonts w:ascii="Times New Roman" w:eastAsia="Times New Roman" w:hAnsi="Times New Roman" w:cs="Times New Roman"/>
                <w:sz w:val="16"/>
                <w:szCs w:val="16"/>
              </w:rPr>
              <w:t>Consumo de</w:t>
            </w:r>
          </w:p>
        </w:tc>
        <w:tc>
          <w:tcPr>
            <w:tcW w:w="1138" w:type="dxa"/>
            <w:shd w:val="clear" w:color="auto" w:fill="FFFFFF"/>
            <w:vAlign w:val="bottom"/>
          </w:tcPr>
          <w:p w14:paraId="4E54D51D" w14:textId="77777777" w:rsidR="00D03C17" w:rsidRDefault="00D03C17">
            <w:pPr>
              <w:pStyle w:val="Other0"/>
              <w:framePr w:w="11414" w:h="5035" w:wrap="none" w:hAnchor="page" w:x="635" w:y="371"/>
              <w:spacing w:line="240" w:lineRule="auto"/>
              <w:ind w:firstLine="0"/>
              <w:rPr>
                <w:sz w:val="16"/>
                <w:szCs w:val="16"/>
              </w:rPr>
            </w:pPr>
            <w:r>
              <w:rPr>
                <w:rFonts w:ascii="Times New Roman" w:eastAsia="Times New Roman" w:hAnsi="Times New Roman" w:cs="Times New Roman"/>
                <w:sz w:val="16"/>
                <w:szCs w:val="16"/>
              </w:rPr>
              <w:t>No</w:t>
            </w:r>
          </w:p>
        </w:tc>
        <w:tc>
          <w:tcPr>
            <w:tcW w:w="1258" w:type="dxa"/>
            <w:shd w:val="clear" w:color="auto" w:fill="FFFFFF"/>
            <w:vAlign w:val="bottom"/>
          </w:tcPr>
          <w:p w14:paraId="27808E48" w14:textId="77777777" w:rsidR="00D03C17" w:rsidRDefault="00D03C17">
            <w:pPr>
              <w:pStyle w:val="Other0"/>
              <w:framePr w:w="11414" w:h="5035" w:wrap="none" w:hAnchor="page" w:x="635" w:y="371"/>
              <w:spacing w:line="240" w:lineRule="auto"/>
              <w:ind w:firstLine="0"/>
              <w:rPr>
                <w:sz w:val="16"/>
                <w:szCs w:val="16"/>
              </w:rPr>
            </w:pPr>
            <w:r>
              <w:rPr>
                <w:rFonts w:ascii="Times New Roman" w:eastAsia="Times New Roman" w:hAnsi="Times New Roman" w:cs="Times New Roman"/>
                <w:sz w:val="16"/>
                <w:szCs w:val="16"/>
              </w:rPr>
              <w:t>Huevos o vermes</w:t>
            </w:r>
          </w:p>
        </w:tc>
        <w:tc>
          <w:tcPr>
            <w:tcW w:w="1234" w:type="dxa"/>
            <w:shd w:val="clear" w:color="auto" w:fill="FFFFFF"/>
            <w:vAlign w:val="bottom"/>
          </w:tcPr>
          <w:p w14:paraId="09DF2458" w14:textId="77777777" w:rsidR="00D03C17" w:rsidRDefault="00D03C17">
            <w:pPr>
              <w:pStyle w:val="Other0"/>
              <w:framePr w:w="11414" w:h="5035" w:wrap="none" w:hAnchor="page" w:x="635" w:y="371"/>
              <w:spacing w:line="240" w:lineRule="auto"/>
              <w:ind w:firstLine="0"/>
              <w:rPr>
                <w:sz w:val="16"/>
                <w:szCs w:val="16"/>
              </w:rPr>
            </w:pPr>
            <w:r>
              <w:rPr>
                <w:rFonts w:ascii="Times New Roman" w:eastAsia="Times New Roman" w:hAnsi="Times New Roman" w:cs="Times New Roman"/>
                <w:sz w:val="16"/>
                <w:szCs w:val="16"/>
              </w:rPr>
              <w:t>Larvas y vermes</w:t>
            </w:r>
          </w:p>
        </w:tc>
        <w:tc>
          <w:tcPr>
            <w:tcW w:w="1718" w:type="dxa"/>
            <w:shd w:val="clear" w:color="auto" w:fill="FFFFFF"/>
            <w:vAlign w:val="bottom"/>
          </w:tcPr>
          <w:p w14:paraId="508202AF" w14:textId="77777777" w:rsidR="00D03C17" w:rsidRDefault="00D03C17">
            <w:pPr>
              <w:pStyle w:val="Other0"/>
              <w:framePr w:w="11414" w:h="5035" w:wrap="none" w:hAnchor="page" w:x="635" w:y="371"/>
              <w:spacing w:line="240" w:lineRule="auto"/>
              <w:ind w:firstLine="0"/>
              <w:rPr>
                <w:sz w:val="16"/>
                <w:szCs w:val="16"/>
              </w:rPr>
            </w:pPr>
            <w:r>
              <w:rPr>
                <w:rFonts w:ascii="Times New Roman" w:eastAsia="Times New Roman" w:hAnsi="Times New Roman" w:cs="Times New Roman"/>
                <w:sz w:val="16"/>
                <w:szCs w:val="16"/>
              </w:rPr>
              <w:t>Diarrea,</w:t>
            </w:r>
          </w:p>
        </w:tc>
      </w:tr>
      <w:tr w:rsidR="00D03C17" w14:paraId="1B34C21D" w14:textId="77777777">
        <w:tblPrEx>
          <w:tblCellMar>
            <w:top w:w="0" w:type="dxa"/>
            <w:bottom w:w="0" w:type="dxa"/>
          </w:tblCellMar>
        </w:tblPrEx>
        <w:trPr>
          <w:trHeight w:hRule="exact" w:val="230"/>
        </w:trPr>
        <w:tc>
          <w:tcPr>
            <w:tcW w:w="1210" w:type="dxa"/>
            <w:shd w:val="clear" w:color="auto" w:fill="FFFFFF"/>
            <w:vAlign w:val="bottom"/>
          </w:tcPr>
          <w:p w14:paraId="74DF0AFA" w14:textId="77777777" w:rsidR="00D03C17" w:rsidRDefault="00D03C17">
            <w:pPr>
              <w:pStyle w:val="Other0"/>
              <w:framePr w:w="11414" w:h="5035" w:wrap="none" w:hAnchor="page" w:x="635" w:y="371"/>
              <w:spacing w:line="240" w:lineRule="auto"/>
              <w:ind w:firstLine="140"/>
              <w:rPr>
                <w:sz w:val="16"/>
                <w:szCs w:val="16"/>
              </w:rPr>
            </w:pPr>
            <w:r>
              <w:rPr>
                <w:rFonts w:ascii="Times New Roman" w:eastAsia="Times New Roman" w:hAnsi="Times New Roman" w:cs="Times New Roman"/>
                <w:i/>
                <w:iCs/>
                <w:sz w:val="16"/>
                <w:szCs w:val="16"/>
              </w:rPr>
              <w:t>(Fasciolopsis</w:t>
            </w:r>
          </w:p>
        </w:tc>
        <w:tc>
          <w:tcPr>
            <w:tcW w:w="1253" w:type="dxa"/>
            <w:shd w:val="clear" w:color="auto" w:fill="FFFFFF"/>
          </w:tcPr>
          <w:p w14:paraId="2BB51F3E" w14:textId="77777777" w:rsidR="00D03C17" w:rsidRDefault="00D03C17">
            <w:pPr>
              <w:framePr w:w="11414" w:h="5035" w:wrap="none" w:hAnchor="page" w:x="635" w:y="371"/>
              <w:rPr>
                <w:sz w:val="10"/>
                <w:szCs w:val="10"/>
              </w:rPr>
            </w:pPr>
          </w:p>
        </w:tc>
        <w:tc>
          <w:tcPr>
            <w:tcW w:w="2328" w:type="dxa"/>
            <w:shd w:val="clear" w:color="auto" w:fill="FFFFFF"/>
            <w:vAlign w:val="bottom"/>
          </w:tcPr>
          <w:p w14:paraId="5E7C6244" w14:textId="77777777" w:rsidR="00D03C17" w:rsidRDefault="00D03C17">
            <w:pPr>
              <w:pStyle w:val="Other0"/>
              <w:framePr w:w="11414" w:h="5035" w:wrap="none" w:hAnchor="page" w:x="635" w:y="371"/>
              <w:spacing w:line="240" w:lineRule="auto"/>
              <w:ind w:firstLine="140"/>
              <w:rPr>
                <w:sz w:val="16"/>
                <w:szCs w:val="16"/>
              </w:rPr>
            </w:pPr>
            <w:r>
              <w:rPr>
                <w:rFonts w:ascii="Times New Roman" w:eastAsia="Times New Roman" w:hAnsi="Times New Roman" w:cs="Times New Roman"/>
                <w:sz w:val="16"/>
                <w:szCs w:val="16"/>
              </w:rPr>
              <w:t>cerdos, perros caracoles</w:t>
            </w:r>
          </w:p>
        </w:tc>
        <w:tc>
          <w:tcPr>
            <w:tcW w:w="1277" w:type="dxa"/>
            <w:shd w:val="clear" w:color="auto" w:fill="FFFFFF"/>
            <w:vAlign w:val="bottom"/>
          </w:tcPr>
          <w:p w14:paraId="64D2B540" w14:textId="77777777" w:rsidR="00D03C17" w:rsidRDefault="00D03C17">
            <w:pPr>
              <w:pStyle w:val="Other0"/>
              <w:framePr w:w="11414" w:h="5035" w:wrap="none" w:hAnchor="page" w:x="635" w:y="371"/>
              <w:spacing w:line="240" w:lineRule="auto"/>
              <w:ind w:firstLine="180"/>
              <w:rPr>
                <w:sz w:val="16"/>
                <w:szCs w:val="16"/>
              </w:rPr>
            </w:pPr>
            <w:r>
              <w:rPr>
                <w:rFonts w:ascii="Times New Roman" w:eastAsia="Times New Roman" w:hAnsi="Times New Roman" w:cs="Times New Roman"/>
                <w:sz w:val="16"/>
                <w:szCs w:val="16"/>
              </w:rPr>
              <w:t>plantas</w:t>
            </w:r>
          </w:p>
        </w:tc>
        <w:tc>
          <w:tcPr>
            <w:tcW w:w="1138" w:type="dxa"/>
            <w:shd w:val="clear" w:color="auto" w:fill="FFFFFF"/>
          </w:tcPr>
          <w:p w14:paraId="02803D55" w14:textId="77777777" w:rsidR="00D03C17" w:rsidRDefault="00D03C17">
            <w:pPr>
              <w:framePr w:w="11414" w:h="5035" w:wrap="none" w:hAnchor="page" w:x="635" w:y="371"/>
              <w:rPr>
                <w:sz w:val="10"/>
                <w:szCs w:val="10"/>
              </w:rPr>
            </w:pPr>
          </w:p>
        </w:tc>
        <w:tc>
          <w:tcPr>
            <w:tcW w:w="1258" w:type="dxa"/>
            <w:shd w:val="clear" w:color="auto" w:fill="FFFFFF"/>
            <w:vAlign w:val="bottom"/>
          </w:tcPr>
          <w:p w14:paraId="0CBD9AA2" w14:textId="77777777" w:rsidR="00D03C17" w:rsidRDefault="00D03C17">
            <w:pPr>
              <w:pStyle w:val="Other0"/>
              <w:framePr w:w="11414" w:h="5035" w:wrap="none" w:hAnchor="page" w:x="635" w:y="371"/>
              <w:spacing w:line="240" w:lineRule="auto"/>
              <w:ind w:firstLine="200"/>
              <w:rPr>
                <w:sz w:val="16"/>
                <w:szCs w:val="16"/>
              </w:rPr>
            </w:pPr>
            <w:r>
              <w:rPr>
                <w:rFonts w:ascii="Times New Roman" w:eastAsia="Times New Roman" w:hAnsi="Times New Roman" w:cs="Times New Roman"/>
                <w:sz w:val="16"/>
                <w:szCs w:val="16"/>
              </w:rPr>
              <w:t>en excrementos</w:t>
            </w:r>
          </w:p>
        </w:tc>
        <w:tc>
          <w:tcPr>
            <w:tcW w:w="1234" w:type="dxa"/>
            <w:shd w:val="clear" w:color="auto" w:fill="FFFFFF"/>
            <w:vAlign w:val="bottom"/>
          </w:tcPr>
          <w:p w14:paraId="60E1E788" w14:textId="77777777" w:rsidR="00D03C17" w:rsidRDefault="00D03C17">
            <w:pPr>
              <w:pStyle w:val="Other0"/>
              <w:framePr w:w="11414" w:h="5035" w:wrap="none" w:hAnchor="page" w:x="635" w:y="371"/>
              <w:spacing w:line="240" w:lineRule="auto"/>
              <w:ind w:firstLine="140"/>
              <w:rPr>
                <w:sz w:val="16"/>
                <w:szCs w:val="16"/>
              </w:rPr>
            </w:pPr>
            <w:r>
              <w:rPr>
                <w:rFonts w:ascii="Times New Roman" w:eastAsia="Times New Roman" w:hAnsi="Times New Roman" w:cs="Times New Roman"/>
                <w:sz w:val="16"/>
                <w:szCs w:val="16"/>
              </w:rPr>
              <w:t>maduros</w:t>
            </w:r>
          </w:p>
        </w:tc>
        <w:tc>
          <w:tcPr>
            <w:tcW w:w="1718" w:type="dxa"/>
            <w:shd w:val="clear" w:color="auto" w:fill="FFFFFF"/>
            <w:vAlign w:val="bottom"/>
          </w:tcPr>
          <w:p w14:paraId="557C4375" w14:textId="77777777" w:rsidR="00D03C17" w:rsidRDefault="00D03C17">
            <w:pPr>
              <w:pStyle w:val="Other0"/>
              <w:framePr w:w="11414" w:h="5035" w:wrap="none" w:hAnchor="page" w:x="635" w:y="371"/>
              <w:spacing w:line="240" w:lineRule="auto"/>
              <w:ind w:firstLine="160"/>
              <w:rPr>
                <w:sz w:val="16"/>
                <w:szCs w:val="16"/>
              </w:rPr>
            </w:pPr>
            <w:r>
              <w:rPr>
                <w:rFonts w:ascii="Times New Roman" w:eastAsia="Times New Roman" w:hAnsi="Times New Roman" w:cs="Times New Roman"/>
                <w:sz w:val="16"/>
                <w:szCs w:val="16"/>
              </w:rPr>
              <w:t>estreñimiento,</w:t>
            </w:r>
          </w:p>
        </w:tc>
      </w:tr>
      <w:tr w:rsidR="00D03C17" w14:paraId="39258845" w14:textId="77777777">
        <w:tblPrEx>
          <w:tblCellMar>
            <w:top w:w="0" w:type="dxa"/>
            <w:bottom w:w="0" w:type="dxa"/>
          </w:tblCellMar>
        </w:tblPrEx>
        <w:trPr>
          <w:trHeight w:hRule="exact" w:val="211"/>
        </w:trPr>
        <w:tc>
          <w:tcPr>
            <w:tcW w:w="1210" w:type="dxa"/>
            <w:shd w:val="clear" w:color="auto" w:fill="FFFFFF"/>
          </w:tcPr>
          <w:p w14:paraId="52078782" w14:textId="77777777" w:rsidR="00D03C17" w:rsidRDefault="00D03C17">
            <w:pPr>
              <w:pStyle w:val="Other0"/>
              <w:framePr w:w="11414" w:h="5035" w:wrap="none" w:hAnchor="page" w:x="635" w:y="371"/>
              <w:spacing w:line="240" w:lineRule="auto"/>
              <w:ind w:firstLine="140"/>
              <w:rPr>
                <w:sz w:val="16"/>
                <w:szCs w:val="16"/>
              </w:rPr>
            </w:pPr>
            <w:r>
              <w:rPr>
                <w:rFonts w:ascii="Times New Roman" w:eastAsia="Times New Roman" w:hAnsi="Times New Roman" w:cs="Times New Roman"/>
                <w:i/>
                <w:iCs/>
                <w:sz w:val="16"/>
                <w:szCs w:val="16"/>
              </w:rPr>
              <w:t>buski)</w:t>
            </w:r>
          </w:p>
        </w:tc>
        <w:tc>
          <w:tcPr>
            <w:tcW w:w="1253" w:type="dxa"/>
            <w:shd w:val="clear" w:color="auto" w:fill="FFFFFF"/>
          </w:tcPr>
          <w:p w14:paraId="05E6702E" w14:textId="77777777" w:rsidR="00D03C17" w:rsidRDefault="00D03C17">
            <w:pPr>
              <w:framePr w:w="11414" w:h="5035" w:wrap="none" w:hAnchor="page" w:x="635" w:y="371"/>
              <w:rPr>
                <w:sz w:val="10"/>
                <w:szCs w:val="10"/>
              </w:rPr>
            </w:pPr>
          </w:p>
        </w:tc>
        <w:tc>
          <w:tcPr>
            <w:tcW w:w="2328" w:type="dxa"/>
            <w:shd w:val="clear" w:color="auto" w:fill="FFFFFF"/>
          </w:tcPr>
          <w:p w14:paraId="746A420A" w14:textId="77777777" w:rsidR="00D03C17" w:rsidRDefault="00D03C17">
            <w:pPr>
              <w:pStyle w:val="Other0"/>
              <w:framePr w:w="11414" w:h="5035" w:wrap="none" w:hAnchor="page" w:x="635" w:y="371"/>
              <w:spacing w:line="240" w:lineRule="auto"/>
              <w:ind w:left="1260" w:firstLine="0"/>
              <w:rPr>
                <w:sz w:val="16"/>
                <w:szCs w:val="16"/>
              </w:rPr>
            </w:pPr>
            <w:r>
              <w:rPr>
                <w:rFonts w:ascii="Times New Roman" w:eastAsia="Times New Roman" w:hAnsi="Times New Roman" w:cs="Times New Roman"/>
                <w:sz w:val="16"/>
                <w:szCs w:val="16"/>
              </w:rPr>
              <w:t>de agua</w:t>
            </w:r>
          </w:p>
        </w:tc>
        <w:tc>
          <w:tcPr>
            <w:tcW w:w="1277" w:type="dxa"/>
            <w:shd w:val="clear" w:color="auto" w:fill="FFFFFF"/>
          </w:tcPr>
          <w:p w14:paraId="2B7475B7" w14:textId="77777777" w:rsidR="00D03C17" w:rsidRDefault="00D03C17">
            <w:pPr>
              <w:pStyle w:val="Other0"/>
              <w:framePr w:w="11414" w:h="5035" w:wrap="none" w:hAnchor="page" w:x="635" w:y="371"/>
              <w:spacing w:line="240" w:lineRule="auto"/>
              <w:ind w:firstLine="180"/>
              <w:rPr>
                <w:sz w:val="16"/>
                <w:szCs w:val="16"/>
              </w:rPr>
            </w:pPr>
            <w:r>
              <w:rPr>
                <w:rFonts w:ascii="Times New Roman" w:eastAsia="Times New Roman" w:hAnsi="Times New Roman" w:cs="Times New Roman"/>
                <w:sz w:val="16"/>
                <w:szCs w:val="16"/>
              </w:rPr>
              <w:t>infectadas</w:t>
            </w:r>
          </w:p>
        </w:tc>
        <w:tc>
          <w:tcPr>
            <w:tcW w:w="1138" w:type="dxa"/>
            <w:shd w:val="clear" w:color="auto" w:fill="FFFFFF"/>
          </w:tcPr>
          <w:p w14:paraId="2DD4BF87" w14:textId="77777777" w:rsidR="00D03C17" w:rsidRDefault="00D03C17">
            <w:pPr>
              <w:framePr w:w="11414" w:h="5035" w:wrap="none" w:hAnchor="page" w:x="635" w:y="371"/>
              <w:rPr>
                <w:sz w:val="10"/>
                <w:szCs w:val="10"/>
              </w:rPr>
            </w:pPr>
          </w:p>
        </w:tc>
        <w:tc>
          <w:tcPr>
            <w:tcW w:w="1258" w:type="dxa"/>
            <w:shd w:val="clear" w:color="auto" w:fill="FFFFFF"/>
          </w:tcPr>
          <w:p w14:paraId="55C473E9" w14:textId="77777777" w:rsidR="00D03C17" w:rsidRDefault="00D03C17">
            <w:pPr>
              <w:pStyle w:val="Other0"/>
              <w:framePr w:w="11414" w:h="5035" w:wrap="none" w:hAnchor="page" w:x="635" w:y="371"/>
              <w:spacing w:line="240" w:lineRule="auto"/>
              <w:ind w:firstLine="200"/>
              <w:rPr>
                <w:sz w:val="16"/>
                <w:szCs w:val="16"/>
              </w:rPr>
            </w:pPr>
            <w:r>
              <w:rPr>
                <w:rFonts w:ascii="Times New Roman" w:eastAsia="Times New Roman" w:hAnsi="Times New Roman" w:cs="Times New Roman"/>
                <w:sz w:val="16"/>
                <w:szCs w:val="16"/>
              </w:rPr>
              <w:t>o líquido</w:t>
            </w:r>
          </w:p>
        </w:tc>
        <w:tc>
          <w:tcPr>
            <w:tcW w:w="1234" w:type="dxa"/>
            <w:shd w:val="clear" w:color="auto" w:fill="FFFFFF"/>
          </w:tcPr>
          <w:p w14:paraId="6C9F91A0" w14:textId="77777777" w:rsidR="00D03C17" w:rsidRDefault="00D03C17">
            <w:pPr>
              <w:framePr w:w="11414" w:h="5035" w:wrap="none" w:hAnchor="page" w:x="635" w:y="371"/>
              <w:rPr>
                <w:sz w:val="10"/>
                <w:szCs w:val="10"/>
              </w:rPr>
            </w:pPr>
          </w:p>
        </w:tc>
        <w:tc>
          <w:tcPr>
            <w:tcW w:w="1718" w:type="dxa"/>
            <w:shd w:val="clear" w:color="auto" w:fill="FFFFFF"/>
          </w:tcPr>
          <w:p w14:paraId="40A29B1D" w14:textId="77777777" w:rsidR="00D03C17" w:rsidRDefault="00D03C17">
            <w:pPr>
              <w:pStyle w:val="Other0"/>
              <w:framePr w:w="11414" w:h="5035" w:wrap="none" w:hAnchor="page" w:x="635" w:y="371"/>
              <w:spacing w:line="240" w:lineRule="auto"/>
              <w:ind w:firstLine="160"/>
              <w:rPr>
                <w:sz w:val="16"/>
                <w:szCs w:val="16"/>
              </w:rPr>
            </w:pPr>
            <w:r>
              <w:rPr>
                <w:rFonts w:ascii="Times New Roman" w:eastAsia="Times New Roman" w:hAnsi="Times New Roman" w:cs="Times New Roman"/>
                <w:sz w:val="16"/>
                <w:szCs w:val="16"/>
              </w:rPr>
              <w:t>vómitos, anorexia,</w:t>
            </w:r>
          </w:p>
        </w:tc>
      </w:tr>
      <w:tr w:rsidR="00D03C17" w14:paraId="77D7FF59" w14:textId="77777777">
        <w:tblPrEx>
          <w:tblCellMar>
            <w:top w:w="0" w:type="dxa"/>
            <w:bottom w:w="0" w:type="dxa"/>
          </w:tblCellMar>
        </w:tblPrEx>
        <w:trPr>
          <w:trHeight w:hRule="exact" w:val="206"/>
        </w:trPr>
        <w:tc>
          <w:tcPr>
            <w:tcW w:w="1210" w:type="dxa"/>
            <w:shd w:val="clear" w:color="auto" w:fill="FFFFFF"/>
          </w:tcPr>
          <w:p w14:paraId="6FE985A5" w14:textId="77777777" w:rsidR="00D03C17" w:rsidRDefault="00D03C17">
            <w:pPr>
              <w:framePr w:w="11414" w:h="5035" w:wrap="none" w:hAnchor="page" w:x="635" w:y="371"/>
              <w:rPr>
                <w:sz w:val="10"/>
                <w:szCs w:val="10"/>
              </w:rPr>
            </w:pPr>
          </w:p>
        </w:tc>
        <w:tc>
          <w:tcPr>
            <w:tcW w:w="1253" w:type="dxa"/>
            <w:shd w:val="clear" w:color="auto" w:fill="FFFFFF"/>
          </w:tcPr>
          <w:p w14:paraId="6CB90F30" w14:textId="77777777" w:rsidR="00D03C17" w:rsidRDefault="00D03C17">
            <w:pPr>
              <w:framePr w:w="11414" w:h="5035" w:wrap="none" w:hAnchor="page" w:x="635" w:y="371"/>
              <w:rPr>
                <w:sz w:val="10"/>
                <w:szCs w:val="10"/>
              </w:rPr>
            </w:pPr>
          </w:p>
        </w:tc>
        <w:tc>
          <w:tcPr>
            <w:tcW w:w="2328" w:type="dxa"/>
            <w:shd w:val="clear" w:color="auto" w:fill="FFFFFF"/>
          </w:tcPr>
          <w:p w14:paraId="12889535" w14:textId="77777777" w:rsidR="00D03C17" w:rsidRDefault="00D03C17">
            <w:pPr>
              <w:pStyle w:val="Other0"/>
              <w:framePr w:w="11414" w:h="5035" w:wrap="none" w:hAnchor="page" w:x="635" w:y="371"/>
              <w:spacing w:line="240" w:lineRule="auto"/>
              <w:ind w:left="1260" w:firstLine="0"/>
              <w:rPr>
                <w:sz w:val="16"/>
                <w:szCs w:val="16"/>
              </w:rPr>
            </w:pPr>
            <w:r>
              <w:rPr>
                <w:rFonts w:ascii="Times New Roman" w:eastAsia="Times New Roman" w:hAnsi="Times New Roman" w:cs="Times New Roman"/>
                <w:sz w:val="16"/>
                <w:szCs w:val="16"/>
              </w:rPr>
              <w:t>dulce,</w:t>
            </w:r>
          </w:p>
        </w:tc>
        <w:tc>
          <w:tcPr>
            <w:tcW w:w="1277" w:type="dxa"/>
            <w:shd w:val="clear" w:color="auto" w:fill="FFFFFF"/>
          </w:tcPr>
          <w:p w14:paraId="1CD0D3F8" w14:textId="77777777" w:rsidR="00D03C17" w:rsidRDefault="00D03C17">
            <w:pPr>
              <w:pStyle w:val="Other0"/>
              <w:framePr w:w="11414" w:h="5035" w:wrap="none" w:hAnchor="page" w:x="635" w:y="371"/>
              <w:spacing w:line="240" w:lineRule="auto"/>
              <w:ind w:firstLine="180"/>
              <w:rPr>
                <w:sz w:val="16"/>
                <w:szCs w:val="16"/>
              </w:rPr>
            </w:pPr>
            <w:r>
              <w:rPr>
                <w:rFonts w:ascii="Times New Roman" w:eastAsia="Times New Roman" w:hAnsi="Times New Roman" w:cs="Times New Roman"/>
                <w:sz w:val="16"/>
                <w:szCs w:val="16"/>
              </w:rPr>
              <w:t>crudas</w:t>
            </w:r>
          </w:p>
        </w:tc>
        <w:tc>
          <w:tcPr>
            <w:tcW w:w="1138" w:type="dxa"/>
            <w:shd w:val="clear" w:color="auto" w:fill="FFFFFF"/>
          </w:tcPr>
          <w:p w14:paraId="12609009" w14:textId="77777777" w:rsidR="00D03C17" w:rsidRDefault="00D03C17">
            <w:pPr>
              <w:framePr w:w="11414" w:h="5035" w:wrap="none" w:hAnchor="page" w:x="635" w:y="371"/>
              <w:rPr>
                <w:sz w:val="10"/>
                <w:szCs w:val="10"/>
              </w:rPr>
            </w:pPr>
          </w:p>
        </w:tc>
        <w:tc>
          <w:tcPr>
            <w:tcW w:w="1258" w:type="dxa"/>
            <w:shd w:val="clear" w:color="auto" w:fill="FFFFFF"/>
          </w:tcPr>
          <w:p w14:paraId="1D8272ED" w14:textId="77777777" w:rsidR="00D03C17" w:rsidRDefault="00D03C17">
            <w:pPr>
              <w:pStyle w:val="Other0"/>
              <w:framePr w:w="11414" w:h="5035" w:wrap="none" w:hAnchor="page" w:x="635" w:y="371"/>
              <w:spacing w:line="240" w:lineRule="auto"/>
              <w:ind w:firstLine="200"/>
              <w:rPr>
                <w:sz w:val="16"/>
                <w:szCs w:val="16"/>
              </w:rPr>
            </w:pPr>
            <w:r>
              <w:rPr>
                <w:rFonts w:ascii="Times New Roman" w:eastAsia="Times New Roman" w:hAnsi="Times New Roman" w:cs="Times New Roman"/>
                <w:sz w:val="16"/>
                <w:szCs w:val="16"/>
              </w:rPr>
              <w:t>duodenal</w:t>
            </w:r>
          </w:p>
        </w:tc>
        <w:tc>
          <w:tcPr>
            <w:tcW w:w="1234" w:type="dxa"/>
            <w:shd w:val="clear" w:color="auto" w:fill="FFFFFF"/>
          </w:tcPr>
          <w:p w14:paraId="307FB6C8" w14:textId="77777777" w:rsidR="00D03C17" w:rsidRDefault="00D03C17">
            <w:pPr>
              <w:framePr w:w="11414" w:h="5035" w:wrap="none" w:hAnchor="page" w:x="635" w:y="371"/>
              <w:rPr>
                <w:sz w:val="10"/>
                <w:szCs w:val="10"/>
              </w:rPr>
            </w:pPr>
          </w:p>
        </w:tc>
        <w:tc>
          <w:tcPr>
            <w:tcW w:w="1718" w:type="dxa"/>
            <w:shd w:val="clear" w:color="auto" w:fill="FFFFFF"/>
          </w:tcPr>
          <w:p w14:paraId="2E93D17A" w14:textId="77777777" w:rsidR="00D03C17" w:rsidRDefault="00D03C17">
            <w:pPr>
              <w:pStyle w:val="Other0"/>
              <w:framePr w:w="11414" w:h="5035" w:wrap="none" w:hAnchor="page" w:x="635" w:y="371"/>
              <w:spacing w:line="240" w:lineRule="auto"/>
              <w:ind w:firstLine="160"/>
              <w:rPr>
                <w:sz w:val="16"/>
                <w:szCs w:val="16"/>
              </w:rPr>
            </w:pPr>
            <w:r>
              <w:rPr>
                <w:rFonts w:ascii="Times New Roman" w:eastAsia="Times New Roman" w:hAnsi="Times New Roman" w:cs="Times New Roman"/>
                <w:sz w:val="16"/>
                <w:szCs w:val="16"/>
              </w:rPr>
              <w:t>edema de cara y</w:t>
            </w:r>
          </w:p>
        </w:tc>
      </w:tr>
      <w:tr w:rsidR="00D03C17" w14:paraId="5F073861" w14:textId="77777777">
        <w:tblPrEx>
          <w:tblCellMar>
            <w:top w:w="0" w:type="dxa"/>
            <w:bottom w:w="0" w:type="dxa"/>
          </w:tblCellMar>
        </w:tblPrEx>
        <w:trPr>
          <w:trHeight w:hRule="exact" w:val="235"/>
        </w:trPr>
        <w:tc>
          <w:tcPr>
            <w:tcW w:w="1210" w:type="dxa"/>
            <w:shd w:val="clear" w:color="auto" w:fill="FFFFFF"/>
          </w:tcPr>
          <w:p w14:paraId="346BE4DB" w14:textId="77777777" w:rsidR="00D03C17" w:rsidRDefault="00D03C17">
            <w:pPr>
              <w:framePr w:w="11414" w:h="5035" w:wrap="none" w:hAnchor="page" w:x="635" w:y="371"/>
              <w:rPr>
                <w:sz w:val="10"/>
                <w:szCs w:val="10"/>
              </w:rPr>
            </w:pPr>
          </w:p>
        </w:tc>
        <w:tc>
          <w:tcPr>
            <w:tcW w:w="1253" w:type="dxa"/>
            <w:shd w:val="clear" w:color="auto" w:fill="FFFFFF"/>
          </w:tcPr>
          <w:p w14:paraId="2A377236" w14:textId="77777777" w:rsidR="00D03C17" w:rsidRDefault="00D03C17">
            <w:pPr>
              <w:framePr w:w="11414" w:h="5035" w:wrap="none" w:hAnchor="page" w:x="635" w:y="371"/>
              <w:rPr>
                <w:sz w:val="10"/>
                <w:szCs w:val="10"/>
              </w:rPr>
            </w:pPr>
          </w:p>
        </w:tc>
        <w:tc>
          <w:tcPr>
            <w:tcW w:w="2328" w:type="dxa"/>
            <w:shd w:val="clear" w:color="auto" w:fill="FFFFFF"/>
            <w:vAlign w:val="bottom"/>
          </w:tcPr>
          <w:p w14:paraId="2C25547D" w14:textId="77777777" w:rsidR="00D03C17" w:rsidRDefault="00D03C17">
            <w:pPr>
              <w:pStyle w:val="Other0"/>
              <w:framePr w:w="11414" w:h="5035" w:wrap="none" w:hAnchor="page" w:x="635" w:y="371"/>
              <w:spacing w:line="240" w:lineRule="auto"/>
              <w:ind w:left="1260" w:firstLine="0"/>
              <w:rPr>
                <w:sz w:val="16"/>
                <w:szCs w:val="16"/>
              </w:rPr>
            </w:pPr>
            <w:r>
              <w:rPr>
                <w:rFonts w:ascii="Times New Roman" w:eastAsia="Times New Roman" w:hAnsi="Times New Roman" w:cs="Times New Roman"/>
                <w:sz w:val="16"/>
                <w:szCs w:val="16"/>
              </w:rPr>
              <w:t>plantas</w:t>
            </w:r>
          </w:p>
        </w:tc>
        <w:tc>
          <w:tcPr>
            <w:tcW w:w="1277" w:type="dxa"/>
            <w:shd w:val="clear" w:color="auto" w:fill="FFFFFF"/>
          </w:tcPr>
          <w:p w14:paraId="2F271534" w14:textId="77777777" w:rsidR="00D03C17" w:rsidRDefault="00D03C17">
            <w:pPr>
              <w:framePr w:w="11414" w:h="5035" w:wrap="none" w:hAnchor="page" w:x="635" w:y="371"/>
              <w:rPr>
                <w:sz w:val="10"/>
                <w:szCs w:val="10"/>
              </w:rPr>
            </w:pPr>
          </w:p>
        </w:tc>
        <w:tc>
          <w:tcPr>
            <w:tcW w:w="1138" w:type="dxa"/>
            <w:shd w:val="clear" w:color="auto" w:fill="FFFFFF"/>
          </w:tcPr>
          <w:p w14:paraId="096544E9" w14:textId="77777777" w:rsidR="00D03C17" w:rsidRDefault="00D03C17">
            <w:pPr>
              <w:framePr w:w="11414" w:h="5035" w:wrap="none" w:hAnchor="page" w:x="635" w:y="371"/>
              <w:rPr>
                <w:sz w:val="10"/>
                <w:szCs w:val="10"/>
              </w:rPr>
            </w:pPr>
          </w:p>
        </w:tc>
        <w:tc>
          <w:tcPr>
            <w:tcW w:w="1258" w:type="dxa"/>
            <w:shd w:val="clear" w:color="auto" w:fill="FFFFFF"/>
          </w:tcPr>
          <w:p w14:paraId="0D114A08" w14:textId="77777777" w:rsidR="00D03C17" w:rsidRDefault="00D03C17">
            <w:pPr>
              <w:framePr w:w="11414" w:h="5035" w:wrap="none" w:hAnchor="page" w:x="635" w:y="371"/>
              <w:rPr>
                <w:sz w:val="10"/>
                <w:szCs w:val="10"/>
              </w:rPr>
            </w:pPr>
          </w:p>
        </w:tc>
        <w:tc>
          <w:tcPr>
            <w:tcW w:w="1234" w:type="dxa"/>
            <w:shd w:val="clear" w:color="auto" w:fill="FFFFFF"/>
          </w:tcPr>
          <w:p w14:paraId="6B51CEE6" w14:textId="77777777" w:rsidR="00D03C17" w:rsidRDefault="00D03C17">
            <w:pPr>
              <w:framePr w:w="11414" w:h="5035" w:wrap="none" w:hAnchor="page" w:x="635" w:y="371"/>
              <w:rPr>
                <w:sz w:val="10"/>
                <w:szCs w:val="10"/>
              </w:rPr>
            </w:pPr>
          </w:p>
        </w:tc>
        <w:tc>
          <w:tcPr>
            <w:tcW w:w="1718" w:type="dxa"/>
            <w:shd w:val="clear" w:color="auto" w:fill="FFFFFF"/>
            <w:vAlign w:val="bottom"/>
          </w:tcPr>
          <w:p w14:paraId="3C7B3E06" w14:textId="77777777" w:rsidR="00D03C17" w:rsidRDefault="00D03C17">
            <w:pPr>
              <w:pStyle w:val="Other0"/>
              <w:framePr w:w="11414" w:h="5035" w:wrap="none" w:hAnchor="page" w:x="635" w:y="371"/>
              <w:spacing w:line="240" w:lineRule="auto"/>
              <w:ind w:firstLine="160"/>
              <w:rPr>
                <w:sz w:val="16"/>
                <w:szCs w:val="16"/>
              </w:rPr>
            </w:pPr>
            <w:r>
              <w:rPr>
                <w:rFonts w:ascii="Times New Roman" w:eastAsia="Times New Roman" w:hAnsi="Times New Roman" w:cs="Times New Roman"/>
                <w:sz w:val="16"/>
                <w:szCs w:val="16"/>
              </w:rPr>
              <w:t>piernas, ascitis</w:t>
            </w:r>
          </w:p>
        </w:tc>
      </w:tr>
      <w:tr w:rsidR="00D03C17" w14:paraId="1192F5F7" w14:textId="77777777">
        <w:tblPrEx>
          <w:tblCellMar>
            <w:top w:w="0" w:type="dxa"/>
            <w:bottom w:w="0" w:type="dxa"/>
          </w:tblCellMar>
        </w:tblPrEx>
        <w:trPr>
          <w:trHeight w:hRule="exact" w:val="211"/>
        </w:trPr>
        <w:tc>
          <w:tcPr>
            <w:tcW w:w="1210" w:type="dxa"/>
            <w:shd w:val="clear" w:color="auto" w:fill="FFFFFF"/>
          </w:tcPr>
          <w:p w14:paraId="330AD707" w14:textId="77777777" w:rsidR="00D03C17" w:rsidRDefault="00D03C17">
            <w:pPr>
              <w:pStyle w:val="Other0"/>
              <w:framePr w:w="11414" w:h="5035" w:wrap="none" w:hAnchor="page" w:x="635" w:y="371"/>
              <w:spacing w:line="240" w:lineRule="auto"/>
              <w:ind w:firstLine="0"/>
              <w:rPr>
                <w:sz w:val="16"/>
                <w:szCs w:val="16"/>
              </w:rPr>
            </w:pPr>
            <w:r>
              <w:rPr>
                <w:rFonts w:ascii="Times New Roman" w:eastAsia="Times New Roman" w:hAnsi="Times New Roman" w:cs="Times New Roman"/>
                <w:sz w:val="16"/>
                <w:szCs w:val="16"/>
              </w:rPr>
              <w:t>Intestinal,</w:t>
            </w:r>
          </w:p>
        </w:tc>
        <w:tc>
          <w:tcPr>
            <w:tcW w:w="1253" w:type="dxa"/>
            <w:shd w:val="clear" w:color="auto" w:fill="FFFFFF"/>
          </w:tcPr>
          <w:p w14:paraId="41E7EFB3" w14:textId="77777777" w:rsidR="00D03C17" w:rsidRDefault="00D03C17">
            <w:pPr>
              <w:pStyle w:val="Other0"/>
              <w:framePr w:w="11414" w:h="5035" w:wrap="none" w:hAnchor="page" w:x="635" w:y="371"/>
              <w:spacing w:line="240" w:lineRule="auto"/>
              <w:ind w:firstLine="0"/>
              <w:rPr>
                <w:sz w:val="16"/>
                <w:szCs w:val="16"/>
              </w:rPr>
            </w:pPr>
            <w:r>
              <w:rPr>
                <w:rFonts w:ascii="Times New Roman" w:eastAsia="Times New Roman" w:hAnsi="Times New Roman" w:cs="Times New Roman"/>
                <w:sz w:val="16"/>
                <w:szCs w:val="16"/>
              </w:rPr>
              <w:t>Filipinas,</w:t>
            </w:r>
          </w:p>
        </w:tc>
        <w:tc>
          <w:tcPr>
            <w:tcW w:w="2328" w:type="dxa"/>
            <w:shd w:val="clear" w:color="auto" w:fill="FFFFFF"/>
          </w:tcPr>
          <w:p w14:paraId="79E37CCB" w14:textId="77777777" w:rsidR="00D03C17" w:rsidRDefault="00D03C17">
            <w:pPr>
              <w:pStyle w:val="Other0"/>
              <w:framePr w:w="11414" w:h="5035" w:wrap="none" w:hAnchor="page" w:x="635" w:y="371"/>
              <w:spacing w:line="240" w:lineRule="auto"/>
              <w:ind w:firstLine="0"/>
              <w:rPr>
                <w:sz w:val="16"/>
                <w:szCs w:val="16"/>
              </w:rPr>
            </w:pPr>
            <w:r>
              <w:rPr>
                <w:rFonts w:ascii="Times New Roman" w:eastAsia="Times New Roman" w:hAnsi="Times New Roman" w:cs="Times New Roman"/>
                <w:sz w:val="16"/>
                <w:szCs w:val="16"/>
              </w:rPr>
              <w:t>Seres humanos, Peces</w:t>
            </w:r>
          </w:p>
        </w:tc>
        <w:tc>
          <w:tcPr>
            <w:tcW w:w="1277" w:type="dxa"/>
            <w:shd w:val="clear" w:color="auto" w:fill="FFFFFF"/>
          </w:tcPr>
          <w:p w14:paraId="27375EA0" w14:textId="77777777" w:rsidR="00D03C17" w:rsidRDefault="00D03C17">
            <w:pPr>
              <w:pStyle w:val="Other0"/>
              <w:framePr w:w="11414" w:h="5035" w:wrap="none" w:hAnchor="page" w:x="635" w:y="371"/>
              <w:spacing w:line="240" w:lineRule="auto"/>
              <w:ind w:firstLine="0"/>
              <w:rPr>
                <w:sz w:val="16"/>
                <w:szCs w:val="16"/>
              </w:rPr>
            </w:pPr>
            <w:r>
              <w:rPr>
                <w:rFonts w:ascii="Times New Roman" w:eastAsia="Times New Roman" w:hAnsi="Times New Roman" w:cs="Times New Roman"/>
                <w:sz w:val="16"/>
                <w:szCs w:val="16"/>
              </w:rPr>
              <w:t>Ingestión de</w:t>
            </w:r>
          </w:p>
        </w:tc>
        <w:tc>
          <w:tcPr>
            <w:tcW w:w="1138" w:type="dxa"/>
            <w:shd w:val="clear" w:color="auto" w:fill="FFFFFF"/>
          </w:tcPr>
          <w:p w14:paraId="1235E2BD" w14:textId="77777777" w:rsidR="00D03C17" w:rsidRDefault="00D03C17">
            <w:pPr>
              <w:pStyle w:val="Other0"/>
              <w:framePr w:w="11414" w:h="5035" w:wrap="none" w:hAnchor="page" w:x="635" w:y="371"/>
              <w:spacing w:line="240" w:lineRule="auto"/>
              <w:ind w:firstLine="0"/>
              <w:rPr>
                <w:sz w:val="16"/>
                <w:szCs w:val="16"/>
              </w:rPr>
            </w:pPr>
            <w:r>
              <w:rPr>
                <w:rFonts w:ascii="Times New Roman" w:eastAsia="Times New Roman" w:hAnsi="Times New Roman" w:cs="Times New Roman"/>
                <w:sz w:val="16"/>
                <w:szCs w:val="16"/>
              </w:rPr>
              <w:t>Incierta</w:t>
            </w:r>
          </w:p>
        </w:tc>
        <w:tc>
          <w:tcPr>
            <w:tcW w:w="1258" w:type="dxa"/>
            <w:shd w:val="clear" w:color="auto" w:fill="FFFFFF"/>
          </w:tcPr>
          <w:p w14:paraId="3848327E" w14:textId="77777777" w:rsidR="00D03C17" w:rsidRDefault="00D03C17">
            <w:pPr>
              <w:pStyle w:val="Other0"/>
              <w:framePr w:w="11414" w:h="5035" w:wrap="none" w:hAnchor="page" w:x="635" w:y="371"/>
              <w:spacing w:line="240" w:lineRule="auto"/>
              <w:ind w:firstLine="0"/>
              <w:rPr>
                <w:sz w:val="16"/>
                <w:szCs w:val="16"/>
              </w:rPr>
            </w:pPr>
            <w:r>
              <w:rPr>
                <w:rFonts w:ascii="Times New Roman" w:eastAsia="Times New Roman" w:hAnsi="Times New Roman" w:cs="Times New Roman"/>
                <w:sz w:val="16"/>
                <w:szCs w:val="16"/>
              </w:rPr>
              <w:t>Huevos y el</w:t>
            </w:r>
          </w:p>
        </w:tc>
        <w:tc>
          <w:tcPr>
            <w:tcW w:w="1234" w:type="dxa"/>
            <w:shd w:val="clear" w:color="auto" w:fill="FFFFFF"/>
          </w:tcPr>
          <w:p w14:paraId="44C5F0B4" w14:textId="77777777" w:rsidR="00D03C17" w:rsidRDefault="00D03C17">
            <w:pPr>
              <w:pStyle w:val="Other0"/>
              <w:framePr w:w="11414" w:h="5035" w:wrap="none" w:hAnchor="page" w:x="635" w:y="371"/>
              <w:spacing w:line="240" w:lineRule="auto"/>
              <w:ind w:firstLine="0"/>
              <w:rPr>
                <w:sz w:val="16"/>
                <w:szCs w:val="16"/>
              </w:rPr>
            </w:pPr>
            <w:r>
              <w:rPr>
                <w:rFonts w:ascii="Times New Roman" w:eastAsia="Times New Roman" w:hAnsi="Times New Roman" w:cs="Times New Roman"/>
                <w:sz w:val="16"/>
                <w:szCs w:val="16"/>
              </w:rPr>
              <w:t>Larvas y</w:t>
            </w:r>
          </w:p>
        </w:tc>
        <w:tc>
          <w:tcPr>
            <w:tcW w:w="1718" w:type="dxa"/>
            <w:shd w:val="clear" w:color="auto" w:fill="FFFFFF"/>
          </w:tcPr>
          <w:p w14:paraId="78AFF690" w14:textId="77777777" w:rsidR="00D03C17" w:rsidRDefault="00D03C17">
            <w:pPr>
              <w:pStyle w:val="Other0"/>
              <w:framePr w:w="11414" w:h="5035" w:wrap="none" w:hAnchor="page" w:x="635" w:y="371"/>
              <w:spacing w:line="240" w:lineRule="auto"/>
              <w:ind w:firstLine="0"/>
              <w:rPr>
                <w:sz w:val="16"/>
                <w:szCs w:val="16"/>
              </w:rPr>
            </w:pPr>
            <w:r>
              <w:rPr>
                <w:rFonts w:ascii="Times New Roman" w:eastAsia="Times New Roman" w:hAnsi="Times New Roman" w:cs="Times New Roman"/>
                <w:sz w:val="16"/>
                <w:szCs w:val="16"/>
              </w:rPr>
              <w:t>Enteropatía</w:t>
            </w:r>
          </w:p>
        </w:tc>
      </w:tr>
      <w:tr w:rsidR="00D03C17" w14:paraId="76116F97" w14:textId="77777777">
        <w:tblPrEx>
          <w:tblCellMar>
            <w:top w:w="0" w:type="dxa"/>
            <w:bottom w:w="0" w:type="dxa"/>
          </w:tblCellMar>
        </w:tblPrEx>
        <w:trPr>
          <w:trHeight w:hRule="exact" w:val="216"/>
        </w:trPr>
        <w:tc>
          <w:tcPr>
            <w:tcW w:w="1210" w:type="dxa"/>
            <w:shd w:val="clear" w:color="auto" w:fill="FFFFFF"/>
          </w:tcPr>
          <w:p w14:paraId="4DF2BDC0" w14:textId="77777777" w:rsidR="00D03C17" w:rsidRDefault="00D03C17">
            <w:pPr>
              <w:pStyle w:val="Other0"/>
              <w:framePr w:w="11414" w:h="5035" w:wrap="none" w:hAnchor="page" w:x="635" w:y="371"/>
              <w:spacing w:line="240" w:lineRule="auto"/>
              <w:ind w:firstLine="140"/>
              <w:rPr>
                <w:sz w:val="16"/>
                <w:szCs w:val="16"/>
              </w:rPr>
            </w:pPr>
            <w:r>
              <w:rPr>
                <w:rFonts w:ascii="Times New Roman" w:eastAsia="Times New Roman" w:hAnsi="Times New Roman" w:cs="Times New Roman"/>
                <w:sz w:val="16"/>
                <w:szCs w:val="16"/>
              </w:rPr>
              <w:t>capilariasis</w:t>
            </w:r>
          </w:p>
        </w:tc>
        <w:tc>
          <w:tcPr>
            <w:tcW w:w="1253" w:type="dxa"/>
            <w:shd w:val="clear" w:color="auto" w:fill="FFFFFF"/>
          </w:tcPr>
          <w:p w14:paraId="7466515A" w14:textId="77777777" w:rsidR="00D03C17" w:rsidRDefault="00D03C17">
            <w:pPr>
              <w:pStyle w:val="Other0"/>
              <w:framePr w:w="11414" w:h="5035" w:wrap="none" w:hAnchor="page" w:x="635" w:y="371"/>
              <w:spacing w:line="240" w:lineRule="auto"/>
              <w:ind w:firstLine="180"/>
              <w:rPr>
                <w:sz w:val="16"/>
                <w:szCs w:val="16"/>
              </w:rPr>
            </w:pPr>
            <w:r>
              <w:rPr>
                <w:rFonts w:ascii="Times New Roman" w:eastAsia="Times New Roman" w:hAnsi="Times New Roman" w:cs="Times New Roman"/>
                <w:sz w:val="16"/>
                <w:szCs w:val="16"/>
              </w:rPr>
              <w:t>Tailandia</w:t>
            </w:r>
          </w:p>
        </w:tc>
        <w:tc>
          <w:tcPr>
            <w:tcW w:w="2328" w:type="dxa"/>
            <w:shd w:val="clear" w:color="auto" w:fill="FFFFFF"/>
          </w:tcPr>
          <w:p w14:paraId="144BEB66" w14:textId="77777777" w:rsidR="00D03C17" w:rsidRDefault="00D03C17">
            <w:pPr>
              <w:pStyle w:val="Other0"/>
              <w:framePr w:w="11414" w:h="5035" w:wrap="none" w:hAnchor="page" w:x="635" w:y="371"/>
              <w:spacing w:line="240" w:lineRule="auto"/>
              <w:ind w:firstLine="140"/>
              <w:rPr>
                <w:sz w:val="16"/>
                <w:szCs w:val="16"/>
              </w:rPr>
            </w:pPr>
            <w:r>
              <w:rPr>
                <w:rFonts w:ascii="Times New Roman" w:eastAsia="Times New Roman" w:hAnsi="Times New Roman" w:cs="Times New Roman"/>
                <w:sz w:val="16"/>
                <w:szCs w:val="16"/>
              </w:rPr>
              <w:t>pájaros</w:t>
            </w:r>
          </w:p>
        </w:tc>
        <w:tc>
          <w:tcPr>
            <w:tcW w:w="1277" w:type="dxa"/>
            <w:shd w:val="clear" w:color="auto" w:fill="FFFFFF"/>
          </w:tcPr>
          <w:p w14:paraId="3F926BB7" w14:textId="77777777" w:rsidR="00D03C17" w:rsidRDefault="00D03C17">
            <w:pPr>
              <w:pStyle w:val="Other0"/>
              <w:framePr w:w="11414" w:h="5035" w:wrap="none" w:hAnchor="page" w:x="635" w:y="371"/>
              <w:spacing w:line="240" w:lineRule="auto"/>
              <w:ind w:firstLine="180"/>
              <w:rPr>
                <w:sz w:val="16"/>
                <w:szCs w:val="16"/>
              </w:rPr>
            </w:pPr>
            <w:r>
              <w:rPr>
                <w:rFonts w:ascii="Times New Roman" w:eastAsia="Times New Roman" w:hAnsi="Times New Roman" w:cs="Times New Roman"/>
                <w:sz w:val="16"/>
                <w:szCs w:val="16"/>
              </w:rPr>
              <w:t>pescado</w:t>
            </w:r>
          </w:p>
        </w:tc>
        <w:tc>
          <w:tcPr>
            <w:tcW w:w="1138" w:type="dxa"/>
            <w:shd w:val="clear" w:color="auto" w:fill="FFFFFF"/>
          </w:tcPr>
          <w:p w14:paraId="6F3B2624" w14:textId="77777777" w:rsidR="00D03C17" w:rsidRDefault="00D03C17">
            <w:pPr>
              <w:framePr w:w="11414" w:h="5035" w:wrap="none" w:hAnchor="page" w:x="635" w:y="371"/>
              <w:rPr>
                <w:sz w:val="10"/>
                <w:szCs w:val="10"/>
              </w:rPr>
            </w:pPr>
          </w:p>
        </w:tc>
        <w:tc>
          <w:tcPr>
            <w:tcW w:w="1258" w:type="dxa"/>
            <w:shd w:val="clear" w:color="auto" w:fill="FFFFFF"/>
          </w:tcPr>
          <w:p w14:paraId="4B332B0A" w14:textId="77777777" w:rsidR="00D03C17" w:rsidRDefault="00D03C17">
            <w:pPr>
              <w:pStyle w:val="Other0"/>
              <w:framePr w:w="11414" w:h="5035" w:wrap="none" w:hAnchor="page" w:x="635" w:y="371"/>
              <w:spacing w:line="240" w:lineRule="auto"/>
              <w:ind w:firstLine="200"/>
              <w:rPr>
                <w:sz w:val="16"/>
                <w:szCs w:val="16"/>
              </w:rPr>
            </w:pPr>
            <w:r>
              <w:rPr>
                <w:rFonts w:ascii="Times New Roman" w:eastAsia="Times New Roman" w:hAnsi="Times New Roman" w:cs="Times New Roman"/>
                <w:sz w:val="16"/>
                <w:szCs w:val="16"/>
              </w:rPr>
              <w:t>parásito en</w:t>
            </w:r>
          </w:p>
        </w:tc>
        <w:tc>
          <w:tcPr>
            <w:tcW w:w="1234" w:type="dxa"/>
            <w:shd w:val="clear" w:color="auto" w:fill="FFFFFF"/>
          </w:tcPr>
          <w:p w14:paraId="0506F122" w14:textId="77777777" w:rsidR="00D03C17" w:rsidRDefault="00D03C17">
            <w:pPr>
              <w:pStyle w:val="Other0"/>
              <w:framePr w:w="11414" w:h="5035" w:wrap="none" w:hAnchor="page" w:x="635" w:y="371"/>
              <w:spacing w:line="240" w:lineRule="auto"/>
              <w:ind w:firstLine="0"/>
              <w:rPr>
                <w:sz w:val="16"/>
                <w:szCs w:val="16"/>
              </w:rPr>
            </w:pPr>
            <w:r>
              <w:rPr>
                <w:rFonts w:ascii="Times New Roman" w:eastAsia="Times New Roman" w:hAnsi="Times New Roman" w:cs="Times New Roman"/>
                <w:sz w:val="16"/>
                <w:szCs w:val="16"/>
              </w:rPr>
              <w:t>vermes maduros</w:t>
            </w:r>
          </w:p>
        </w:tc>
        <w:tc>
          <w:tcPr>
            <w:tcW w:w="1718" w:type="dxa"/>
            <w:shd w:val="clear" w:color="auto" w:fill="FFFFFF"/>
          </w:tcPr>
          <w:p w14:paraId="765D584D" w14:textId="77777777" w:rsidR="00D03C17" w:rsidRDefault="00D03C17">
            <w:pPr>
              <w:pStyle w:val="Other0"/>
              <w:framePr w:w="11414" w:h="5035" w:wrap="none" w:hAnchor="page" w:x="635" w:y="371"/>
              <w:spacing w:line="240" w:lineRule="auto"/>
              <w:ind w:firstLine="160"/>
              <w:rPr>
                <w:sz w:val="16"/>
                <w:szCs w:val="16"/>
              </w:rPr>
            </w:pPr>
            <w:r>
              <w:rPr>
                <w:rFonts w:ascii="Times New Roman" w:eastAsia="Times New Roman" w:hAnsi="Times New Roman" w:cs="Times New Roman"/>
                <w:sz w:val="16"/>
                <w:szCs w:val="16"/>
              </w:rPr>
              <w:t>proteinopénica,</w:t>
            </w:r>
          </w:p>
        </w:tc>
      </w:tr>
      <w:tr w:rsidR="00D03C17" w14:paraId="25C6D0B6" w14:textId="77777777">
        <w:tblPrEx>
          <w:tblCellMar>
            <w:top w:w="0" w:type="dxa"/>
            <w:bottom w:w="0" w:type="dxa"/>
          </w:tblCellMar>
        </w:tblPrEx>
        <w:trPr>
          <w:trHeight w:hRule="exact" w:val="211"/>
        </w:trPr>
        <w:tc>
          <w:tcPr>
            <w:tcW w:w="1210" w:type="dxa"/>
            <w:shd w:val="clear" w:color="auto" w:fill="FFFFFF"/>
          </w:tcPr>
          <w:p w14:paraId="15F2EA2C" w14:textId="77777777" w:rsidR="00D03C17" w:rsidRDefault="00D03C17">
            <w:pPr>
              <w:pStyle w:val="Other0"/>
              <w:framePr w:w="11414" w:h="5035" w:wrap="none" w:hAnchor="page" w:x="635" w:y="371"/>
              <w:spacing w:line="240" w:lineRule="auto"/>
              <w:ind w:firstLine="140"/>
              <w:rPr>
                <w:sz w:val="16"/>
                <w:szCs w:val="16"/>
              </w:rPr>
            </w:pPr>
            <w:r>
              <w:rPr>
                <w:rFonts w:ascii="Times New Roman" w:eastAsia="Times New Roman" w:hAnsi="Times New Roman" w:cs="Times New Roman"/>
                <w:i/>
                <w:iCs/>
                <w:sz w:val="16"/>
                <w:szCs w:val="16"/>
              </w:rPr>
              <w:t>(Capillaria</w:t>
            </w:r>
          </w:p>
        </w:tc>
        <w:tc>
          <w:tcPr>
            <w:tcW w:w="1253" w:type="dxa"/>
            <w:shd w:val="clear" w:color="auto" w:fill="FFFFFF"/>
          </w:tcPr>
          <w:p w14:paraId="230E4645" w14:textId="77777777" w:rsidR="00D03C17" w:rsidRDefault="00D03C17">
            <w:pPr>
              <w:framePr w:w="11414" w:h="5035" w:wrap="none" w:hAnchor="page" w:x="635" w:y="371"/>
              <w:rPr>
                <w:sz w:val="10"/>
                <w:szCs w:val="10"/>
              </w:rPr>
            </w:pPr>
          </w:p>
        </w:tc>
        <w:tc>
          <w:tcPr>
            <w:tcW w:w="2328" w:type="dxa"/>
            <w:shd w:val="clear" w:color="auto" w:fill="FFFFFF"/>
          </w:tcPr>
          <w:p w14:paraId="75AA85F4" w14:textId="77777777" w:rsidR="00D03C17" w:rsidRDefault="00D03C17">
            <w:pPr>
              <w:pStyle w:val="Other0"/>
              <w:framePr w:w="11414" w:h="5035" w:wrap="none" w:hAnchor="page" w:x="635" w:y="371"/>
              <w:spacing w:line="240" w:lineRule="auto"/>
              <w:ind w:firstLine="140"/>
              <w:rPr>
                <w:sz w:val="16"/>
                <w:szCs w:val="16"/>
              </w:rPr>
            </w:pPr>
            <w:r>
              <w:rPr>
                <w:rFonts w:ascii="Times New Roman" w:eastAsia="Times New Roman" w:hAnsi="Times New Roman" w:cs="Times New Roman"/>
                <w:sz w:val="16"/>
                <w:szCs w:val="16"/>
              </w:rPr>
              <w:t>piscífagos</w:t>
            </w:r>
          </w:p>
        </w:tc>
        <w:tc>
          <w:tcPr>
            <w:tcW w:w="1277" w:type="dxa"/>
            <w:shd w:val="clear" w:color="auto" w:fill="FFFFFF"/>
          </w:tcPr>
          <w:p w14:paraId="29E1C705" w14:textId="77777777" w:rsidR="00D03C17" w:rsidRDefault="00D03C17">
            <w:pPr>
              <w:pStyle w:val="Other0"/>
              <w:framePr w:w="11414" w:h="5035" w:wrap="none" w:hAnchor="page" w:x="635" w:y="371"/>
              <w:spacing w:line="240" w:lineRule="auto"/>
              <w:ind w:firstLine="180"/>
              <w:rPr>
                <w:sz w:val="16"/>
                <w:szCs w:val="16"/>
              </w:rPr>
            </w:pPr>
            <w:r>
              <w:rPr>
                <w:rFonts w:ascii="Times New Roman" w:eastAsia="Times New Roman" w:hAnsi="Times New Roman" w:cs="Times New Roman"/>
                <w:sz w:val="16"/>
                <w:szCs w:val="16"/>
              </w:rPr>
              <w:t>infectado</w:t>
            </w:r>
          </w:p>
        </w:tc>
        <w:tc>
          <w:tcPr>
            <w:tcW w:w="1138" w:type="dxa"/>
            <w:shd w:val="clear" w:color="auto" w:fill="FFFFFF"/>
          </w:tcPr>
          <w:p w14:paraId="559CDB83" w14:textId="77777777" w:rsidR="00D03C17" w:rsidRDefault="00D03C17">
            <w:pPr>
              <w:framePr w:w="11414" w:h="5035" w:wrap="none" w:hAnchor="page" w:x="635" w:y="371"/>
              <w:rPr>
                <w:sz w:val="10"/>
                <w:szCs w:val="10"/>
              </w:rPr>
            </w:pPr>
          </w:p>
        </w:tc>
        <w:tc>
          <w:tcPr>
            <w:tcW w:w="1258" w:type="dxa"/>
            <w:shd w:val="clear" w:color="auto" w:fill="FFFFFF"/>
          </w:tcPr>
          <w:p w14:paraId="7D9E227A" w14:textId="77777777" w:rsidR="00D03C17" w:rsidRDefault="00D03C17">
            <w:pPr>
              <w:pStyle w:val="Other0"/>
              <w:framePr w:w="11414" w:h="5035" w:wrap="none" w:hAnchor="page" w:x="635" w:y="371"/>
              <w:spacing w:line="240" w:lineRule="auto"/>
              <w:ind w:firstLine="200"/>
              <w:rPr>
                <w:sz w:val="16"/>
                <w:szCs w:val="16"/>
              </w:rPr>
            </w:pPr>
            <w:r>
              <w:rPr>
                <w:rFonts w:ascii="Times New Roman" w:eastAsia="Times New Roman" w:hAnsi="Times New Roman" w:cs="Times New Roman"/>
                <w:sz w:val="16"/>
                <w:szCs w:val="16"/>
              </w:rPr>
              <w:t>las heces</w:t>
            </w:r>
          </w:p>
        </w:tc>
        <w:tc>
          <w:tcPr>
            <w:tcW w:w="1234" w:type="dxa"/>
            <w:shd w:val="clear" w:color="auto" w:fill="FFFFFF"/>
          </w:tcPr>
          <w:p w14:paraId="369DA61F" w14:textId="77777777" w:rsidR="00D03C17" w:rsidRDefault="00D03C17">
            <w:pPr>
              <w:framePr w:w="11414" w:h="5035" w:wrap="none" w:hAnchor="page" w:x="635" w:y="371"/>
              <w:rPr>
                <w:sz w:val="10"/>
                <w:szCs w:val="10"/>
              </w:rPr>
            </w:pPr>
          </w:p>
        </w:tc>
        <w:tc>
          <w:tcPr>
            <w:tcW w:w="1718" w:type="dxa"/>
            <w:shd w:val="clear" w:color="auto" w:fill="FFFFFF"/>
          </w:tcPr>
          <w:p w14:paraId="58FABA38" w14:textId="77777777" w:rsidR="00D03C17" w:rsidRDefault="00D03C17">
            <w:pPr>
              <w:pStyle w:val="Other0"/>
              <w:framePr w:w="11414" w:h="5035" w:wrap="none" w:hAnchor="page" w:x="635" w:y="371"/>
              <w:spacing w:line="240" w:lineRule="auto"/>
              <w:ind w:firstLine="160"/>
              <w:rPr>
                <w:sz w:val="16"/>
                <w:szCs w:val="16"/>
              </w:rPr>
            </w:pPr>
            <w:r>
              <w:rPr>
                <w:rFonts w:ascii="Times New Roman" w:eastAsia="Times New Roman" w:hAnsi="Times New Roman" w:cs="Times New Roman"/>
                <w:sz w:val="16"/>
                <w:szCs w:val="16"/>
              </w:rPr>
              <w:t>diarrea,</w:t>
            </w:r>
          </w:p>
        </w:tc>
      </w:tr>
      <w:tr w:rsidR="00D03C17" w14:paraId="33157B1B" w14:textId="77777777">
        <w:tblPrEx>
          <w:tblCellMar>
            <w:top w:w="0" w:type="dxa"/>
            <w:bottom w:w="0" w:type="dxa"/>
          </w:tblCellMar>
        </w:tblPrEx>
        <w:trPr>
          <w:trHeight w:hRule="exact" w:val="528"/>
        </w:trPr>
        <w:tc>
          <w:tcPr>
            <w:tcW w:w="1210" w:type="dxa"/>
            <w:tcBorders>
              <w:bottom w:val="single" w:sz="4" w:space="0" w:color="auto"/>
            </w:tcBorders>
            <w:shd w:val="clear" w:color="auto" w:fill="FFFFFF"/>
          </w:tcPr>
          <w:p w14:paraId="57418BD7" w14:textId="77777777" w:rsidR="00D03C17" w:rsidRDefault="00D03C17">
            <w:pPr>
              <w:pStyle w:val="Other0"/>
              <w:framePr w:w="11414" w:h="5035" w:wrap="none" w:hAnchor="page" w:x="635" w:y="371"/>
              <w:spacing w:line="240" w:lineRule="auto"/>
              <w:ind w:firstLine="140"/>
              <w:rPr>
                <w:sz w:val="16"/>
                <w:szCs w:val="16"/>
              </w:rPr>
            </w:pPr>
            <w:r>
              <w:rPr>
                <w:rFonts w:ascii="Times New Roman" w:eastAsia="Times New Roman" w:hAnsi="Times New Roman" w:cs="Times New Roman"/>
                <w:i/>
                <w:iCs/>
                <w:sz w:val="16"/>
                <w:szCs w:val="16"/>
              </w:rPr>
              <w:t>philippinensis)</w:t>
            </w:r>
          </w:p>
        </w:tc>
        <w:tc>
          <w:tcPr>
            <w:tcW w:w="1253" w:type="dxa"/>
            <w:tcBorders>
              <w:bottom w:val="single" w:sz="4" w:space="0" w:color="auto"/>
            </w:tcBorders>
            <w:shd w:val="clear" w:color="auto" w:fill="FFFFFF"/>
          </w:tcPr>
          <w:p w14:paraId="089E9A04" w14:textId="77777777" w:rsidR="00D03C17" w:rsidRDefault="00D03C17">
            <w:pPr>
              <w:framePr w:w="11414" w:h="5035" w:wrap="none" w:hAnchor="page" w:x="635" w:y="371"/>
              <w:rPr>
                <w:sz w:val="10"/>
                <w:szCs w:val="10"/>
              </w:rPr>
            </w:pPr>
          </w:p>
        </w:tc>
        <w:tc>
          <w:tcPr>
            <w:tcW w:w="2328" w:type="dxa"/>
            <w:tcBorders>
              <w:bottom w:val="single" w:sz="4" w:space="0" w:color="auto"/>
            </w:tcBorders>
            <w:shd w:val="clear" w:color="auto" w:fill="FFFFFF"/>
          </w:tcPr>
          <w:p w14:paraId="478735F0" w14:textId="77777777" w:rsidR="00D03C17" w:rsidRDefault="00D03C17">
            <w:pPr>
              <w:framePr w:w="11414" w:h="5035" w:wrap="none" w:hAnchor="page" w:x="635" w:y="371"/>
              <w:rPr>
                <w:sz w:val="10"/>
                <w:szCs w:val="10"/>
              </w:rPr>
            </w:pPr>
          </w:p>
        </w:tc>
        <w:tc>
          <w:tcPr>
            <w:tcW w:w="1277" w:type="dxa"/>
            <w:tcBorders>
              <w:bottom w:val="single" w:sz="4" w:space="0" w:color="auto"/>
            </w:tcBorders>
            <w:shd w:val="clear" w:color="auto" w:fill="FFFFFF"/>
          </w:tcPr>
          <w:p w14:paraId="292D11A7" w14:textId="77777777" w:rsidR="00D03C17" w:rsidRDefault="00D03C17">
            <w:pPr>
              <w:pStyle w:val="Other0"/>
              <w:framePr w:w="11414" w:h="5035" w:wrap="none" w:hAnchor="page" w:x="635" w:y="371"/>
              <w:spacing w:line="240" w:lineRule="auto"/>
              <w:ind w:firstLine="180"/>
              <w:rPr>
                <w:sz w:val="16"/>
                <w:szCs w:val="16"/>
              </w:rPr>
            </w:pPr>
            <w:r>
              <w:rPr>
                <w:rFonts w:ascii="Times New Roman" w:eastAsia="Times New Roman" w:hAnsi="Times New Roman" w:cs="Times New Roman"/>
                <w:sz w:val="16"/>
                <w:szCs w:val="16"/>
              </w:rPr>
              <w:t>crudo</w:t>
            </w:r>
          </w:p>
        </w:tc>
        <w:tc>
          <w:tcPr>
            <w:tcW w:w="1138" w:type="dxa"/>
            <w:tcBorders>
              <w:bottom w:val="single" w:sz="4" w:space="0" w:color="auto"/>
            </w:tcBorders>
            <w:shd w:val="clear" w:color="auto" w:fill="FFFFFF"/>
          </w:tcPr>
          <w:p w14:paraId="410B08DD" w14:textId="77777777" w:rsidR="00D03C17" w:rsidRDefault="00D03C17">
            <w:pPr>
              <w:framePr w:w="11414" w:h="5035" w:wrap="none" w:hAnchor="page" w:x="635" w:y="371"/>
              <w:rPr>
                <w:sz w:val="10"/>
                <w:szCs w:val="10"/>
              </w:rPr>
            </w:pPr>
          </w:p>
        </w:tc>
        <w:tc>
          <w:tcPr>
            <w:tcW w:w="1258" w:type="dxa"/>
            <w:tcBorders>
              <w:bottom w:val="single" w:sz="4" w:space="0" w:color="auto"/>
            </w:tcBorders>
            <w:shd w:val="clear" w:color="auto" w:fill="FFFFFF"/>
          </w:tcPr>
          <w:p w14:paraId="5F5FCDEA" w14:textId="77777777" w:rsidR="00D03C17" w:rsidRDefault="00D03C17">
            <w:pPr>
              <w:framePr w:w="11414" w:h="5035" w:wrap="none" w:hAnchor="page" w:x="635" w:y="371"/>
              <w:rPr>
                <w:sz w:val="10"/>
                <w:szCs w:val="10"/>
              </w:rPr>
            </w:pPr>
          </w:p>
        </w:tc>
        <w:tc>
          <w:tcPr>
            <w:tcW w:w="1234" w:type="dxa"/>
            <w:tcBorders>
              <w:bottom w:val="single" w:sz="4" w:space="0" w:color="auto"/>
            </w:tcBorders>
            <w:shd w:val="clear" w:color="auto" w:fill="FFFFFF"/>
          </w:tcPr>
          <w:p w14:paraId="796B7CB8" w14:textId="77777777" w:rsidR="00D03C17" w:rsidRDefault="00D03C17">
            <w:pPr>
              <w:framePr w:w="11414" w:h="5035" w:wrap="none" w:hAnchor="page" w:x="635" w:y="371"/>
              <w:rPr>
                <w:sz w:val="10"/>
                <w:szCs w:val="10"/>
              </w:rPr>
            </w:pPr>
          </w:p>
        </w:tc>
        <w:tc>
          <w:tcPr>
            <w:tcW w:w="1718" w:type="dxa"/>
            <w:tcBorders>
              <w:bottom w:val="single" w:sz="4" w:space="0" w:color="auto"/>
            </w:tcBorders>
            <w:shd w:val="clear" w:color="auto" w:fill="FFFFFF"/>
          </w:tcPr>
          <w:p w14:paraId="2B9CA292" w14:textId="77777777" w:rsidR="00D03C17" w:rsidRDefault="00D03C17">
            <w:pPr>
              <w:pStyle w:val="Other0"/>
              <w:framePr w:w="11414" w:h="5035" w:wrap="none" w:hAnchor="page" w:x="635" w:y="371"/>
              <w:spacing w:line="283" w:lineRule="auto"/>
              <w:ind w:left="160" w:firstLine="0"/>
              <w:rPr>
                <w:sz w:val="16"/>
                <w:szCs w:val="16"/>
              </w:rPr>
            </w:pPr>
            <w:r>
              <w:rPr>
                <w:rFonts w:ascii="Times New Roman" w:eastAsia="Times New Roman" w:hAnsi="Times New Roman" w:cs="Times New Roman"/>
                <w:sz w:val="16"/>
                <w:szCs w:val="16"/>
              </w:rPr>
              <w:t>malabsorción, ascitis, emaciación</w:t>
            </w:r>
          </w:p>
        </w:tc>
      </w:tr>
    </w:tbl>
    <w:p w14:paraId="5A2079E6" w14:textId="77777777" w:rsidR="00D03C17" w:rsidRDefault="00D03C17">
      <w:pPr>
        <w:framePr w:w="11414" w:h="5035" w:wrap="none" w:hAnchor="page" w:x="635" w:y="371"/>
        <w:spacing w:line="1" w:lineRule="exact"/>
      </w:pPr>
    </w:p>
    <w:p w14:paraId="2AF14426" w14:textId="77777777" w:rsidR="00D03C17" w:rsidRDefault="00D03C17">
      <w:pPr>
        <w:pStyle w:val="Bodytext20"/>
        <w:framePr w:w="5846" w:h="418" w:wrap="none" w:hAnchor="page" w:x="687" w:y="5487"/>
        <w:spacing w:line="240" w:lineRule="auto"/>
        <w:ind w:firstLine="180"/>
      </w:pPr>
      <w:r>
        <w:t>LCR, líquido cefalorraquídeo.</w:t>
      </w:r>
    </w:p>
    <w:p w14:paraId="04D0263F" w14:textId="77777777" w:rsidR="00D03C17" w:rsidRDefault="00D03C17">
      <w:pPr>
        <w:pStyle w:val="Bodytext20"/>
        <w:framePr w:w="5846" w:h="418" w:wrap="none" w:hAnchor="page" w:x="687" w:y="5487"/>
        <w:spacing w:line="240" w:lineRule="auto"/>
      </w:pPr>
      <w:r>
        <w:rPr>
          <w:vertAlign w:val="superscript"/>
        </w:rPr>
        <w:t>1</w:t>
      </w:r>
      <w:r>
        <w:t xml:space="preserve"> Para la farmacoterapia recomendada véase “Fármacos antiparasitarios”, sección 4.</w:t>
      </w:r>
    </w:p>
    <w:p w14:paraId="4057FA74" w14:textId="77777777" w:rsidR="00D03C17" w:rsidRDefault="00D03C17">
      <w:pPr>
        <w:pStyle w:val="Bodytext80"/>
        <w:framePr w:w="168" w:h="3850" w:hRule="exact" w:wrap="none" w:hAnchor="page" w:x="12390" w:y="3039"/>
        <w:tabs>
          <w:tab w:val="left" w:pos="3528"/>
        </w:tabs>
        <w:textDirection w:val="tbRl"/>
        <w:rPr>
          <w:sz w:val="16"/>
          <w:szCs w:val="16"/>
        </w:rPr>
      </w:pPr>
      <w:r>
        <w:t>PAROTIDITIS</w:t>
      </w:r>
      <w:r>
        <w:tab/>
      </w:r>
      <w:r>
        <w:rPr>
          <w:sz w:val="16"/>
          <w:szCs w:val="16"/>
        </w:rPr>
        <w:t>531</w:t>
      </w:r>
    </w:p>
    <w:p w14:paraId="0A301D7E" w14:textId="77777777" w:rsidR="00D03C17" w:rsidRDefault="00D03C17">
      <w:pPr>
        <w:spacing w:line="360" w:lineRule="exact"/>
      </w:pPr>
    </w:p>
    <w:p w14:paraId="72E82D15" w14:textId="77777777" w:rsidR="00D03C17" w:rsidRDefault="00D03C17">
      <w:pPr>
        <w:spacing w:line="360" w:lineRule="exact"/>
      </w:pPr>
    </w:p>
    <w:p w14:paraId="50167551" w14:textId="77777777" w:rsidR="00D03C17" w:rsidRDefault="00D03C17">
      <w:pPr>
        <w:spacing w:line="360" w:lineRule="exact"/>
      </w:pPr>
    </w:p>
    <w:p w14:paraId="089F737B" w14:textId="77777777" w:rsidR="00D03C17" w:rsidRDefault="00D03C17">
      <w:pPr>
        <w:spacing w:line="360" w:lineRule="exact"/>
      </w:pPr>
    </w:p>
    <w:p w14:paraId="681DDAFF" w14:textId="77777777" w:rsidR="00D03C17" w:rsidRDefault="00D03C17">
      <w:pPr>
        <w:spacing w:line="360" w:lineRule="exact"/>
      </w:pPr>
    </w:p>
    <w:p w14:paraId="5C675402" w14:textId="77777777" w:rsidR="00D03C17" w:rsidRDefault="00D03C17">
      <w:pPr>
        <w:spacing w:line="360" w:lineRule="exact"/>
      </w:pPr>
    </w:p>
    <w:p w14:paraId="030EB5BC" w14:textId="77777777" w:rsidR="00D03C17" w:rsidRDefault="00D03C17">
      <w:pPr>
        <w:spacing w:line="360" w:lineRule="exact"/>
      </w:pPr>
    </w:p>
    <w:p w14:paraId="665E9B13" w14:textId="77777777" w:rsidR="00D03C17" w:rsidRDefault="00D03C17">
      <w:pPr>
        <w:spacing w:line="360" w:lineRule="exact"/>
      </w:pPr>
    </w:p>
    <w:p w14:paraId="5670276E" w14:textId="77777777" w:rsidR="00D03C17" w:rsidRDefault="00D03C17">
      <w:pPr>
        <w:spacing w:line="360" w:lineRule="exact"/>
      </w:pPr>
    </w:p>
    <w:p w14:paraId="27A59DA6" w14:textId="77777777" w:rsidR="00D03C17" w:rsidRDefault="00D03C17">
      <w:pPr>
        <w:spacing w:line="360" w:lineRule="exact"/>
      </w:pPr>
    </w:p>
    <w:p w14:paraId="179DB85B" w14:textId="77777777" w:rsidR="00D03C17" w:rsidRDefault="00D03C17">
      <w:pPr>
        <w:spacing w:line="360" w:lineRule="exact"/>
      </w:pPr>
    </w:p>
    <w:p w14:paraId="18B646BD" w14:textId="77777777" w:rsidR="00D03C17" w:rsidRDefault="00D03C17">
      <w:pPr>
        <w:spacing w:line="360" w:lineRule="exact"/>
      </w:pPr>
    </w:p>
    <w:p w14:paraId="23C485AC" w14:textId="77777777" w:rsidR="00D03C17" w:rsidRDefault="00D03C17">
      <w:pPr>
        <w:spacing w:line="360" w:lineRule="exact"/>
      </w:pPr>
    </w:p>
    <w:p w14:paraId="4548D620" w14:textId="77777777" w:rsidR="00D03C17" w:rsidRDefault="00D03C17">
      <w:pPr>
        <w:spacing w:line="360" w:lineRule="exact"/>
      </w:pPr>
    </w:p>
    <w:p w14:paraId="164B5DC6" w14:textId="77777777" w:rsidR="00D03C17" w:rsidRDefault="00D03C17">
      <w:pPr>
        <w:spacing w:line="360" w:lineRule="exact"/>
      </w:pPr>
    </w:p>
    <w:p w14:paraId="645927BB" w14:textId="77777777" w:rsidR="00D03C17" w:rsidRDefault="00D03C17">
      <w:pPr>
        <w:spacing w:line="360" w:lineRule="exact"/>
      </w:pPr>
    </w:p>
    <w:p w14:paraId="4B56109E" w14:textId="77777777" w:rsidR="00D03C17" w:rsidRDefault="00D03C17">
      <w:pPr>
        <w:spacing w:line="360" w:lineRule="exact"/>
      </w:pPr>
    </w:p>
    <w:p w14:paraId="3FC85584" w14:textId="77777777" w:rsidR="00D03C17" w:rsidRDefault="00D03C17">
      <w:pPr>
        <w:spacing w:line="360" w:lineRule="exact"/>
      </w:pPr>
    </w:p>
    <w:p w14:paraId="038573CF" w14:textId="77777777" w:rsidR="00D03C17" w:rsidRDefault="00D03C17">
      <w:pPr>
        <w:spacing w:after="407" w:line="1" w:lineRule="exact"/>
      </w:pPr>
    </w:p>
    <w:p w14:paraId="31B89149" w14:textId="77777777" w:rsidR="00D03C17" w:rsidRDefault="00D03C17">
      <w:pPr>
        <w:spacing w:line="1" w:lineRule="exact"/>
        <w:sectPr w:rsidR="00D03C17" w:rsidSect="00D03C17">
          <w:footnotePr>
            <w:numFmt w:val="chicago"/>
          </w:footnotePr>
          <w:pgSz w:w="13022" w:h="8501" w:orient="landscape"/>
          <w:pgMar w:top="1085" w:right="466" w:bottom="328" w:left="634" w:header="657" w:footer="3" w:gutter="0"/>
          <w:cols w:space="720"/>
          <w:noEndnote/>
          <w:docGrid w:linePitch="360"/>
          <w15:footnoteColumns w:val="1"/>
        </w:sectPr>
      </w:pPr>
    </w:p>
    <w:p w14:paraId="10AA6322" w14:textId="77777777" w:rsidR="00D03C17" w:rsidRDefault="00D03C17">
      <w:pPr>
        <w:pStyle w:val="BodyText"/>
        <w:spacing w:before="240" w:line="276" w:lineRule="auto"/>
        <w:ind w:firstLine="0"/>
      </w:pPr>
      <w:r>
        <w:t xml:space="preserve">complicaciones raras comprenden artritis, tiroiditis, mastitis, glomerulonefritis, miocarditis, fibroelastosis endocàrdica, trombocitopenia, ataxia cerebelosa, mielitis transversa, polirradiculitis ascendente, pancreatitis, ooforitis y deficiencias auditivas. </w:t>
      </w:r>
      <w:r>
        <w:rPr>
          <w:b/>
          <w:bCs/>
        </w:rPr>
        <w:t>C</w:t>
      </w:r>
      <w:r>
        <w:rPr>
          <w:b/>
          <w:bCs/>
          <w:sz w:val="13"/>
          <w:szCs w:val="13"/>
        </w:rPr>
        <w:t>AUSAS</w:t>
      </w:r>
      <w:r>
        <w:rPr>
          <w:b/>
          <w:bCs/>
        </w:rPr>
        <w:t xml:space="preserve">: </w:t>
      </w:r>
      <w:r>
        <w:t xml:space="preserve">La parotiditis es causada por un virus de RNA clasificado como Rubulavirus de la familia Paramyxoviridae. Otras causas de parotiditis incluyen la infección por virus citomegálico, de parainfluenza tipos 1 y 3, influenza A, coxsackie, de coriomeningitis linfocítica, enterovirus, de inmunodeficiencia humana (VIH), </w:t>
      </w:r>
      <w:r>
        <w:rPr>
          <w:rFonts w:ascii="Times New Roman" w:eastAsia="Times New Roman" w:hAnsi="Times New Roman" w:cs="Times New Roman"/>
          <w:i/>
          <w:iCs/>
          <w:sz w:val="16"/>
          <w:szCs w:val="16"/>
        </w:rPr>
        <w:t>Staphylococcus aureus</w:t>
      </w:r>
      <w:r>
        <w:t xml:space="preserve"> y micobacterias no tuberculosas; ingestión de almidón; reacciones a fármacos (como fenilbutazona, tiouracilo, yoduros) y trastornos metabólicos (diabetes mellitus, cirrosis y malnutrición).</w:t>
      </w:r>
    </w:p>
    <w:p w14:paraId="73A9B902" w14:textId="77777777" w:rsidR="00D03C17" w:rsidRDefault="00D03C17">
      <w:pPr>
        <w:pStyle w:val="BodyText"/>
        <w:ind w:firstLine="0"/>
      </w:pPr>
      <w:r>
        <w:rPr>
          <w:b/>
          <w:bCs/>
        </w:rPr>
        <w:t>A</w:t>
      </w:r>
      <w:r>
        <w:rPr>
          <w:b/>
          <w:bCs/>
          <w:sz w:val="13"/>
          <w:szCs w:val="13"/>
        </w:rPr>
        <w:t>SPECTOS EPIDEMIOLÓGICOS</w:t>
      </w:r>
      <w:r>
        <w:rPr>
          <w:b/>
          <w:bCs/>
        </w:rPr>
        <w:t xml:space="preserve">: </w:t>
      </w:r>
      <w:r>
        <w:t>Los seres humanos son los únicos hospedadores naturales. El virus se propaga por contacto con secreciones infectadas de vías respiratorias, y la infección puede surgir en cualquier momento de la niñez. En la vida adulta es posible que la infección produzca un cuadro más grave que incluya orquitis. Rara vez la persona muere por parotiditis, y la cifra calculada de letalidad es de 1.6 a 3.8 muertes por 10 000 personas. Más de la mitad de las muertes se observan en personas mayores de 19 años. La infección parotidítica en el primer trimestre del embarazo se acompaña de una mayor cifra de abortos espontáneos. El virus cruza la placenta, pero no hay pruebas de que la infección parotidítica en la embarazada origine malformaciones congénitas. En el aspecto histórico, se observó que la incidencia máxima se situaba entre enero y mayo; sin embargo, ya no hay ataque con base en las estaciones. La incidencia en Estados Unidos, que ha disminuido extraordinariamente desde que se contó con la vacuna antiparotídica, es menor de 500 casos notificados al año. Muchos de tales casos se observan en niños de cinco a 14 años. En menores vacunados, casi todos los casos de parotiditis no son causados por la infección parotidítica. Pueden surgir brotes en poblaciones altamente inmunizadas. A semejanza de la vacuna antisarampionosa, una sola dosis de la vacuna que contiene el virus de parotiditis no siempre induce protección. El periodo de transmisibilidad máxima va de uno a dos días antes de comenzar la parotiditis, hasta cinco días después de comenzar dicho signo. Se ha aislado el virus de la saliva, de siete días antes de que comience la hinchazón a nueve días después de surgida.</w:t>
      </w:r>
    </w:p>
    <w:p w14:paraId="512B81A1" w14:textId="77777777" w:rsidR="00D03C17" w:rsidRDefault="00D03C17">
      <w:pPr>
        <w:pStyle w:val="BodyText"/>
        <w:ind w:firstLine="360"/>
      </w:pPr>
      <w:r>
        <w:t xml:space="preserve">El </w:t>
      </w:r>
      <w:r>
        <w:rPr>
          <w:b/>
          <w:bCs/>
        </w:rPr>
        <w:t xml:space="preserve">periodo de incubación </w:t>
      </w:r>
      <w:r>
        <w:t>suele ser de 16 a 18 días, pero puede haber ataque incluso 12 a 25 días después de la exposición.</w:t>
      </w:r>
    </w:p>
    <w:p w14:paraId="0D18D9BA" w14:textId="77777777" w:rsidR="00D03C17" w:rsidRDefault="00D03C17">
      <w:pPr>
        <w:pStyle w:val="BodyText"/>
        <w:ind w:firstLine="0"/>
      </w:pPr>
      <w:r>
        <w:rPr>
          <w:b/>
          <w:bCs/>
        </w:rPr>
        <w:t>M</w:t>
      </w:r>
      <w:r>
        <w:rPr>
          <w:b/>
          <w:bCs/>
          <w:sz w:val="13"/>
          <w:szCs w:val="13"/>
        </w:rPr>
        <w:t>ÉTODOS DIAGNÓSTICOS</w:t>
      </w:r>
      <w:r>
        <w:rPr>
          <w:b/>
          <w:bCs/>
        </w:rPr>
        <w:t xml:space="preserve">: </w:t>
      </w:r>
      <w:r>
        <w:t xml:space="preserve">Los niños con parotiditis que dura dos días o más sin otra causa manifiesta deben ser sometidos a estudios diagnósticos para confirmar que la causa es el virus correspondiente porque en la actualidad en muchas zonas la parotiditis es una infección poco común y puede tener otras causas, incluidos otros agentes infecciosos. Se confirma la presencia de la enfermedad al aislar el virus en el cultivo celular inoculado con material obtenido de lavado de la faringe, orina o líquido cefalorraquídeo, o por un incremento notable de los títulos de la inmunoglobulina G (IgG), como anticuerpo, antiparotidítica en suero de fase aguda y de convalecencia, valorada por cualquier técnica serológica habitual (fijación de complemento, neutralización, inhibición de hemaglutinación o inmunoanálisis enzimático o medición de anticuerpo IgM antiparotidítico [la infección antigua se evalúa mejor por inmunoanálisis enzimático o prueba de neutralización; para tal fin no son fiables la fijación del complemento ni la inhibición de la hemaglutinación]). Las pruebas cutáneas no son fiables y no deben utilizarse para valorar el estado inmunitario. </w:t>
      </w:r>
      <w:r>
        <w:rPr>
          <w:b/>
          <w:bCs/>
        </w:rPr>
        <w:t>T</w:t>
      </w:r>
      <w:r>
        <w:rPr>
          <w:b/>
          <w:bCs/>
          <w:sz w:val="13"/>
          <w:szCs w:val="13"/>
        </w:rPr>
        <w:t>RATAMIENTO</w:t>
      </w:r>
      <w:r>
        <w:rPr>
          <w:b/>
          <w:bCs/>
        </w:rPr>
        <w:t xml:space="preserve">: </w:t>
      </w:r>
      <w:r>
        <w:t>Medidas de sostén.</w:t>
      </w:r>
    </w:p>
    <w:p w14:paraId="0D657F0D" w14:textId="77777777" w:rsidR="00D03C17" w:rsidRDefault="00D03C17">
      <w:pPr>
        <w:pStyle w:val="BodyText"/>
        <w:ind w:firstLine="0"/>
      </w:pPr>
      <w:r>
        <w:rPr>
          <w:b/>
          <w:bCs/>
        </w:rPr>
        <w:t>A</w:t>
      </w:r>
      <w:r>
        <w:rPr>
          <w:b/>
          <w:bCs/>
          <w:sz w:val="13"/>
          <w:szCs w:val="13"/>
        </w:rPr>
        <w:t xml:space="preserve">ISLAMIENTO </w:t>
      </w:r>
      <w:r>
        <w:rPr>
          <w:b/>
          <w:bCs/>
          <w:smallCaps/>
          <w:sz w:val="16"/>
          <w:szCs w:val="16"/>
        </w:rPr>
        <w:t>del</w:t>
      </w:r>
      <w:r>
        <w:rPr>
          <w:b/>
          <w:bCs/>
          <w:sz w:val="13"/>
          <w:szCs w:val="13"/>
        </w:rPr>
        <w:t xml:space="preserve"> PACIENTE HOSPITALIZADO</w:t>
      </w:r>
      <w:r>
        <w:rPr>
          <w:b/>
          <w:bCs/>
        </w:rPr>
        <w:t xml:space="preserve">: </w:t>
      </w:r>
      <w:r>
        <w:t>Además de las precauciones estándar se recomienda seguir precauciones para evitar la transmisión por gotículas hasta nueve días de haber comenzado la hinchazón de las parótidas.</w:t>
      </w:r>
    </w:p>
    <w:p w14:paraId="09C7DE55" w14:textId="77777777" w:rsidR="00D03C17" w:rsidRDefault="00D03C17">
      <w:pPr>
        <w:pStyle w:val="Other0"/>
        <w:spacing w:line="257" w:lineRule="auto"/>
        <w:ind w:firstLine="0"/>
        <w:rPr>
          <w:sz w:val="20"/>
          <w:szCs w:val="20"/>
        </w:rPr>
      </w:pPr>
      <w:r>
        <w:rPr>
          <w:b/>
          <w:bCs/>
          <w:smallCaps/>
          <w:sz w:val="20"/>
          <w:szCs w:val="20"/>
        </w:rPr>
        <w:t>M</w:t>
      </w:r>
      <w:r>
        <w:rPr>
          <w:b/>
          <w:bCs/>
          <w:smallCaps/>
          <w:sz w:val="16"/>
          <w:szCs w:val="16"/>
        </w:rPr>
        <w:t>edidas preventivas</w:t>
      </w:r>
      <w:r>
        <w:rPr>
          <w:b/>
          <w:bCs/>
          <w:smallCaps/>
          <w:sz w:val="20"/>
          <w:szCs w:val="20"/>
        </w:rPr>
        <w:t>:</w:t>
      </w:r>
    </w:p>
    <w:p w14:paraId="53A916BA" w14:textId="77777777" w:rsidR="00D03C17" w:rsidRDefault="00D03C17">
      <w:pPr>
        <w:pStyle w:val="BodyText"/>
        <w:spacing w:line="283" w:lineRule="auto"/>
        <w:ind w:firstLine="0"/>
      </w:pPr>
      <w:r>
        <w:rPr>
          <w:rFonts w:ascii="Arial" w:eastAsia="Arial" w:hAnsi="Arial" w:cs="Arial"/>
          <w:b/>
          <w:bCs/>
          <w:i/>
          <w:iCs/>
          <w:sz w:val="15"/>
          <w:szCs w:val="15"/>
        </w:rPr>
        <w:t>Escolares y niños en centros pediátricos.</w:t>
      </w:r>
      <w:r>
        <w:t xml:space="preserve"> Es importante excluir a los niños durante nueve días a partir del comienzo de la hinchazón de las parótidas. Respecto a medidas de erradicación durante un brote, véase después en este resumen “Erradicación de un brote”.</w:t>
      </w:r>
    </w:p>
    <w:p w14:paraId="18D9D216" w14:textId="77777777" w:rsidR="00D03C17" w:rsidRDefault="00D03C17">
      <w:pPr>
        <w:pStyle w:val="BodyText"/>
        <w:ind w:firstLine="360"/>
      </w:pPr>
      <w:r>
        <w:rPr>
          <w:rFonts w:ascii="Arial" w:eastAsia="Arial" w:hAnsi="Arial" w:cs="Arial"/>
          <w:b/>
          <w:bCs/>
          <w:i/>
          <w:iCs/>
          <w:sz w:val="15"/>
          <w:szCs w:val="15"/>
        </w:rPr>
        <w:t>Cuidado de personas expuestas.</w:t>
      </w:r>
      <w:r>
        <w:t xml:space="preserve"> No se ha demostrado la eficacia de la vacuna antiparotidítica para evitar la infección después de exposición. Sin embargo, puede aplicarse después de tal situación porque con la vacunación se logra protección contra nuevas exposiciones. No conlleva mayor peligro la vacunación hecha durante el periodo de incubación. No se recomienda el uso sistemático de la vacuna antiparotidítica en personas nacidas antes de 1957 porque muchas de ellas están inmunes. El concentrado inmunoglobulínico antiparotidítico no es útil y ya no se le fabrica ni aprueba en Estados Unidos.</w:t>
      </w:r>
    </w:p>
    <w:p w14:paraId="775D5AC6" w14:textId="77777777" w:rsidR="00D03C17" w:rsidRDefault="00D03C17">
      <w:pPr>
        <w:pStyle w:val="BodyText"/>
        <w:ind w:firstLine="360"/>
      </w:pPr>
      <w:r>
        <w:rPr>
          <w:rFonts w:ascii="Arial" w:eastAsia="Arial" w:hAnsi="Arial" w:cs="Arial"/>
          <w:b/>
          <w:bCs/>
          <w:i/>
          <w:iCs/>
          <w:sz w:val="15"/>
          <w:szCs w:val="15"/>
        </w:rPr>
        <w:t>Vacuna antiparotidítica.</w:t>
      </w:r>
      <w:r>
        <w:t xml:space="preserve"> La vacuna de virus vivos se prepara en cultivos de embrión de pollo. Se aplica por inyección subcutánea de una dosis de 0.5 ml, sola en la forma de vacuna monovalente o de preferencia en la vacuna mixta triple (sarampión-parotiditis- rubéola </w:t>
      </w:r>
      <w:r>
        <w:rPr>
          <w:i/>
          <w:iCs/>
        </w:rPr>
        <w:t>[</w:t>
      </w:r>
      <w:r>
        <w:rPr>
          <w:rFonts w:ascii="Times New Roman" w:eastAsia="Times New Roman" w:hAnsi="Times New Roman" w:cs="Times New Roman"/>
          <w:i/>
          <w:iCs/>
          <w:sz w:val="16"/>
          <w:szCs w:val="16"/>
        </w:rPr>
        <w:t>measles-mumps-rubella</w:t>
      </w:r>
      <w:r>
        <w:rPr>
          <w:i/>
          <w:iCs/>
        </w:rPr>
        <w:t>,</w:t>
      </w:r>
      <w:r>
        <w:t xml:space="preserve"> MMR]). Surgen anticuerpos en más de 95% de todos los niños susceptibles después de recibir una sola dosis. Las pruebas serológicas y epidemiológicas que abarcan más de 25 años indican que la inmunidad inducida por la vacuna es permanente.</w:t>
      </w:r>
    </w:p>
    <w:p w14:paraId="53705464" w14:textId="77777777" w:rsidR="00D03C17" w:rsidRDefault="00D03C17">
      <w:pPr>
        <w:pStyle w:val="Bodytext20"/>
        <w:spacing w:line="314" w:lineRule="auto"/>
      </w:pPr>
      <w:r>
        <w:rPr>
          <w:b/>
          <w:bCs/>
          <w:i/>
          <w:iCs/>
        </w:rPr>
        <w:t>Recomendaciones en cuanto a la vacuna</w:t>
      </w:r>
    </w:p>
    <w:p w14:paraId="176260EA" w14:textId="77777777" w:rsidR="00D03C17" w:rsidRDefault="00D03C17">
      <w:pPr>
        <w:pStyle w:val="BodyText"/>
        <w:numPr>
          <w:ilvl w:val="0"/>
          <w:numId w:val="81"/>
        </w:numPr>
        <w:tabs>
          <w:tab w:val="left" w:pos="341"/>
        </w:tabs>
        <w:ind w:left="360" w:hanging="360"/>
      </w:pPr>
      <w:bookmarkStart w:id="58" w:name="bookmark1084"/>
      <w:bookmarkEnd w:id="58"/>
      <w:r>
        <w:t>La vacuna antiparotidítica se aplicará sistemáticamente como parte de la vacuna triple en niños entre los 12 y los 15 meses de vida, y la segunda dosis de la misma entre</w:t>
      </w:r>
    </w:p>
    <w:p w14:paraId="342CA9A8" w14:textId="77777777" w:rsidR="00D03C17" w:rsidRDefault="00D03C17">
      <w:pPr>
        <w:pStyle w:val="BodyText"/>
        <w:ind w:left="360" w:firstLine="0"/>
      </w:pPr>
      <w:r>
        <w:t>los cuatro y seis años de edad. La revacunación contra la parotiditis es importante porque puede aparecer la enfermedad en poblaciones altamente inmunizadas que incluyan personas con el antecedente de haber recibido la vacuna contra la enfermedad. La administración de la vacuna triple no es dañina si se aplica a una persona ya inmune a uno o más de los virus (por infección o vacunación previas).</w:t>
      </w:r>
    </w:p>
    <w:p w14:paraId="307551CC" w14:textId="77777777" w:rsidR="00D03C17" w:rsidRDefault="00D03C17">
      <w:pPr>
        <w:pStyle w:val="BodyText"/>
        <w:numPr>
          <w:ilvl w:val="0"/>
          <w:numId w:val="81"/>
        </w:numPr>
        <w:tabs>
          <w:tab w:val="left" w:pos="341"/>
        </w:tabs>
        <w:ind w:left="360" w:hanging="360"/>
      </w:pPr>
      <w:bookmarkStart w:id="59" w:name="bookmark1085"/>
      <w:bookmarkEnd w:id="59"/>
      <w:r>
        <w:t>La vacunación contra parotiditis asume importancia particular en niños que se acercan a la pubertad, en los adolescentes y en los adultos que no han presentado parotiditis ni han recibido la vacuna. En las visitas de los niños prepúberes y los adolescentes al consultorio del médico, éste debe valorar el estado de inmunidad a la parotiditis. Se considerará que una persona es susceptible salvo que tenga documentos probatorios de que recibió como mínimo una dosis de la vacuna al cumplir el primer año de vida o poco después, corroboración de la enfermedad diagnosticada por un médico o pruebas serológicas de inmunidad, o que nació antes de 1957.</w:t>
      </w:r>
    </w:p>
    <w:p w14:paraId="1FCFC8B1" w14:textId="77777777" w:rsidR="00D03C17" w:rsidRDefault="00D03C17">
      <w:pPr>
        <w:pStyle w:val="BodyText"/>
        <w:numPr>
          <w:ilvl w:val="0"/>
          <w:numId w:val="81"/>
        </w:numPr>
        <w:tabs>
          <w:tab w:val="left" w:pos="341"/>
        </w:tabs>
        <w:ind w:left="360" w:hanging="360"/>
      </w:pPr>
      <w:bookmarkStart w:id="60" w:name="bookmark1086"/>
      <w:bookmarkEnd w:id="60"/>
      <w:r>
        <w:t>Hay que señalar la posibilidad de que reciban la vacuna niños, adolescentes y adultos susceptibles que nacieron en 1957 o poco después (por lo común en la forma de vacuna triple) antes de emprender un viaje, porque la parotiditis sigue siendo endémica en gran parte del mundo. Ante la preocupación de la seroconversión inadecuada que proviene de la persistencia de anticuerpos maternos y ante el hecho de que es relativamente pequeño el riesgo de enfermedad grave por la infección con parotiditis, no es necesario aplicar la vacuna a niños menores de 12 meses antes de llevarlos en viajes.</w:t>
      </w:r>
    </w:p>
    <w:p w14:paraId="0152F004" w14:textId="77777777" w:rsidR="00D03C17" w:rsidRDefault="00D03C17">
      <w:pPr>
        <w:pStyle w:val="BodyText"/>
        <w:numPr>
          <w:ilvl w:val="0"/>
          <w:numId w:val="81"/>
        </w:numPr>
        <w:tabs>
          <w:tab w:val="left" w:pos="338"/>
        </w:tabs>
        <w:ind w:left="340" w:hanging="340"/>
      </w:pPr>
      <w:bookmarkStart w:id="61" w:name="bookmark1087"/>
      <w:bookmarkEnd w:id="61"/>
      <w:r>
        <w:t>No se recomienda el uso sistemático de la vacuna antiparotidítica en personas nacidas antes de 1957, salvo que se les considere susceptibles, tal como se definiría por su seronegatividad. Sin embargo, no está contraindicada la vacunación de tales personas si se desconoce su estado serológico.</w:t>
      </w:r>
    </w:p>
    <w:p w14:paraId="65CE8864" w14:textId="77777777" w:rsidR="00D03C17" w:rsidRDefault="00D03C17">
      <w:pPr>
        <w:pStyle w:val="BodyText"/>
        <w:numPr>
          <w:ilvl w:val="0"/>
          <w:numId w:val="81"/>
        </w:numPr>
        <w:tabs>
          <w:tab w:val="left" w:pos="338"/>
        </w:tabs>
        <w:ind w:left="340" w:hanging="340"/>
      </w:pPr>
      <w:bookmarkStart w:id="62" w:name="bookmark1088"/>
      <w:bookmarkEnd w:id="62"/>
      <w:r>
        <w:t>La vacuna triple puede aplicarse junto con otras en diferentes sitios de inyección y con jeringuillas separadas (véase “Administración simultánea de múltiples vacunas”, sección 1).</w:t>
      </w:r>
    </w:p>
    <w:p w14:paraId="3F535459" w14:textId="77777777" w:rsidR="00D03C17" w:rsidRDefault="00D03C17">
      <w:pPr>
        <w:pStyle w:val="BodyText"/>
        <w:spacing w:line="276" w:lineRule="auto"/>
        <w:ind w:firstLine="360"/>
      </w:pPr>
      <w:r>
        <w:rPr>
          <w:rFonts w:ascii="Arial" w:eastAsia="Arial" w:hAnsi="Arial" w:cs="Arial"/>
          <w:b/>
          <w:bCs/>
          <w:i/>
          <w:iCs/>
          <w:sz w:val="15"/>
          <w:szCs w:val="15"/>
        </w:rPr>
        <w:t>Reacciones adversas.</w:t>
      </w:r>
      <w:r>
        <w:t xml:space="preserve"> Pocas veces hay reacciones adversas atribuidas a la vacuna de virus vivo. Las reacciones con relación cronológica que incluyen convulsiones febriles, sordera de tipo nervioso, meningitis, encefalitis, erupciones, prurito y púrpura quizá no guardan relación causal. En raras ocasiones se han notificado casos de orquitis y parotiditis. Las reacciones alérgicas también son raras (véase párrafos siguientes “Precauciones y contraindicaciones”). Otras reacciones que surgen después de la vacunación con el preparado triple son atribuibles a los componentes de sarampión y rubéola de la vacuna (véanse “Sarampión” y “Rubéola” en esta sección).</w:t>
      </w:r>
    </w:p>
    <w:p w14:paraId="7AD7AE79" w14:textId="77777777" w:rsidR="00D03C17" w:rsidRDefault="00D03C17">
      <w:pPr>
        <w:pStyle w:val="BodyText"/>
        <w:ind w:firstLine="360"/>
      </w:pPr>
      <w:r>
        <w:t>La revacunación con vacuna monovalente o triple no se acompaña de una mayor incidencia de reacciones y cabría esperar que surjan sólo en personas que no quedaron protegidas por la primera dosis.</w:t>
      </w:r>
    </w:p>
    <w:p w14:paraId="3F4D577C" w14:textId="77777777" w:rsidR="00D03C17" w:rsidRDefault="00D03C17">
      <w:pPr>
        <w:pStyle w:val="Bodytext80"/>
        <w:rPr>
          <w:sz w:val="15"/>
          <w:szCs w:val="15"/>
        </w:rPr>
      </w:pPr>
      <w:r>
        <w:rPr>
          <w:b/>
          <w:bCs/>
          <w:i/>
          <w:iCs/>
          <w:sz w:val="15"/>
          <w:szCs w:val="15"/>
        </w:rPr>
        <w:t>Precauciones y contraindicaciones</w:t>
      </w:r>
    </w:p>
    <w:p w14:paraId="15220FE2" w14:textId="77777777" w:rsidR="00D03C17" w:rsidRDefault="00D03C17">
      <w:pPr>
        <w:pStyle w:val="BodyText"/>
        <w:spacing w:line="276" w:lineRule="auto"/>
        <w:ind w:firstLine="0"/>
      </w:pPr>
      <w:r>
        <w:rPr>
          <w:rFonts w:ascii="Times New Roman" w:eastAsia="Times New Roman" w:hAnsi="Times New Roman" w:cs="Times New Roman"/>
          <w:b/>
          <w:bCs/>
          <w:i/>
          <w:iCs/>
          <w:sz w:val="16"/>
          <w:szCs w:val="16"/>
        </w:rPr>
        <w:t>Enfermedades febriles.</w:t>
      </w:r>
      <w:r>
        <w:t xml:space="preserve"> Los niños con cuadros de poca monta, con fiebre o sin ella, como infecciones de vías respiratorias altas, pueden ser vacunados (véase “Seguridad y contraindicaciones de las vacunas”, sección 1). La fiebre no constituye contraindicación para la vacunación. Sin embargo, si otras manifestaciones sugieren que existe una enfermedad más grave, será mejor esperar hasta que el niño se recupere de sus trastornos.</w:t>
      </w:r>
    </w:p>
    <w:p w14:paraId="56C810CA" w14:textId="77777777" w:rsidR="00D03C17" w:rsidRDefault="00D03C17">
      <w:pPr>
        <w:pStyle w:val="BodyText"/>
        <w:spacing w:line="276" w:lineRule="auto"/>
        <w:ind w:firstLine="360"/>
      </w:pPr>
      <w:r>
        <w:rPr>
          <w:rFonts w:ascii="Times New Roman" w:eastAsia="Times New Roman" w:hAnsi="Times New Roman" w:cs="Times New Roman"/>
          <w:b/>
          <w:bCs/>
          <w:i/>
          <w:iCs/>
          <w:sz w:val="16"/>
          <w:szCs w:val="16"/>
        </w:rPr>
        <w:t>Alergias.</w:t>
      </w:r>
      <w:r>
        <w:t xml:space="preserve"> El empleo generalizado de la vacuna antiparotidítica desde 1967 ha ocasionado sólo en muy raras ocasiones informes de reacciones alérgicas. En ocasiones aparecen reacciones alérgicas a los componentes de la vacuna (como neomicina y gelatina). Se sabe que pueden surgir, aunque sólo en raras ocasiones se han señalado, las de tipo grave como la anafilaxia. Casi todos los niños con hipersensibilidad a huevo de gallina pueden recibir sin mayor problema la vacuna triple (véase “Sarampión” en esta sección). Los niños con el antecedente de reacciones anafiláctica, anafilactoide u otras de tipo inmediato después de ingerir huevos pueden estar expuestos a un mayor peligro de reacciones de hipersensibilidad inmediata después de la vacunación.</w:t>
      </w:r>
    </w:p>
    <w:p w14:paraId="5438FE5B" w14:textId="77777777" w:rsidR="00D03C17" w:rsidRDefault="00D03C17">
      <w:pPr>
        <w:pStyle w:val="BodyText"/>
        <w:spacing w:line="276" w:lineRule="auto"/>
        <w:ind w:firstLine="360"/>
      </w:pPr>
      <w:r>
        <w:rPr>
          <w:rFonts w:ascii="Times New Roman" w:eastAsia="Times New Roman" w:hAnsi="Times New Roman" w:cs="Times New Roman"/>
          <w:b/>
          <w:bCs/>
          <w:i/>
          <w:iCs/>
          <w:sz w:val="16"/>
          <w:szCs w:val="16"/>
        </w:rPr>
        <w:t>Administración reciente de concentrado inmunoglobulínico.</w:t>
      </w:r>
      <w:r>
        <w:t xml:space="preserve"> Habrá que aplicar la vacuna de virus vivos como mínimo dos semanas antes de administrar el concentrado inmunoglobulínico (IG) o sangre en transfusión, o cuando menos tres meses después, ante la posibilidad teórica de que los anticuerpos neutralicen el virus parotidítico e interfieran en la inmunización satisfactoria. Grandes dosis del concentrado IG (como las que se usan para tratar el síndrome de Kawasaki) pueden inhibir la respuesta a la vacuna antisarampionosa durante intervalos más largos, razón por la cual habrá que diferir la aplicación de la vacuna triple por un periodo más largo después de administrar el concentrado IG (véase “Sarampión” en esta sección).</w:t>
      </w:r>
    </w:p>
    <w:p w14:paraId="2982D542" w14:textId="77777777" w:rsidR="00D03C17" w:rsidRDefault="00D03C17">
      <w:pPr>
        <w:pStyle w:val="BodyText"/>
        <w:spacing w:line="276" w:lineRule="auto"/>
        <w:ind w:firstLine="360"/>
        <w:sectPr w:rsidR="00D03C17" w:rsidSect="00D03C17">
          <w:headerReference w:type="even" r:id="rId75"/>
          <w:headerReference w:type="default" r:id="rId76"/>
          <w:footerReference w:type="even" r:id="rId77"/>
          <w:footerReference w:type="default" r:id="rId78"/>
          <w:footnotePr>
            <w:numFmt w:val="chicago"/>
          </w:footnotePr>
          <w:pgSz w:w="8501" w:h="13022"/>
          <w:pgMar w:top="704" w:right="812" w:bottom="457" w:left="766" w:header="0" w:footer="3" w:gutter="0"/>
          <w:pgNumType w:start="532"/>
          <w:cols w:space="720"/>
          <w:noEndnote/>
          <w:docGrid w:linePitch="360"/>
          <w15:footnoteColumns w:val="1"/>
        </w:sectPr>
      </w:pPr>
      <w:r>
        <w:rPr>
          <w:rFonts w:ascii="Times New Roman" w:eastAsia="Times New Roman" w:hAnsi="Times New Roman" w:cs="Times New Roman"/>
          <w:b/>
          <w:bCs/>
          <w:i/>
          <w:iCs/>
          <w:sz w:val="16"/>
          <w:szCs w:val="16"/>
        </w:rPr>
        <w:t>Alteración de la inmunidad.</w:t>
      </w:r>
      <w:r>
        <w:t xml:space="preserve"> Es mejor no aplicar la vacuna antiparotidítica (véase “Niños inmunodeficientes”, sección 1) a personas con enfermedades por inmunodeficiencia y otras que reciban inmunosupresores (como los pacientes de leucemia, linfoma o cánceres generalizados), incluidas dosis altas de corticosteroides sistémicos, agentes de alquilación, antimetabolitos o radiación, o niños por lo demás inmunodeficientes. Las excepciones serían los niños con infección por VIH que no muestran inmunodeficiencia </w:t>
      </w:r>
    </w:p>
    <w:p w14:paraId="1B3C038B" w14:textId="77777777" w:rsidR="00D03C17" w:rsidRDefault="00D03C17">
      <w:pPr>
        <w:pStyle w:val="BodyText"/>
        <w:spacing w:line="276" w:lineRule="auto"/>
        <w:ind w:firstLine="0"/>
      </w:pPr>
      <w:r>
        <w:t>profunda, y habrá que vacunarlos contra la parotiditis con la vacuna triple (véase “Humana, infección del virus de inmunodeficiencia [VIH]” en esta sección). El peligro de exposición a parotiditis por parte de personas con alteraciones inmunitarias puede disminuir si se vacuna a sus contactos susceptibles más cercanos. Las personas inmunizadas no transmiten el virus de la vacuna antiparotidítica.</w:t>
      </w:r>
    </w:p>
    <w:p w14:paraId="6860B8AC" w14:textId="77777777" w:rsidR="00D03C17" w:rsidRDefault="00D03C17">
      <w:pPr>
        <w:pStyle w:val="BodyText"/>
        <w:ind w:firstLine="360"/>
      </w:pPr>
      <w:r>
        <w:t>Una vez que terminó el tratamiento inmunosupresor será mejor no aplicar la vacuna antiparotidítica durante tres meses, como mínimo (con excepción de quienes reciben corticosteroides, véase el párrafo siguiente). El intervalo anterior se basa en la suposición de que se restaurará en 90 días la capacidad de respuesta inmunológica y que la enfermedad primaria contra la cual se usó el tratamiento inmunosupresor está en fase de remisión o erradicación. Sin embargo, el intervalo varía con la intensidad y el tipo de la terapia inmunosupresora, radioterapia, enfermedad primaria y otros factores, razón por la cual es imposible hacer una recomendación definitiva del lapso que se dejará después que se interrumpa la terapia inmunosupresora, y pueda administrarse en forma segura y eficaz la vacuna con la parotiditis.</w:t>
      </w:r>
    </w:p>
    <w:p w14:paraId="61997BC5" w14:textId="77777777" w:rsidR="00D03C17" w:rsidRDefault="00D03C17">
      <w:pPr>
        <w:pStyle w:val="BodyText"/>
        <w:spacing w:line="276" w:lineRule="auto"/>
        <w:ind w:firstLine="360"/>
      </w:pPr>
      <w:r>
        <w:rPr>
          <w:rFonts w:ascii="Times New Roman" w:eastAsia="Times New Roman" w:hAnsi="Times New Roman" w:cs="Times New Roman"/>
          <w:b/>
          <w:bCs/>
          <w:i/>
          <w:iCs/>
          <w:sz w:val="16"/>
          <w:szCs w:val="16"/>
        </w:rPr>
        <w:t>Corticosteroides.</w:t>
      </w:r>
      <w:r>
        <w:t xml:space="preserve"> En el caso de niños que han recibido dosis altas de corticosteroides durante 14 días o más y que por lo demás no muestran inmunodeficiencia, el intervalo recomendado es de un mes, como mínimo después de interrumpir la corticoterapia (véase “Niños inmunodeficientes”, sección 1).</w:t>
      </w:r>
    </w:p>
    <w:p w14:paraId="582E13E0" w14:textId="77777777" w:rsidR="00D03C17" w:rsidRDefault="00D03C17">
      <w:pPr>
        <w:pStyle w:val="BodyText"/>
        <w:spacing w:line="276" w:lineRule="auto"/>
        <w:ind w:firstLine="360"/>
      </w:pPr>
      <w:r>
        <w:rPr>
          <w:rFonts w:ascii="Times New Roman" w:eastAsia="Times New Roman" w:hAnsi="Times New Roman" w:cs="Times New Roman"/>
          <w:b/>
          <w:bCs/>
          <w:i/>
          <w:iCs/>
          <w:sz w:val="16"/>
          <w:szCs w:val="16"/>
        </w:rPr>
        <w:t>Embarazo.</w:t>
      </w:r>
      <w:r>
        <w:t xml:space="preserve"> Las mujeres pospúberes susceptibles no deben ser vacunadas si se sabe que están embarazadas. El virus vivo de parotiditis en la vacuna puede infectar la placenta, aunque no se le ha aislado de tejidos fetales de mujeres susceptibles que fueron vacunadas y a quienes se practicaron abortos planeados. Sin embargo, ante el riesgo teórico será mejor que la mujer no conciba durante 28 días después de recibir la vacuna antiparotidítica.</w:t>
      </w:r>
    </w:p>
    <w:p w14:paraId="7ABD5402" w14:textId="77777777" w:rsidR="00D03C17" w:rsidRDefault="00D03C17">
      <w:pPr>
        <w:pStyle w:val="BodyText"/>
        <w:spacing w:after="100" w:line="276" w:lineRule="auto"/>
        <w:ind w:firstLine="360"/>
      </w:pPr>
      <w:r>
        <w:rPr>
          <w:rFonts w:ascii="Arial" w:eastAsia="Arial" w:hAnsi="Arial" w:cs="Arial"/>
          <w:b/>
          <w:bCs/>
          <w:i/>
          <w:iCs/>
          <w:sz w:val="15"/>
          <w:szCs w:val="15"/>
        </w:rPr>
        <w:t>Erradicación de brotes.</w:t>
      </w:r>
      <w:r>
        <w:t xml:space="preserve"> Cuando se valoran los medios para erradicar brotes, hay que pensar en la exclusión de estudiantes susceptibles, de escuelas afectadas e instituciones que a juzgar por las autoridades sanitarias locales pudieran estar expuestas al riesgo de transmisión. La exclusión mencionada debe ser una forma eficaz de controlar los brotes escolares y aumentar rápidamente los índices de inmunización. Los estudiantes excluidos deben ser readmitidos inmediatamente después de la vacunación. Habrá que excluir a los discípulos que sigan siendo eximidos de la vacunación antiparotidítica por razones médicas, religiosas o de otra índole, incluso 26 días después de comenzar la parotiditis en la última persona con hinchazón de parótidas en la escuela “afectada”. La experiencia con la erradicación de brotes en lo que toca a otras enfermedades evitables con vacunas indica que tal estrategia puede ser eficaz.</w:t>
      </w:r>
    </w:p>
    <w:p w14:paraId="4C4CD68C" w14:textId="77777777" w:rsidR="00D03C17" w:rsidRDefault="00D03C17">
      <w:pPr>
        <w:pStyle w:val="Bodytext70"/>
        <w:spacing w:after="0"/>
      </w:pPr>
      <w:r>
        <w:t>Parvovirus B19</w:t>
      </w:r>
    </w:p>
    <w:p w14:paraId="3ACFA295" w14:textId="77777777" w:rsidR="00D03C17" w:rsidRDefault="00D03C17">
      <w:pPr>
        <w:pStyle w:val="Other0"/>
        <w:spacing w:line="252" w:lineRule="auto"/>
        <w:ind w:firstLine="0"/>
        <w:rPr>
          <w:sz w:val="20"/>
          <w:szCs w:val="20"/>
        </w:rPr>
      </w:pPr>
      <w:r>
        <w:rPr>
          <w:rFonts w:ascii="Arial" w:eastAsia="Arial" w:hAnsi="Arial" w:cs="Arial"/>
          <w:b/>
          <w:bCs/>
          <w:w w:val="70"/>
          <w:sz w:val="20"/>
          <w:szCs w:val="20"/>
        </w:rPr>
        <w:t>(Eritema infeccioso, quinta enfermedad)</w:t>
      </w:r>
    </w:p>
    <w:p w14:paraId="4A9D1348" w14:textId="77777777" w:rsidR="00D03C17" w:rsidRDefault="00D03C17">
      <w:pPr>
        <w:pStyle w:val="BodyText"/>
        <w:spacing w:after="40"/>
        <w:ind w:firstLine="0"/>
        <w:sectPr w:rsidR="00D03C17" w:rsidSect="00D03C17">
          <w:headerReference w:type="even" r:id="rId79"/>
          <w:headerReference w:type="default" r:id="rId80"/>
          <w:footerReference w:type="even" r:id="rId81"/>
          <w:footerReference w:type="default" r:id="rId82"/>
          <w:footnotePr>
            <w:numFmt w:val="chicago"/>
          </w:footnotePr>
          <w:type w:val="continuous"/>
          <w:pgSz w:w="8501" w:h="13022"/>
          <w:pgMar w:top="704" w:right="812" w:bottom="457" w:left="766" w:header="0" w:footer="29" w:gutter="0"/>
          <w:cols w:space="720"/>
          <w:noEndnote/>
          <w:docGrid w:linePitch="360"/>
          <w15:footnoteColumns w:val="1"/>
        </w:sectPr>
      </w:pPr>
      <w:r>
        <w:rPr>
          <w:b/>
          <w:bCs/>
          <w:smallCaps/>
          <w:sz w:val="20"/>
          <w:szCs w:val="20"/>
        </w:rPr>
        <w:t>M</w:t>
      </w:r>
      <w:r>
        <w:rPr>
          <w:b/>
          <w:bCs/>
          <w:smallCaps/>
          <w:sz w:val="16"/>
          <w:szCs w:val="16"/>
        </w:rPr>
        <w:t>anifestaciones clínicas</w:t>
      </w:r>
      <w:r>
        <w:rPr>
          <w:b/>
          <w:bCs/>
          <w:smallCaps/>
          <w:sz w:val="20"/>
          <w:szCs w:val="20"/>
        </w:rPr>
        <w:t>:</w:t>
      </w:r>
      <w:r>
        <w:t xml:space="preserve"> La infección por parvovirus B19 se identifica muy a menudo en la forma de eritema infeccioso (EI), que se caracteriza por síntomas generales leves, fiebre en 15 a 30% de los pacientes y a menudo una erupción característica. La erupción en la cara es muy roja con una imagen de “bofetadas” que a menudo se acompaña de palidez peribucal. En el tronco también se observa una erupción simétrica, maculopapular, “en entramado” y a menudo pruriginosa, que se desplaza en sentido periférico para abarcar brazos, glúteos y muslos. La erupción puede fluctuar en intensidad y reaparecer con cambios del entorno, como temperatura y exposición a la luz solar, durante semanas o meses. A menudo antes del exantema característico surge en un lapso</w:t>
      </w:r>
    </w:p>
    <w:p w14:paraId="06F9933E" w14:textId="77777777" w:rsidR="00D03C17" w:rsidRDefault="00D03C17">
      <w:pPr>
        <w:pStyle w:val="Bodytext70"/>
        <w:spacing w:after="0"/>
      </w:pPr>
      <w:r>
        <w:rPr>
          <w:i/>
          <w:iCs/>
        </w:rPr>
        <w:t>Moraxella catarrhalis</w:t>
      </w:r>
      <w:r>
        <w:rPr>
          <w:i/>
          <w:iCs/>
          <w:w w:val="100"/>
        </w:rPr>
        <w:t>,</w:t>
      </w:r>
      <w:r>
        <w:t xml:space="preserve"> infecciones</w:t>
      </w:r>
    </w:p>
    <w:p w14:paraId="2F925C16" w14:textId="77777777" w:rsidR="00D03C17" w:rsidRDefault="00D03C17">
      <w:pPr>
        <w:pStyle w:val="BodyText"/>
        <w:ind w:firstLine="0"/>
      </w:pPr>
      <w:r>
        <w:rPr>
          <w:b/>
          <w:bCs/>
          <w:smallCaps/>
          <w:sz w:val="20"/>
          <w:szCs w:val="20"/>
        </w:rPr>
        <w:t>M</w:t>
      </w:r>
      <w:r>
        <w:rPr>
          <w:b/>
          <w:bCs/>
          <w:smallCaps/>
          <w:sz w:val="16"/>
          <w:szCs w:val="16"/>
        </w:rPr>
        <w:t>anifestaciones clínicas</w:t>
      </w:r>
      <w:r>
        <w:rPr>
          <w:b/>
          <w:bCs/>
          <w:smallCaps/>
          <w:sz w:val="20"/>
          <w:szCs w:val="20"/>
        </w:rPr>
        <w:t>:</w:t>
      </w:r>
      <w:r>
        <w:t xml:space="preserve"> Las infecciones comunes por dicho microorganismo incluyen otitis media aguda y sinusitis. A veces surgen infecciones broncopulmonares, a menudo en personas con neumopatías crónicas. No hay consenso en cuanto a la importancia de </w:t>
      </w:r>
      <w:r>
        <w:rPr>
          <w:rFonts w:ascii="Times New Roman" w:eastAsia="Times New Roman" w:hAnsi="Times New Roman" w:cs="Times New Roman"/>
          <w:i/>
          <w:iCs/>
          <w:sz w:val="16"/>
          <w:szCs w:val="16"/>
        </w:rPr>
        <w:t>Moraxella catarrhalis</w:t>
      </w:r>
      <w:r>
        <w:t xml:space="preserve"> de niños con tos persistente. Entre las manifestaciones poco comunes están la bacteriemia (que a veces se acompaña de infecciones focales como celulitis preseptal, osteomielitis, artritis séptica, abscesos y una erupción prácticamente idéntica a la observada en la meningococcemia) y conjuntivitis o meningitis en neonatos. Otras manifestaciones raras incluyen endocarditis, ventriculitis por derivaciones e infecciones de vías urinarias.</w:t>
      </w:r>
    </w:p>
    <w:p w14:paraId="1CE37210" w14:textId="77777777" w:rsidR="00D03C17" w:rsidRDefault="00D03C17">
      <w:pPr>
        <w:pStyle w:val="BodyText"/>
        <w:ind w:firstLine="0"/>
      </w:pPr>
      <w:r>
        <w:rPr>
          <w:b/>
          <w:bCs/>
        </w:rPr>
        <w:t>C</w:t>
      </w:r>
      <w:r>
        <w:rPr>
          <w:b/>
          <w:bCs/>
          <w:sz w:val="13"/>
          <w:szCs w:val="13"/>
        </w:rPr>
        <w:t>AUSAS</w:t>
      </w:r>
      <w:r>
        <w:rPr>
          <w:b/>
          <w:bCs/>
        </w:rPr>
        <w:t xml:space="preserve">: </w:t>
      </w:r>
      <w:r>
        <w:rPr>
          <w:rFonts w:ascii="Times New Roman" w:eastAsia="Times New Roman" w:hAnsi="Times New Roman" w:cs="Times New Roman"/>
          <w:i/>
          <w:iCs/>
          <w:sz w:val="16"/>
          <w:szCs w:val="16"/>
        </w:rPr>
        <w:t>Moraxella catarrhalis</w:t>
      </w:r>
      <w:r>
        <w:t xml:space="preserve"> es un diplococo aerobio gramnegativo; prácticamente todas las cepas producen lactamasa beta, lo cual media su resistencia a las penicilinas. </w:t>
      </w:r>
      <w:r>
        <w:rPr>
          <w:b/>
          <w:bCs/>
        </w:rPr>
        <w:t>A</w:t>
      </w:r>
      <w:r>
        <w:rPr>
          <w:b/>
          <w:bCs/>
          <w:sz w:val="13"/>
          <w:szCs w:val="13"/>
        </w:rPr>
        <w:t xml:space="preserve">SPECTOS </w:t>
      </w:r>
      <w:r>
        <w:rPr>
          <w:b/>
          <w:bCs/>
          <w:smallCaps/>
          <w:sz w:val="16"/>
          <w:szCs w:val="16"/>
        </w:rPr>
        <w:t>epidemiológicos</w:t>
      </w:r>
      <w:r>
        <w:rPr>
          <w:b/>
          <w:bCs/>
          <w:smallCaps/>
          <w:sz w:val="20"/>
          <w:szCs w:val="20"/>
        </w:rPr>
        <w:t xml:space="preserve">: </w:t>
      </w:r>
      <w:r>
        <w:rPr>
          <w:rFonts w:ascii="Times New Roman" w:eastAsia="Times New Roman" w:hAnsi="Times New Roman" w:cs="Times New Roman"/>
          <w:i/>
          <w:iCs/>
          <w:sz w:val="16"/>
          <w:szCs w:val="16"/>
        </w:rPr>
        <w:t>Moraxella catarrhalis</w:t>
      </w:r>
      <w:r>
        <w:t xml:space="preserve"> es parte de la flora normal de la porción alta de las vías respiratorias de seres humanos. Se supone que se transmite por contacto directo con las secreciones contaminadas de vías respiratorias o gotículas propagadas. La infección es más común en lactantes y niños de corta edad, pero aparece en todas las edades. No se ha estudiado el contagio en el interior de familias, escuelas y centros de atención pediátrica. Se desconoce la duración y el periodo de portador por parte de niños infectados y colonizados, así como el lapso de transmisibilidad.</w:t>
      </w:r>
    </w:p>
    <w:p w14:paraId="5C9BA0E2" w14:textId="77777777" w:rsidR="00D03C17" w:rsidRDefault="00D03C17">
      <w:pPr>
        <w:pStyle w:val="BodyText"/>
        <w:ind w:firstLine="360"/>
      </w:pPr>
      <w:r>
        <w:t xml:space="preserve">Se desconoce el </w:t>
      </w:r>
      <w:r>
        <w:rPr>
          <w:b/>
          <w:bCs/>
        </w:rPr>
        <w:t>periodo de incubación</w:t>
      </w:r>
      <w:r>
        <w:t>.</w:t>
      </w:r>
    </w:p>
    <w:p w14:paraId="5977EC78" w14:textId="77777777" w:rsidR="00D03C17" w:rsidRDefault="00D03C17">
      <w:pPr>
        <w:pStyle w:val="BodyText"/>
        <w:ind w:firstLine="0"/>
      </w:pPr>
      <w:r>
        <w:rPr>
          <w:b/>
          <w:bCs/>
        </w:rPr>
        <w:t>M</w:t>
      </w:r>
      <w:r>
        <w:rPr>
          <w:b/>
          <w:bCs/>
          <w:sz w:val="13"/>
          <w:szCs w:val="13"/>
        </w:rPr>
        <w:t>ÉTODOS DIAGNÓSTICOS</w:t>
      </w:r>
      <w:r>
        <w:rPr>
          <w:b/>
          <w:bCs/>
        </w:rPr>
        <w:t xml:space="preserve">: </w:t>
      </w:r>
      <w:r>
        <w:t xml:space="preserve">El microorganismo se puede aislar en la sangre y el medio de cultivo de agar chocolatado (con sangre cocida) después de incubación en aire o con una mayor cantidad de dióxido de carbono en el entorno. Conviene el cultivo del material de aspiración del oído medio o de senos paranasales en niños con infección extraordinariamente grave, entre quienes no mejora la infección con el tratamiento y en niños inmunodeficientes. Puede haber la identificación concomitante de </w:t>
      </w:r>
      <w:r>
        <w:rPr>
          <w:rFonts w:ascii="Times New Roman" w:eastAsia="Times New Roman" w:hAnsi="Times New Roman" w:cs="Times New Roman"/>
          <w:i/>
          <w:iCs/>
          <w:sz w:val="16"/>
          <w:szCs w:val="16"/>
        </w:rPr>
        <w:t xml:space="preserve">M. catarrhalis </w:t>
      </w:r>
      <w:r>
        <w:t xml:space="preserve">y otros patógenos </w:t>
      </w:r>
      <w:r>
        <w:rPr>
          <w:i/>
          <w:iCs/>
        </w:rPr>
        <w:t>(</w:t>
      </w:r>
      <w:r>
        <w:rPr>
          <w:rFonts w:ascii="Times New Roman" w:eastAsia="Times New Roman" w:hAnsi="Times New Roman" w:cs="Times New Roman"/>
          <w:i/>
          <w:iCs/>
          <w:sz w:val="16"/>
          <w:szCs w:val="16"/>
        </w:rPr>
        <w:t>Streptoccocuspneumoniae</w:t>
      </w:r>
      <w:r>
        <w:t xml:space="preserve"> o </w:t>
      </w:r>
      <w:r>
        <w:rPr>
          <w:rFonts w:ascii="Times New Roman" w:eastAsia="Times New Roman" w:hAnsi="Times New Roman" w:cs="Times New Roman"/>
          <w:i/>
          <w:iCs/>
          <w:sz w:val="16"/>
          <w:szCs w:val="16"/>
        </w:rPr>
        <w:t>Haemophilus influenzae</w:t>
      </w:r>
      <w:r>
        <w:rPr>
          <w:i/>
          <w:iCs/>
        </w:rPr>
        <w:t>)</w:t>
      </w:r>
      <w:r>
        <w:t xml:space="preserve"> y quizá denote una infección mixta.</w:t>
      </w:r>
    </w:p>
    <w:p w14:paraId="68B7A6C9" w14:textId="77777777" w:rsidR="00D03C17" w:rsidRDefault="00D03C17">
      <w:pPr>
        <w:pStyle w:val="BodyText"/>
        <w:ind w:firstLine="0"/>
      </w:pPr>
      <w:r>
        <w:rPr>
          <w:b/>
          <w:bCs/>
        </w:rPr>
        <w:t>T</w:t>
      </w:r>
      <w:r>
        <w:rPr>
          <w:b/>
          <w:bCs/>
          <w:sz w:val="13"/>
          <w:szCs w:val="13"/>
        </w:rPr>
        <w:t>RATAMIENTO</w:t>
      </w:r>
      <w:r>
        <w:rPr>
          <w:b/>
          <w:bCs/>
        </w:rPr>
        <w:t xml:space="preserve">: </w:t>
      </w:r>
      <w:r>
        <w:t xml:space="preserve">Casi todas las cepas de </w:t>
      </w:r>
      <w:r>
        <w:rPr>
          <w:rFonts w:ascii="Times New Roman" w:eastAsia="Times New Roman" w:hAnsi="Times New Roman" w:cs="Times New Roman"/>
          <w:i/>
          <w:iCs/>
          <w:sz w:val="16"/>
          <w:szCs w:val="16"/>
        </w:rPr>
        <w:t>Moraxella</w:t>
      </w:r>
      <w:r>
        <w:t xml:space="preserve"> producen lactamasa beta y son resistentes a la amoxicilina </w:t>
      </w:r>
      <w:r>
        <w:rPr>
          <w:rFonts w:ascii="Times New Roman" w:eastAsia="Times New Roman" w:hAnsi="Times New Roman" w:cs="Times New Roman"/>
          <w:i/>
          <w:iCs/>
          <w:sz w:val="16"/>
          <w:szCs w:val="16"/>
        </w:rPr>
        <w:t>in vitro</w:t>
      </w:r>
      <w:r>
        <w:t xml:space="preserve">, pero dicho fármaco sigue siendo eficaz, sobre bases empíricas, contra la otitis media y otras infecciones de vías respiratorias. Cuando se aísla </w:t>
      </w:r>
      <w:r>
        <w:rPr>
          <w:rFonts w:ascii="Times New Roman" w:eastAsia="Times New Roman" w:hAnsi="Times New Roman" w:cs="Times New Roman"/>
          <w:i/>
          <w:iCs/>
          <w:sz w:val="16"/>
          <w:szCs w:val="16"/>
        </w:rPr>
        <w:t>M. catarrhalis</w:t>
      </w:r>
      <w:r>
        <w:t xml:space="preserve"> de muestras obtenidas apropiadamente (líquido de oído medio, material aspirado de senos paranasales o secreciones de vías respiratorias bajas) y si ha sido ineficaz la terapia inicial, entre los antimicrobianos apropiados están amoxicilina- clavulanato potásico, cefuroxima, cefprozilo, eritromicina, claritromicina, azitromicina dihidratada y trimetoprim-sulfametoxazol. Si se necesitan antimicrobianos parenterales para combatir la infección por </w:t>
      </w:r>
      <w:r>
        <w:rPr>
          <w:rFonts w:ascii="Times New Roman" w:eastAsia="Times New Roman" w:hAnsi="Times New Roman" w:cs="Times New Roman"/>
          <w:i/>
          <w:iCs/>
          <w:sz w:val="16"/>
          <w:szCs w:val="16"/>
        </w:rPr>
        <w:t>M. catarrhalis,</w:t>
      </w:r>
      <w:r>
        <w:t xml:space="preserve"> los datos in vitro indican que pueden ser eficaces cefuroxima, cefotaxima y ceftriaxona sódicas, ceftazidima y trimetoprim- sulfametoxazol.</w:t>
      </w:r>
    </w:p>
    <w:p w14:paraId="68865C23" w14:textId="77777777" w:rsidR="00D03C17" w:rsidRDefault="00D03C17">
      <w:pPr>
        <w:pStyle w:val="BodyText"/>
        <w:spacing w:line="262" w:lineRule="auto"/>
        <w:ind w:firstLine="0"/>
      </w:pPr>
      <w:r>
        <w:rPr>
          <w:b/>
          <w:bCs/>
          <w:smallCaps/>
          <w:sz w:val="20"/>
          <w:szCs w:val="20"/>
        </w:rPr>
        <w:t>A</w:t>
      </w:r>
      <w:r>
        <w:rPr>
          <w:b/>
          <w:bCs/>
          <w:smallCaps/>
          <w:sz w:val="16"/>
          <w:szCs w:val="16"/>
        </w:rPr>
        <w:t>islamiento del paciente hospitalizado</w:t>
      </w:r>
      <w:r>
        <w:rPr>
          <w:b/>
          <w:bCs/>
          <w:smallCaps/>
          <w:sz w:val="20"/>
          <w:szCs w:val="20"/>
        </w:rPr>
        <w:t>:</w:t>
      </w:r>
      <w:r>
        <w:t xml:space="preserve"> Se recomienda seguir las precauciones estándar.</w:t>
      </w:r>
    </w:p>
    <w:p w14:paraId="058992DE" w14:textId="77777777" w:rsidR="00D03C17" w:rsidRDefault="00D03C17">
      <w:pPr>
        <w:pStyle w:val="Other0"/>
        <w:spacing w:after="100" w:line="257" w:lineRule="auto"/>
        <w:ind w:firstLine="0"/>
      </w:pPr>
      <w:r>
        <w:rPr>
          <w:b/>
          <w:bCs/>
          <w:smallCaps/>
          <w:sz w:val="20"/>
          <w:szCs w:val="20"/>
        </w:rPr>
        <w:t>M</w:t>
      </w:r>
      <w:r>
        <w:rPr>
          <w:b/>
          <w:bCs/>
          <w:smallCaps/>
          <w:sz w:val="16"/>
          <w:szCs w:val="16"/>
        </w:rPr>
        <w:t>edidas preventivas</w:t>
      </w:r>
      <w:r>
        <w:rPr>
          <w:b/>
          <w:bCs/>
          <w:smallCaps/>
          <w:sz w:val="20"/>
          <w:szCs w:val="20"/>
        </w:rPr>
        <w:t>:</w:t>
      </w:r>
      <w:r>
        <w:t xml:space="preserve"> Ninguna.</w:t>
      </w:r>
    </w:p>
    <w:p w14:paraId="09D4148F" w14:textId="77777777" w:rsidR="00D03C17" w:rsidRDefault="00D03C17">
      <w:pPr>
        <w:pStyle w:val="Bodytext70"/>
        <w:spacing w:after="0"/>
      </w:pPr>
      <w:r>
        <w:rPr>
          <w:i/>
          <w:iCs/>
        </w:rPr>
        <w:t>Mycoplasma pneumoniae</w:t>
      </w:r>
      <w:r>
        <w:rPr>
          <w:i/>
          <w:iCs/>
          <w:w w:val="100"/>
        </w:rPr>
        <w:t>,</w:t>
      </w:r>
      <w:r>
        <w:t xml:space="preserve"> infecciones</w:t>
      </w:r>
    </w:p>
    <w:p w14:paraId="2825777C" w14:textId="77777777" w:rsidR="00D03C17" w:rsidRDefault="00D03C17">
      <w:pPr>
        <w:pStyle w:val="BodyText"/>
        <w:spacing w:line="264" w:lineRule="auto"/>
        <w:ind w:firstLine="0"/>
      </w:pPr>
      <w:r>
        <w:rPr>
          <w:b/>
          <w:bCs/>
          <w:smallCaps/>
          <w:sz w:val="20"/>
          <w:szCs w:val="20"/>
        </w:rPr>
        <w:t>M</w:t>
      </w:r>
      <w:r>
        <w:rPr>
          <w:b/>
          <w:bCs/>
          <w:smallCaps/>
          <w:sz w:val="16"/>
          <w:szCs w:val="16"/>
        </w:rPr>
        <w:t>anifestaciones clínicas</w:t>
      </w:r>
      <w:r>
        <w:rPr>
          <w:b/>
          <w:bCs/>
          <w:smallCaps/>
          <w:sz w:val="20"/>
          <w:szCs w:val="20"/>
        </w:rPr>
        <w:t>:</w:t>
      </w:r>
      <w:r>
        <w:t xml:space="preserve"> Los síndromes más comunes son bronquitis aguda e infecciones de vías respiratorias altas, que incluyen faringitis y a veces otitis media o miringitis que puede ser bulosa. Rara vez surgen coriza, sinusitis y laringotraqueobronquitis. Entre las manifestaciones inespecíficas de la infección están malestar general, fiebre, y a veces cefalea. En alrededor de 10% de niños en que surge neumonía, en cuestión de días aparecen tos, a menudo con estertores diseminados en la exploración física, y dura tres a cuatro semanas. Inicialmente la tos no es productiva, pero más tarde puede serlo particularmente en niños de mayor edad y adolescentes. En promedio, 10% de menores con neumonía presentan una erupción, a menudo maculopapular. Las anormalidades detectadas en las radiografías son variables, pero a menudo surgen infiltrados bilaterales difusos y a veces anormalidades focales, como consolidación, derrame y adenopatía hiliar.</w:t>
      </w:r>
    </w:p>
    <w:p w14:paraId="4065991A" w14:textId="77777777" w:rsidR="00D03C17" w:rsidRDefault="00D03C17">
      <w:pPr>
        <w:pStyle w:val="BodyText"/>
        <w:ind w:firstLine="360"/>
      </w:pPr>
      <w:r>
        <w:t xml:space="preserve">Entre las manifestaciones poco comunes están las de ataque del sistema nervioso (meningitis aséptica, encefalitis, ataxia cerebelosa, mielitis transversa y neuropatía periférica) y también miocarditis, pericarditis, y erupciones mucocutáneas polimórficas (incluido el síndrome de Stevens-Johnson), anemia hemolítica y artritis. En personas con enfermedad drepanocítica, síndrome de Down, inmunodeficiencias y enfermedad cardiorrespiratoria crónica surgen en ocasiones neumonía grave con derrame pleural. </w:t>
      </w:r>
      <w:r>
        <w:rPr>
          <w:b/>
          <w:bCs/>
        </w:rPr>
        <w:t>C</w:t>
      </w:r>
      <w:r>
        <w:rPr>
          <w:b/>
          <w:bCs/>
          <w:sz w:val="13"/>
          <w:szCs w:val="13"/>
        </w:rPr>
        <w:t>AUSA</w:t>
      </w:r>
      <w:r>
        <w:rPr>
          <w:b/>
          <w:bCs/>
        </w:rPr>
        <w:t xml:space="preserve">: </w:t>
      </w:r>
      <w:r>
        <w:t xml:space="preserve">Los micoplasmas, que incluyen </w:t>
      </w:r>
      <w:r>
        <w:rPr>
          <w:rFonts w:ascii="Times New Roman" w:eastAsia="Times New Roman" w:hAnsi="Times New Roman" w:cs="Times New Roman"/>
          <w:i/>
          <w:iCs/>
          <w:sz w:val="16"/>
          <w:szCs w:val="16"/>
        </w:rPr>
        <w:t>Mycoplasma pneumoniae</w:t>
      </w:r>
      <w:r>
        <w:rPr>
          <w:i/>
          <w:iCs/>
        </w:rPr>
        <w:t>,</w:t>
      </w:r>
      <w:r>
        <w:t xml:space="preserve"> son los microorganismos vivos más pequeños; no poseen paredes y son pleomórficos.</w:t>
      </w:r>
    </w:p>
    <w:p w14:paraId="14AF581C" w14:textId="77777777" w:rsidR="00D03C17" w:rsidRDefault="00D03C17">
      <w:pPr>
        <w:pStyle w:val="BodyText"/>
        <w:spacing w:line="271" w:lineRule="auto"/>
        <w:ind w:firstLine="0"/>
      </w:pPr>
      <w:r>
        <w:rPr>
          <w:b/>
          <w:bCs/>
        </w:rPr>
        <w:t>A</w:t>
      </w:r>
      <w:r>
        <w:rPr>
          <w:b/>
          <w:bCs/>
          <w:sz w:val="13"/>
          <w:szCs w:val="13"/>
        </w:rPr>
        <w:t>SPECTOS EPIDEMIOLÓGICOS</w:t>
      </w:r>
      <w:r>
        <w:rPr>
          <w:b/>
          <w:bCs/>
        </w:rPr>
        <w:t xml:space="preserve">: </w:t>
      </w:r>
      <w:r>
        <w:t xml:space="preserve">Los micoplasmas están distribuidos ampliamente en animales y plantas, pero </w:t>
      </w:r>
      <w:r>
        <w:rPr>
          <w:rFonts w:ascii="Times New Roman" w:eastAsia="Times New Roman" w:hAnsi="Times New Roman" w:cs="Times New Roman"/>
          <w:i/>
          <w:iCs/>
          <w:sz w:val="16"/>
          <w:szCs w:val="16"/>
        </w:rPr>
        <w:t>M. pneumoniae</w:t>
      </w:r>
      <w:r>
        <w:t xml:space="preserve"> origina enfermedad sólo en seres humanos. Es muy transmisible por gotículas de secreciones respiratorias durante el contacto cercano con personas sintomáticas. Se han descrito brotes en hospitales, bases militares, universidades y campamentos de verano. Pueden infectar a personas de cualquier edad pero algunos síndromes específicos corresponden a determinados grupos cronológicos. </w:t>
      </w:r>
      <w:r>
        <w:rPr>
          <w:rFonts w:ascii="Times New Roman" w:eastAsia="Times New Roman" w:hAnsi="Times New Roman" w:cs="Times New Roman"/>
          <w:i/>
          <w:iCs/>
          <w:sz w:val="16"/>
          <w:szCs w:val="16"/>
        </w:rPr>
        <w:t>Mycoplasma pneumoniae</w:t>
      </w:r>
      <w:r>
        <w:t xml:space="preserve"> pocas veces causa neumonía en niños menores de cinco años, pero es la causa principal de tal cuadro en escolares y adultos jóvenes. Las infecciones surgen en todo el mundo, en cualquier estación y en todas las zonas geográficas. Las epidemias de origen comunitario aparecen cada cuatro a siete años. Ante el largo periodo de incubación puede continuar la propagación intrafamiliar durante meses. La enfermedad clínica dentro de un grupo o una familia varía desde infección leve de las vías respiratorias altas hasta traqueobronquitis o faringitis y neumonía. El estado asintomático de portador después de infección puede durar semanas a meses. La inmunidad después de la infección no es permanente.</w:t>
      </w:r>
    </w:p>
    <w:p w14:paraId="25D3DF99" w14:textId="77777777" w:rsidR="00D03C17" w:rsidRDefault="00D03C17">
      <w:pPr>
        <w:pStyle w:val="BodyText"/>
        <w:ind w:firstLine="360"/>
      </w:pPr>
      <w:r>
        <w:t xml:space="preserve">El </w:t>
      </w:r>
      <w:r>
        <w:rPr>
          <w:b/>
          <w:bCs/>
        </w:rPr>
        <w:t xml:space="preserve">periodo de incubación </w:t>
      </w:r>
      <w:r>
        <w:t xml:space="preserve">va de dos a tres semanas (límites, una a cuatro semanas). </w:t>
      </w:r>
      <w:r>
        <w:rPr>
          <w:b/>
          <w:bCs/>
        </w:rPr>
        <w:t>M</w:t>
      </w:r>
      <w:r>
        <w:rPr>
          <w:b/>
          <w:bCs/>
          <w:sz w:val="13"/>
          <w:szCs w:val="13"/>
        </w:rPr>
        <w:t>ÉTODOS DIAGNÓSTICOS</w:t>
      </w:r>
      <w:r>
        <w:rPr>
          <w:b/>
          <w:bCs/>
        </w:rPr>
        <w:t xml:space="preserve">: </w:t>
      </w:r>
      <w:r>
        <w:t xml:space="preserve">Para identificar </w:t>
      </w:r>
      <w:r>
        <w:rPr>
          <w:rFonts w:ascii="Times New Roman" w:eastAsia="Times New Roman" w:hAnsi="Times New Roman" w:cs="Times New Roman"/>
          <w:i/>
          <w:iCs/>
          <w:sz w:val="16"/>
          <w:szCs w:val="16"/>
        </w:rPr>
        <w:t>M. pneumoniae</w:t>
      </w:r>
      <w:r>
        <w:t xml:space="preserve"> en cultivos se necesitan medios especiales y enriquecidos (caldo o agar), y se obtienen buenos resultados en 40 a 90% de los casos, y su práctica dura 21 días. Aislar </w:t>
      </w:r>
      <w:r>
        <w:rPr>
          <w:rFonts w:ascii="Times New Roman" w:eastAsia="Times New Roman" w:hAnsi="Times New Roman" w:cs="Times New Roman"/>
          <w:i/>
          <w:iCs/>
          <w:sz w:val="16"/>
          <w:szCs w:val="16"/>
        </w:rPr>
        <w:t>M. pneumoniae</w:t>
      </w:r>
      <w:r>
        <w:t xml:space="preserve"> en una persona con manifestaciones clínicas compatibles sugiere su papel causal. El microorganismo puede ser excretado durante varias semanas de las vías respiratorias después de una infección aguda a pesar del tratamiento apropiado, y por ello aislarlo quizá no equivalga a infección aguda. Se ha creado una reacción sensible y específica en cadena de polimerasa para </w:t>
      </w:r>
      <w:r>
        <w:rPr>
          <w:rFonts w:ascii="Times New Roman" w:eastAsia="Times New Roman" w:hAnsi="Times New Roman" w:cs="Times New Roman"/>
          <w:i/>
          <w:iCs/>
          <w:sz w:val="16"/>
          <w:szCs w:val="16"/>
        </w:rPr>
        <w:t>M. pneumoniae</w:t>
      </w:r>
      <w:r>
        <w:t>, pero no la practican muchos de los laboratorios de microbiología clínica.</w:t>
      </w:r>
    </w:p>
    <w:p w14:paraId="4C35B79D" w14:textId="77777777" w:rsidR="00D03C17" w:rsidRDefault="00D03C17">
      <w:pPr>
        <w:pStyle w:val="BodyText"/>
        <w:spacing w:line="276" w:lineRule="auto"/>
        <w:ind w:firstLine="360"/>
        <w:sectPr w:rsidR="00D03C17" w:rsidSect="00D03C17">
          <w:headerReference w:type="even" r:id="rId83"/>
          <w:headerReference w:type="default" r:id="rId84"/>
          <w:footerReference w:type="even" r:id="rId85"/>
          <w:footerReference w:type="default" r:id="rId86"/>
          <w:headerReference w:type="first" r:id="rId87"/>
          <w:footerReference w:type="first" r:id="rId88"/>
          <w:footnotePr>
            <w:numFmt w:val="chicago"/>
          </w:footnotePr>
          <w:pgSz w:w="8501" w:h="13022"/>
          <w:pgMar w:top="704" w:right="812" w:bottom="457" w:left="766" w:header="0" w:footer="3" w:gutter="0"/>
          <w:pgNumType w:start="588"/>
          <w:cols w:space="720"/>
          <w:noEndnote/>
          <w:titlePg/>
          <w:docGrid w:linePitch="360"/>
          <w15:footnoteColumns w:val="1"/>
        </w:sectPr>
      </w:pPr>
      <w:r>
        <w:t xml:space="preserve">La prueba de fijación de complemento había sido el método serológico más indicado, pero ha sido sustituida por métodos de inmunofluorescencia e inmunoanálisis enzimático más específicos que se practican en el comercio. Los dos métodos recién mencionados pueden detectar anticuerpos de tipo IgM e IgG específicos contra </w:t>
      </w:r>
      <w:r>
        <w:rPr>
          <w:rFonts w:ascii="Times New Roman" w:eastAsia="Times New Roman" w:hAnsi="Times New Roman" w:cs="Times New Roman"/>
          <w:i/>
          <w:iCs/>
          <w:sz w:val="16"/>
          <w:szCs w:val="16"/>
        </w:rPr>
        <w:t>M. pneumoniae.</w:t>
      </w:r>
      <w:r>
        <w:t xml:space="preserve"> A pesar de que la presencia de anticuerpos IgM confirma que hubo en fecha reciente infección por </w:t>
      </w:r>
      <w:r>
        <w:rPr>
          <w:rFonts w:ascii="Times New Roman" w:eastAsia="Times New Roman" w:hAnsi="Times New Roman" w:cs="Times New Roman"/>
          <w:i/>
          <w:iCs/>
          <w:sz w:val="16"/>
          <w:szCs w:val="16"/>
        </w:rPr>
        <w:t>M. pneumoniae</w:t>
      </w:r>
      <w:r>
        <w:t xml:space="preserve">, persisten en el suero varios meses, y en </w:t>
      </w:r>
    </w:p>
    <w:p w14:paraId="43D1E35E" w14:textId="77777777" w:rsidR="00D03C17" w:rsidRDefault="00D03C17">
      <w:pPr>
        <w:pStyle w:val="BodyText"/>
        <w:spacing w:line="276" w:lineRule="auto"/>
        <w:ind w:firstLine="0"/>
      </w:pPr>
      <w:r>
        <w:t xml:space="preserve">adultos el nivel puede quedar alto indefinidamente; por tal razón, los anticuerpos de tipo IgM no obligadamente indican la presencia de una infección actual. Sin embargo, el incremento de IgM específicos contra </w:t>
      </w:r>
      <w:r>
        <w:rPr>
          <w:rFonts w:ascii="Times New Roman" w:eastAsia="Times New Roman" w:hAnsi="Times New Roman" w:cs="Times New Roman"/>
          <w:i/>
          <w:iCs/>
          <w:sz w:val="16"/>
          <w:szCs w:val="16"/>
        </w:rPr>
        <w:t>M. pneumoniae</w:t>
      </w:r>
      <w:r>
        <w:t xml:space="preserve"> en niños o adultos jóvenes universitarios durante enfermedades compatibles de vías respiratorias altas sugiere infección por </w:t>
      </w:r>
      <w:r>
        <w:rPr>
          <w:rFonts w:ascii="Times New Roman" w:eastAsia="Times New Roman" w:hAnsi="Times New Roman" w:cs="Times New Roman"/>
          <w:i/>
          <w:iCs/>
          <w:sz w:val="16"/>
          <w:szCs w:val="16"/>
        </w:rPr>
        <w:t>M. pneumoniae.</w:t>
      </w:r>
      <w:r>
        <w:t xml:space="preserve"> El diagnóstico serológico se puede hacer al demostrar un incremento cuádruple o mayor del título de anticuerpos entre las muestras de suero de fase aguda y convalecencia cuando se utiliza el método de fijación de complementos. El título de anticuerpos alcanza su máximo entre las tres y las seis semanas y persiste dos a tres meses después de la infección. Los anticuerpos contra </w:t>
      </w:r>
      <w:r>
        <w:rPr>
          <w:rFonts w:ascii="Times New Roman" w:eastAsia="Times New Roman" w:hAnsi="Times New Roman" w:cs="Times New Roman"/>
          <w:i/>
          <w:iCs/>
          <w:sz w:val="16"/>
          <w:szCs w:val="16"/>
        </w:rPr>
        <w:t>M. pneumoniae</w:t>
      </w:r>
      <w:r>
        <w:t xml:space="preserve"> pueden mostrar reacción cruzada con otros antígenos, razón por la cual hay que interpretar con cautela los resultados de tales procedimientos cuando se valoren enfermedades febriles de origen desconocido. Sin embargo, los anticuerpos contra </w:t>
      </w:r>
      <w:r>
        <w:rPr>
          <w:rFonts w:ascii="Times New Roman" w:eastAsia="Times New Roman" w:hAnsi="Times New Roman" w:cs="Times New Roman"/>
          <w:i/>
          <w:iCs/>
          <w:sz w:val="16"/>
          <w:szCs w:val="16"/>
        </w:rPr>
        <w:t>M. pneumoniae</w:t>
      </w:r>
      <w:r>
        <w:t xml:space="preserve"> no muestran reacción cruzada con otros patógenos de vías respiratorias que originan enfermedades clínicamente semejantes a las causadas por </w:t>
      </w:r>
      <w:r>
        <w:rPr>
          <w:rFonts w:ascii="Times New Roman" w:eastAsia="Times New Roman" w:hAnsi="Times New Roman" w:cs="Times New Roman"/>
          <w:i/>
          <w:iCs/>
          <w:sz w:val="16"/>
          <w:szCs w:val="16"/>
        </w:rPr>
        <w:t>M. pneumoniae</w:t>
      </w:r>
      <w:r>
        <w:t>. En todos los métodos serológicos pueden aparecer resultados negativos falsos.</w:t>
      </w:r>
    </w:p>
    <w:p w14:paraId="660C651D" w14:textId="77777777" w:rsidR="00D03C17" w:rsidRDefault="00D03C17">
      <w:pPr>
        <w:pStyle w:val="BodyText"/>
        <w:ind w:firstLine="360"/>
      </w:pPr>
      <w:r>
        <w:t xml:space="preserve">En cerca de la mitad de los niños con neumonía causada por </w:t>
      </w:r>
      <w:r>
        <w:rPr>
          <w:rFonts w:ascii="Times New Roman" w:eastAsia="Times New Roman" w:hAnsi="Times New Roman" w:cs="Times New Roman"/>
          <w:i/>
          <w:iCs/>
          <w:sz w:val="16"/>
          <w:szCs w:val="16"/>
        </w:rPr>
        <w:t>M. pneumoniae,</w:t>
      </w:r>
      <w:r>
        <w:t xml:space="preserve"> al comenzar la segunda semana de la enfermedad se detectan criohemaglutininas séricas en títulos de 1:32 o mayores. El incremento cuádruple en el título de dichas aglutininas, en muestras de suero de fase aguda y de convalecencia, se observan más a menudo en niños con </w:t>
      </w:r>
      <w:r>
        <w:rPr>
          <w:rFonts w:ascii="Times New Roman" w:eastAsia="Times New Roman" w:hAnsi="Times New Roman" w:cs="Times New Roman"/>
          <w:i/>
          <w:iCs/>
          <w:sz w:val="16"/>
          <w:szCs w:val="16"/>
        </w:rPr>
        <w:t>M. pneumoniae</w:t>
      </w:r>
      <w:r>
        <w:t xml:space="preserve"> grave que en personas con enfermedad menos intensa. El método mencionado, no obstante, tiene poca especificidad para detectar infección por </w:t>
      </w:r>
      <w:r>
        <w:rPr>
          <w:rFonts w:ascii="Times New Roman" w:eastAsia="Times New Roman" w:hAnsi="Times New Roman" w:cs="Times New Roman"/>
          <w:i/>
          <w:iCs/>
          <w:sz w:val="16"/>
          <w:szCs w:val="16"/>
        </w:rPr>
        <w:t>Mycoplasma</w:t>
      </w:r>
      <w:r>
        <w:rPr>
          <w:i/>
          <w:iCs/>
        </w:rPr>
        <w:t>,</w:t>
      </w:r>
      <w:r>
        <w:t xml:space="preserve"> y otros agentes como los adenovirus, el virus de Epstein-Barr y el sarampión pueden ocasionar enfermedades en lactantes o niños que se acompañan de un aumento en el título de criohemaglutininas. Si no se detectan tales sustancias en el suero, ello no descarta el diagnóstico de infección por micoplasma. Al poder practicarse ampliamente los métodos que valoran anticuerpos específicos, no se concede tanta importancia al uso de esta prueba.</w:t>
      </w:r>
    </w:p>
    <w:p w14:paraId="048FECD2" w14:textId="77777777" w:rsidR="00D03C17" w:rsidRDefault="00D03C17">
      <w:pPr>
        <w:pStyle w:val="BodyText"/>
        <w:spacing w:line="276" w:lineRule="auto"/>
        <w:ind w:firstLine="0"/>
      </w:pPr>
      <w:r>
        <w:rPr>
          <w:b/>
          <w:bCs/>
        </w:rPr>
        <w:t>T</w:t>
      </w:r>
      <w:r>
        <w:rPr>
          <w:b/>
          <w:bCs/>
          <w:sz w:val="13"/>
          <w:szCs w:val="13"/>
        </w:rPr>
        <w:t>RATAMIENTO</w:t>
      </w:r>
      <w:r>
        <w:rPr>
          <w:b/>
          <w:bCs/>
        </w:rPr>
        <w:t xml:space="preserve">: </w:t>
      </w:r>
      <w:r>
        <w:t xml:space="preserve">La bronquitis aguda y los cuadros de vías respiratorias altas causados por </w:t>
      </w:r>
      <w:r>
        <w:rPr>
          <w:rFonts w:ascii="Times New Roman" w:eastAsia="Times New Roman" w:hAnsi="Times New Roman" w:cs="Times New Roman"/>
          <w:i/>
          <w:iCs/>
          <w:sz w:val="16"/>
          <w:szCs w:val="16"/>
        </w:rPr>
        <w:t>M. pneumoniae</w:t>
      </w:r>
      <w:r>
        <w:t xml:space="preserve"> por lo común son leves y muestran resolución incluso sin antimicrobianos. Los agentes antimicrobianos preferidos para tratar la neumonía y la otitis media en niños menores de ocho años son los macrólidos, incluida la eritromicina; son igualmente eficaces claritromicina y azitromicina dihidratada. La tetraciclina y la doxiciclina también son eficaces y pueden utilizarse en niños de ocho años y mayores. Las fluoroquinolonas son eficaces pero no se les recomienda como agentes de primera línea.</w:t>
      </w:r>
    </w:p>
    <w:p w14:paraId="207CDB41" w14:textId="77777777" w:rsidR="00D03C17" w:rsidRDefault="00D03C17">
      <w:pPr>
        <w:pStyle w:val="BodyText"/>
        <w:ind w:firstLine="0"/>
      </w:pPr>
      <w:r>
        <w:rPr>
          <w:b/>
          <w:bCs/>
        </w:rPr>
        <w:t>A</w:t>
      </w:r>
      <w:r>
        <w:rPr>
          <w:b/>
          <w:bCs/>
          <w:sz w:val="13"/>
          <w:szCs w:val="13"/>
        </w:rPr>
        <w:t xml:space="preserve">ISLAMIENTO </w:t>
      </w:r>
      <w:r>
        <w:rPr>
          <w:b/>
          <w:bCs/>
          <w:smallCaps/>
          <w:sz w:val="16"/>
          <w:szCs w:val="16"/>
        </w:rPr>
        <w:t>del</w:t>
      </w:r>
      <w:r>
        <w:rPr>
          <w:b/>
          <w:bCs/>
          <w:sz w:val="13"/>
          <w:szCs w:val="13"/>
        </w:rPr>
        <w:t xml:space="preserve"> PACIENTE HOSPITALIZADO</w:t>
      </w:r>
      <w:r>
        <w:rPr>
          <w:b/>
          <w:bCs/>
        </w:rPr>
        <w:t xml:space="preserve">: </w:t>
      </w:r>
      <w:r>
        <w:t>Además de las precauciones estándar se recomiendan las precauciones para evitar la transmisión por gotículas durante todo el tiempo que dure el cuadro sintomático.</w:t>
      </w:r>
    </w:p>
    <w:p w14:paraId="70F41178" w14:textId="77777777" w:rsidR="00D03C17" w:rsidRDefault="00D03C17">
      <w:pPr>
        <w:pStyle w:val="BodyText"/>
        <w:ind w:firstLine="0"/>
      </w:pPr>
      <w:r>
        <w:rPr>
          <w:b/>
          <w:bCs/>
        </w:rPr>
        <w:t>M</w:t>
      </w:r>
      <w:r>
        <w:rPr>
          <w:b/>
          <w:bCs/>
          <w:sz w:val="13"/>
          <w:szCs w:val="13"/>
        </w:rPr>
        <w:t>EDIDAS PREVENTIVAS</w:t>
      </w:r>
      <w:r>
        <w:rPr>
          <w:b/>
          <w:bCs/>
        </w:rPr>
        <w:t xml:space="preserve">: </w:t>
      </w:r>
      <w:r>
        <w:t xml:space="preserve">El diagnóstico del paciente infectado debe despertar la fuerte sospecha de que surja infección por </w:t>
      </w:r>
      <w:r>
        <w:rPr>
          <w:rFonts w:ascii="Times New Roman" w:eastAsia="Times New Roman" w:hAnsi="Times New Roman" w:cs="Times New Roman"/>
          <w:i/>
          <w:iCs/>
          <w:sz w:val="16"/>
          <w:szCs w:val="16"/>
        </w:rPr>
        <w:t>M. pneumoniae</w:t>
      </w:r>
      <w:r>
        <w:t xml:space="preserve"> en miembros del círculo familiar y contactos muy cercanos, y habrá que someterlos a tratamiento si alguno de los contactos muestra alguna enfermedad compatible de vías respiratorias bajas.</w:t>
      </w:r>
    </w:p>
    <w:p w14:paraId="5E4F2606" w14:textId="77777777" w:rsidR="00D03C17" w:rsidRDefault="00D03C17">
      <w:pPr>
        <w:pStyle w:val="BodyText"/>
        <w:spacing w:after="100"/>
        <w:ind w:firstLine="360"/>
      </w:pPr>
      <w:r>
        <w:t xml:space="preserve">No se recomienda el uso sistemático de antimicrobianos como profilácticos en los contactos expuestos. Se ha demostrado que la tetraciclina y la azitromicina con fin profiláctico disminuyen las enfermedades sintomáticas y aminoran los índices de transmisión dentro de las familias y las instituciones. Convendría valorar a toda persona que está expuesta en forma cercana a una persona infectada por </w:t>
      </w:r>
      <w:r>
        <w:rPr>
          <w:rFonts w:ascii="Times New Roman" w:eastAsia="Times New Roman" w:hAnsi="Times New Roman" w:cs="Times New Roman"/>
          <w:i/>
          <w:iCs/>
          <w:sz w:val="16"/>
          <w:szCs w:val="16"/>
        </w:rPr>
        <w:t>M. pneumoniae</w:t>
      </w:r>
      <w:r>
        <w:t xml:space="preserve"> o que vive en un núcleo familiar con otra persona que tiene un trastorno primario que predisponga a infección grave por dicho microorganismo, como niños con enfermedad drepanocitica, la aplicación de medidas profilácticas a base de eritromicina (u otro macrólido) o tetraciclina durante la fase aguda de la enfermedad del paciente original o indice.</w:t>
      </w:r>
    </w:p>
    <w:p w14:paraId="1D7290B8" w14:textId="77777777" w:rsidR="00D03C17" w:rsidRDefault="00D03C17">
      <w:pPr>
        <w:pStyle w:val="Bodytext70"/>
        <w:spacing w:after="0"/>
      </w:pPr>
      <w:r>
        <w:t>Neumococos, infecciones</w:t>
      </w:r>
      <w:r>
        <w:footnoteReference w:id="9"/>
      </w:r>
    </w:p>
    <w:p w14:paraId="4F26A2D5" w14:textId="77777777" w:rsidR="00D03C17" w:rsidRDefault="00D03C17">
      <w:pPr>
        <w:pStyle w:val="BodyText"/>
        <w:ind w:firstLine="0"/>
      </w:pPr>
      <w:r>
        <w:rPr>
          <w:b/>
          <w:bCs/>
        </w:rPr>
        <w:t>M</w:t>
      </w:r>
      <w:r>
        <w:rPr>
          <w:b/>
          <w:bCs/>
          <w:sz w:val="13"/>
          <w:szCs w:val="13"/>
        </w:rPr>
        <w:t>ANIFESTACIONES CLÍNICAS</w:t>
      </w:r>
      <w:r>
        <w:rPr>
          <w:b/>
          <w:bCs/>
        </w:rPr>
        <w:t xml:space="preserve">: </w:t>
      </w:r>
      <w:r>
        <w:t>El neumococo es la bacteria que con mayor frecuencia origina otitis media aguda e infecciones bacterianas invasoras en los niños. Muchos menores con bacteriemia no tienen un foco primario identificable de la infección. Los neumococos también son causa común de sinusitis, neumonía de origen comunitario y conjuntivitis. Las dos causas más frecuentes de meningitis bacteriana en lactantes y niños de corta edad son los neumococos y los meningococos. Estos últimos a veces originan endocarditis, osteomielitis, pericarditis, artritis piógena, infección de partes blandas y septicemia neonatal de comienzo temprano.</w:t>
      </w:r>
    </w:p>
    <w:p w14:paraId="1841A3DE" w14:textId="77777777" w:rsidR="00D03C17" w:rsidRDefault="00D03C17">
      <w:pPr>
        <w:pStyle w:val="BodyText"/>
        <w:ind w:firstLine="0"/>
      </w:pPr>
      <w:r>
        <w:rPr>
          <w:b/>
          <w:bCs/>
        </w:rPr>
        <w:t>C</w:t>
      </w:r>
      <w:r>
        <w:rPr>
          <w:b/>
          <w:bCs/>
          <w:sz w:val="13"/>
          <w:szCs w:val="13"/>
        </w:rPr>
        <w:t>AUSAS</w:t>
      </w:r>
      <w:r>
        <w:rPr>
          <w:b/>
          <w:bCs/>
        </w:rPr>
        <w:t xml:space="preserve">: </w:t>
      </w:r>
      <w:r>
        <w:rPr>
          <w:rFonts w:ascii="Times New Roman" w:eastAsia="Times New Roman" w:hAnsi="Times New Roman" w:cs="Times New Roman"/>
          <w:i/>
          <w:iCs/>
          <w:sz w:val="16"/>
          <w:szCs w:val="16"/>
        </w:rPr>
        <w:t>Streptococcus pneumoniae</w:t>
      </w:r>
      <w:r>
        <w:t xml:space="preserve"> (neumococos) son diplococos grampositivos en forma de lanceta. Se han identificado 90 serotipos de ellos. Las infecciones más invasoras en los niños en Estados Unidos son causadas por los serotipos 4, 6B, 9V, 14, 18C, 19F y 23F (sistema danés de serotipificación), y son los siete tipos que incluye la vacuna heptavalente aprobada a base de conjugado neumocócico. Los serotipos 6B, 9V, 14, 19A, 19F y 23F son los aislados con mayor frecuencia y que muestran resistencia a la penicilina.</w:t>
      </w:r>
    </w:p>
    <w:p w14:paraId="29383100" w14:textId="77777777" w:rsidR="00D03C17" w:rsidRDefault="00D03C17">
      <w:pPr>
        <w:pStyle w:val="BodyText"/>
        <w:ind w:firstLine="0"/>
      </w:pPr>
      <w:r>
        <w:rPr>
          <w:b/>
          <w:bCs/>
        </w:rPr>
        <w:t>A</w:t>
      </w:r>
      <w:r>
        <w:rPr>
          <w:b/>
          <w:bCs/>
          <w:sz w:val="13"/>
          <w:szCs w:val="13"/>
        </w:rPr>
        <w:t>SPECTOS EPIDEMIOLÓGICOS</w:t>
      </w:r>
      <w:r>
        <w:rPr>
          <w:b/>
          <w:bCs/>
        </w:rPr>
        <w:t xml:space="preserve">: </w:t>
      </w:r>
      <w:r>
        <w:t>Los neumococos están distribuidos de manera generalizada y en muchas personas hay colonización de la porción alta de las vías respiratorias por ellos. La transmisión se hace en forma directa, es decir de una persona a otra, quizá por contacto con gotículas de secreciones de vías respiratorias. Se desconoce el periodo de transmisibilidad y tal vez corresponda al tiempo en que está el microorganismo en las secreciones de las vías mencionadas, pero quizá sea menor de 24 h después de comenzar la terapia eficaz con antimicrobianos. En los niños de corta edad en quienes aparece un nuevo serotipo neumocócico en la nasofaringe, se manifiesta en alrededor de 15% de ellos un cuadro clínico (como sería otitis media), en el término de 30 días del contagio. Las infecciones víricas de la porción alta de las vías respiratorias, incluida la influenza, pueden predisponer a infecciones neumocócicas. Estas últimas son más prevalentes en los meses de invierno; más comunes en lactantes, niños de corta edad y ancianos, y más frecuentes en personas de raza negra y algunas poblaciones de indios norteamericanos que en otros grupos raciales y étnicos. Asimismo, aumenta la incidencia y la intensidad de las infecciones en cuestión en personas con inmunodeficiencia humoral adquirida (como agammaglobulinemia), infección por virus de inmunodeficiencia humana (VIH) o ausencia o deficiencia de la función esplénica (enfermedad drepanocítica, asplenia congénita o quirúrgica). Otras categorías que están expuestas a un supuesto riesgo alto o moderado se incluyen en el cuadro 3-47.</w:t>
      </w:r>
    </w:p>
    <w:p w14:paraId="6BBC8D10" w14:textId="77777777" w:rsidR="00D03C17" w:rsidRDefault="00D03C17">
      <w:pPr>
        <w:pStyle w:val="BodyText"/>
        <w:ind w:firstLine="360"/>
      </w:pPr>
      <w:r>
        <w:t xml:space="preserve">El </w:t>
      </w:r>
      <w:r>
        <w:rPr>
          <w:b/>
          <w:bCs/>
        </w:rPr>
        <w:t xml:space="preserve">periodo de incubación </w:t>
      </w:r>
      <w:r>
        <w:t>varía con el tipo de infección y puede ser incluso de uno a tres días.</w:t>
      </w:r>
    </w:p>
    <w:p w14:paraId="3B7C8444" w14:textId="77777777" w:rsidR="00D03C17" w:rsidRDefault="00D03C17">
      <w:pPr>
        <w:pStyle w:val="BodyText"/>
        <w:ind w:firstLine="0"/>
        <w:sectPr w:rsidR="00D03C17" w:rsidSect="00D03C17">
          <w:headerReference w:type="even" r:id="rId89"/>
          <w:headerReference w:type="default" r:id="rId90"/>
          <w:footerReference w:type="even" r:id="rId91"/>
          <w:footerReference w:type="default" r:id="rId92"/>
          <w:headerReference w:type="first" r:id="rId93"/>
          <w:footerReference w:type="first" r:id="rId94"/>
          <w:footnotePr>
            <w:numFmt w:val="chicago"/>
          </w:footnotePr>
          <w:pgSz w:w="8501" w:h="13022"/>
          <w:pgMar w:top="704" w:right="812" w:bottom="457" w:left="766" w:header="0" w:footer="3" w:gutter="0"/>
          <w:cols w:space="720"/>
          <w:noEndnote/>
          <w:titlePg/>
          <w:docGrid w:linePitch="360"/>
          <w15:footnoteColumns w:val="1"/>
        </w:sectPr>
      </w:pPr>
      <w:r>
        <w:rPr>
          <w:b/>
          <w:bCs/>
        </w:rPr>
        <w:t>M</w:t>
      </w:r>
      <w:r>
        <w:rPr>
          <w:b/>
          <w:bCs/>
          <w:sz w:val="13"/>
          <w:szCs w:val="13"/>
        </w:rPr>
        <w:t>ÉTODOS DIAGNÓSTICOS</w:t>
      </w:r>
      <w:r>
        <w:rPr>
          <w:b/>
          <w:bCs/>
        </w:rPr>
        <w:t xml:space="preserve">: </w:t>
      </w:r>
      <w:r>
        <w:t>El material obtenido del pus de un foco supurado debe teñirse con técnica de Gram y cultivarse por medio de técnicas microbiológicas</w:t>
      </w:r>
    </w:p>
    <w:p w14:paraId="32EAFC72" w14:textId="77777777" w:rsidR="00D03C17" w:rsidRDefault="00D03C17">
      <w:pPr>
        <w:pStyle w:val="BodyText"/>
        <w:ind w:firstLine="360"/>
      </w:pPr>
      <w:r>
        <w:rPr>
          <w:rFonts w:ascii="Arial" w:eastAsia="Arial" w:hAnsi="Arial" w:cs="Arial"/>
          <w:b/>
          <w:bCs/>
          <w:i/>
          <w:iCs/>
          <w:sz w:val="15"/>
          <w:szCs w:val="15"/>
        </w:rPr>
        <w:t>Inmunización pasiva.</w:t>
      </w:r>
      <w:r>
        <w:t xml:space="preserve"> Se recomienda la administración del concentrado inmunoglobulínico intravenoso para evitar la infección neumocócica en personas con enfermedades por inmunodeficiencia congénita o adquirida incluidos los individuos con infección por VIH que muestran infecciones neumocócicas recurrentes (véase “Humana, infección por virus de inmunodeficiencia [VIH]”, en esta sección).</w:t>
      </w:r>
    </w:p>
    <w:p w14:paraId="7BE36FC9" w14:textId="77777777" w:rsidR="00D03C17" w:rsidRDefault="00D03C17">
      <w:pPr>
        <w:pStyle w:val="BodyText"/>
        <w:ind w:firstLine="360"/>
      </w:pPr>
      <w:r>
        <w:rPr>
          <w:rFonts w:ascii="Arial" w:eastAsia="Arial" w:hAnsi="Arial" w:cs="Arial"/>
          <w:b/>
          <w:bCs/>
          <w:i/>
          <w:iCs/>
          <w:sz w:val="15"/>
          <w:szCs w:val="15"/>
        </w:rPr>
        <w:t>Quimioprofilaxia.</w:t>
      </w:r>
      <w:r>
        <w:t xml:space="preserve"> Se recomienda diariamente la profilaxia antimicrobiana en niños con asplenia funcional o anatómica, sea cual sea su estado de vacunación, para evitar la enfermedad por neumococos (véase “Niños asplénicos”, sección 1). El esquema propuesto incluye la ingestión de 125 mg de penicilina V dos veces al día si el niño tiene menos de cinco años de vida, y 250 mg en la misma forma en caso que tenga cinco años o más. Los resultados de un estudio multicéntrico demostraron que 125 mg de penicilina V ingeridos dos veces al día, en lactantes y niños de corta edad con anemia drepanocítica, disminuyeron 84% la incidencia de bacteriemia neumocócica en comparación con el grupo testigo que recibió placebo. Con base en los datos de tal estudio, se recomienda la profilaxia diaria a base de penicilina para niños con anemia drepanocítica, precaución que comenzará antes de cumplir el menor dos meses de vida. En años recientes ha aumentado el número de casos de infecciones neumocócicas invasoras con microorganismos resistentes a la penicilina y también la prevalencia del estado de portador nasofaríngeo de cepas también resistentes a ella, en niños con enfermedad drepanocítica. Ante esta situación, los padres deben recibir información de que la profilaxia con penicilina no tiene la misma eficacia que tenía en lo pasado, para evitar las infecciones neumocócicas invasoras.</w:t>
      </w:r>
    </w:p>
    <w:p w14:paraId="5F447212" w14:textId="77777777" w:rsidR="00D03C17" w:rsidRDefault="00D03C17">
      <w:pPr>
        <w:pStyle w:val="BodyText"/>
        <w:spacing w:after="100"/>
        <w:ind w:firstLine="360"/>
      </w:pPr>
      <w:r>
        <w:t>La edad en que se interrumpe la profilaxia suele constituir una decisión empírica. Casi todos los niños con anemia drepanocítica que han recibido profilaxia con penicilina durante largo tiempo, que reciben atención médica regular y que no han mostrado una infección neumocócica grave o a los que se ha extirpado quirúrgicamente el bazo con toda inocuidad, pueden interrumpir el uso profiláctico de penicilina a los cinco años de vida. Sin embargo, debe señalárseles que soliciten atención del médico en caso de que surja fiebre. Se desconoce la duración de la profilaxia en niños con asplenia atribuible a otras causas. Algunos expertos proponen continuarla durante toda la niñez.</w:t>
      </w:r>
    </w:p>
    <w:p w14:paraId="5FD906B6" w14:textId="77777777" w:rsidR="00D03C17" w:rsidRDefault="00D03C17">
      <w:pPr>
        <w:pStyle w:val="Bodytext70"/>
        <w:spacing w:after="0"/>
      </w:pPr>
      <w:r>
        <w:t>Nocardiosis</w:t>
      </w:r>
    </w:p>
    <w:p w14:paraId="23E35CB8" w14:textId="77777777" w:rsidR="00D03C17" w:rsidRDefault="00D03C17">
      <w:pPr>
        <w:pStyle w:val="BodyText"/>
        <w:ind w:firstLine="0"/>
      </w:pPr>
      <w:r>
        <w:rPr>
          <w:b/>
          <w:bCs/>
          <w:smallCaps/>
          <w:sz w:val="20"/>
          <w:szCs w:val="20"/>
        </w:rPr>
        <w:t>M</w:t>
      </w:r>
      <w:r>
        <w:rPr>
          <w:b/>
          <w:bCs/>
          <w:smallCaps/>
          <w:sz w:val="16"/>
          <w:szCs w:val="16"/>
        </w:rPr>
        <w:t>anifestaciones clínicas</w:t>
      </w:r>
      <w:r>
        <w:rPr>
          <w:b/>
          <w:bCs/>
          <w:smallCaps/>
          <w:sz w:val="20"/>
          <w:szCs w:val="20"/>
        </w:rPr>
        <w:t>:</w:t>
      </w:r>
      <w:r>
        <w:t xml:space="preserve"> De manera típica, los niños inmunocompetentes tienen un cuadro cutáneo o linfocutáneo que incluye lesiones pustulosas o ulcerosas que permanecen localizadas después de contaminación con suciedad de una lesión de la piel. El cuadro invasor surge con mayor frecuencia en pacientes inmunodeficientes, en particular aquellos con enfermedad granulomatosa crónica, infección por virus de inmunodeficiencia humana o trastornos que obligan a utilizar por largo tiempo corticoterapia sistémica. En dichos niños, de manera característica la infección comienza en los pulmones, y el cuadro puede ser agudo, subagudo o crónico. El ataque de los pulmones suele manifestarse por infiltrados nodulares redondeados que terminan por mostrar cavitación. Puede haber propagación hematógena desde los pulmones al encéfalo (abscesos únicos o múltiples), a la piel (pústulas, piodermia, abscesos o micetomas) y, a veces, a otros órganos.</w:t>
      </w:r>
    </w:p>
    <w:p w14:paraId="6468C832" w14:textId="77777777" w:rsidR="00D03C17" w:rsidRDefault="00D03C17">
      <w:pPr>
        <w:pStyle w:val="BodyText"/>
        <w:ind w:firstLine="0"/>
      </w:pPr>
      <w:r>
        <w:rPr>
          <w:b/>
          <w:bCs/>
        </w:rPr>
        <w:t>C</w:t>
      </w:r>
      <w:r>
        <w:rPr>
          <w:b/>
          <w:bCs/>
          <w:sz w:val="13"/>
          <w:szCs w:val="13"/>
        </w:rPr>
        <w:t>AUSAS</w:t>
      </w:r>
      <w:r>
        <w:rPr>
          <w:b/>
          <w:bCs/>
        </w:rPr>
        <w:t xml:space="preserve">: </w:t>
      </w:r>
      <w:r>
        <w:t xml:space="preserve">Las especies de </w:t>
      </w:r>
      <w:r>
        <w:rPr>
          <w:rFonts w:ascii="Times New Roman" w:eastAsia="Times New Roman" w:hAnsi="Times New Roman" w:cs="Times New Roman"/>
          <w:i/>
          <w:iCs/>
          <w:sz w:val="16"/>
          <w:szCs w:val="16"/>
        </w:rPr>
        <w:t>Nocardia</w:t>
      </w:r>
      <w:r>
        <w:t xml:space="preserve"> son actinomicetos aeróbicos. La enfermedad pulmonar o la diseminada es causada más a menudo por el complejo de </w:t>
      </w:r>
      <w:r>
        <w:rPr>
          <w:rFonts w:ascii="Times New Roman" w:eastAsia="Times New Roman" w:hAnsi="Times New Roman" w:cs="Times New Roman"/>
          <w:i/>
          <w:iCs/>
          <w:sz w:val="16"/>
          <w:szCs w:val="16"/>
        </w:rPr>
        <w:t>Nocardia asteroides,</w:t>
      </w:r>
      <w:r>
        <w:t xml:space="preserve"> que incluye </w:t>
      </w:r>
      <w:r>
        <w:rPr>
          <w:rFonts w:ascii="Times New Roman" w:eastAsia="Times New Roman" w:hAnsi="Times New Roman" w:cs="Times New Roman"/>
          <w:i/>
          <w:iCs/>
          <w:sz w:val="16"/>
          <w:szCs w:val="16"/>
        </w:rPr>
        <w:t>Nocardia farcinica</w:t>
      </w:r>
      <w:r>
        <w:t xml:space="preserve"> y </w:t>
      </w:r>
      <w:r>
        <w:rPr>
          <w:rFonts w:ascii="Times New Roman" w:eastAsia="Times New Roman" w:hAnsi="Times New Roman" w:cs="Times New Roman"/>
          <w:i/>
          <w:iCs/>
          <w:sz w:val="16"/>
          <w:szCs w:val="16"/>
        </w:rPr>
        <w:t>Nocardia nova</w:t>
      </w:r>
      <w:r>
        <w:rPr>
          <w:i/>
          <w:iCs/>
        </w:rPr>
        <w:t>.</w:t>
      </w:r>
      <w:r>
        <w:t xml:space="preserve"> El ataque cutáneo es causado más a menudo por </w:t>
      </w:r>
      <w:r>
        <w:rPr>
          <w:rFonts w:ascii="Times New Roman" w:eastAsia="Times New Roman" w:hAnsi="Times New Roman" w:cs="Times New Roman"/>
          <w:i/>
          <w:iCs/>
          <w:sz w:val="16"/>
          <w:szCs w:val="16"/>
        </w:rPr>
        <w:t>Nocardia brasiliensis</w:t>
      </w:r>
      <w:r>
        <w:rPr>
          <w:i/>
          <w:iCs/>
        </w:rPr>
        <w:t xml:space="preserve">. </w:t>
      </w:r>
      <w:r>
        <w:rPr>
          <w:rFonts w:ascii="Times New Roman" w:eastAsia="Times New Roman" w:hAnsi="Times New Roman" w:cs="Times New Roman"/>
          <w:i/>
          <w:iCs/>
          <w:sz w:val="16"/>
          <w:szCs w:val="16"/>
        </w:rPr>
        <w:t>Nocardia pseudobrasiliensis</w:t>
      </w:r>
      <w:r>
        <w:t xml:space="preserve"> afecta los pulmones, el sistema nervioso central (SNC) y también produce nocardiosis sistémica.</w:t>
      </w:r>
    </w:p>
    <w:p w14:paraId="22D51FB3" w14:textId="77777777" w:rsidR="00D03C17" w:rsidRDefault="00D03C17">
      <w:pPr>
        <w:pStyle w:val="BodyText"/>
        <w:spacing w:line="266" w:lineRule="auto"/>
        <w:ind w:firstLine="0"/>
      </w:pPr>
      <w:r>
        <w:rPr>
          <w:b/>
          <w:bCs/>
          <w:smallCaps/>
          <w:sz w:val="20"/>
          <w:szCs w:val="20"/>
        </w:rPr>
        <w:t>A</w:t>
      </w:r>
      <w:r>
        <w:rPr>
          <w:b/>
          <w:bCs/>
          <w:smallCaps/>
          <w:sz w:val="16"/>
          <w:szCs w:val="16"/>
        </w:rPr>
        <w:t>spectos</w:t>
      </w:r>
      <w:r>
        <w:rPr>
          <w:b/>
          <w:bCs/>
          <w:sz w:val="13"/>
          <w:szCs w:val="13"/>
        </w:rPr>
        <w:t xml:space="preserve"> EPIDEMIOLÓGICOS</w:t>
      </w:r>
      <w:r>
        <w:rPr>
          <w:b/>
          <w:bCs/>
        </w:rPr>
        <w:t xml:space="preserve">: </w:t>
      </w:r>
      <w:r>
        <w:t xml:space="preserve">Las especies de </w:t>
      </w:r>
      <w:r>
        <w:rPr>
          <w:rFonts w:ascii="Times New Roman" w:eastAsia="Times New Roman" w:hAnsi="Times New Roman" w:cs="Times New Roman"/>
          <w:i/>
          <w:iCs/>
          <w:sz w:val="16"/>
          <w:szCs w:val="16"/>
        </w:rPr>
        <w:t>Nocardia</w:t>
      </w:r>
      <w:r>
        <w:t xml:space="preserve"> son microorganismos saprofitos en la tierra y tienen distribución mundial. Es probable que los pulmones sean el punto de entrada en casos de enfermedad de tales órganos o en la forma diseminada. Hay inoculación directa de la piel a menudo como consecuencia de contacto con tierra o suciedad contaminadas después de traumatismos pequeños. No se sabe que haya transmisión directa, es decir de una persona a otra.</w:t>
      </w:r>
    </w:p>
    <w:p w14:paraId="652DE154" w14:textId="77777777" w:rsidR="00D03C17" w:rsidRDefault="00D03C17">
      <w:pPr>
        <w:pStyle w:val="BodyText"/>
        <w:ind w:firstLine="360"/>
      </w:pPr>
      <w:r>
        <w:t xml:space="preserve">Se desconoce el </w:t>
      </w:r>
      <w:r>
        <w:rPr>
          <w:b/>
          <w:bCs/>
        </w:rPr>
        <w:t>periodo de incubación</w:t>
      </w:r>
      <w:r>
        <w:t>.</w:t>
      </w:r>
    </w:p>
    <w:p w14:paraId="2C2A4269" w14:textId="77777777" w:rsidR="00D03C17" w:rsidRDefault="00D03C17">
      <w:pPr>
        <w:pStyle w:val="BodyText"/>
        <w:spacing w:line="276" w:lineRule="auto"/>
        <w:ind w:firstLine="0"/>
        <w:rPr>
          <w:sz w:val="16"/>
          <w:szCs w:val="16"/>
        </w:rPr>
      </w:pPr>
      <w:r>
        <w:rPr>
          <w:b/>
          <w:bCs/>
        </w:rPr>
        <w:t>M</w:t>
      </w:r>
      <w:r>
        <w:rPr>
          <w:b/>
          <w:bCs/>
          <w:sz w:val="13"/>
          <w:szCs w:val="13"/>
        </w:rPr>
        <w:t>ÉTODOS DIAGNÓSTICOS</w:t>
      </w:r>
      <w:r>
        <w:rPr>
          <w:b/>
          <w:bCs/>
        </w:rPr>
        <w:t xml:space="preserve">: </w:t>
      </w:r>
      <w:r>
        <w:t xml:space="preserve">El diagnóstico definitivo se corrobora al aislar </w:t>
      </w:r>
      <w:r>
        <w:rPr>
          <w:rFonts w:ascii="Times New Roman" w:eastAsia="Times New Roman" w:hAnsi="Times New Roman" w:cs="Times New Roman"/>
          <w:i/>
          <w:iCs/>
          <w:sz w:val="16"/>
          <w:szCs w:val="16"/>
        </w:rPr>
        <w:t>Nocardia</w:t>
      </w:r>
      <w:r>
        <w:t xml:space="preserve"> de líquidos corporales, material de abscesos o muestras tisulares. También el diagnóstico lo sugiere los datos de frotis teñidos de esputo, líquidos corporales o pus en que se identifiquen los bacilos con carácter acidorresistente variable, débilmente grampositivos, ramificados y con “cuentas”. Se recomienda usar los métodos de Brown y Brenn y la tinción con metenamina argéntica para demostrar los microorganismos en muestras de tejido. </w:t>
      </w:r>
      <w:r>
        <w:rPr>
          <w:rFonts w:ascii="Times New Roman" w:eastAsia="Times New Roman" w:hAnsi="Times New Roman" w:cs="Times New Roman"/>
          <w:i/>
          <w:iCs/>
          <w:sz w:val="16"/>
          <w:szCs w:val="16"/>
        </w:rPr>
        <w:t>Nocardia</w:t>
      </w:r>
      <w:r>
        <w:t xml:space="preserve"> prolifera con lentitud y se necesita conservar durante tres semanas en un medio líquido como Bactec 12B, el material de cultivo obtenido de sitios normalmente estériles. No son útiles los métodos serológicos para identificar especies de </w:t>
      </w:r>
      <w:r>
        <w:rPr>
          <w:rFonts w:ascii="Times New Roman" w:eastAsia="Times New Roman" w:hAnsi="Times New Roman" w:cs="Times New Roman"/>
          <w:i/>
          <w:iCs/>
          <w:sz w:val="16"/>
          <w:szCs w:val="16"/>
        </w:rPr>
        <w:t>Nocardia.</w:t>
      </w:r>
    </w:p>
    <w:p w14:paraId="6C428963" w14:textId="77777777" w:rsidR="00D03C17" w:rsidRDefault="00D03C17">
      <w:pPr>
        <w:pStyle w:val="BodyText"/>
        <w:ind w:firstLine="0"/>
      </w:pPr>
      <w:r>
        <w:rPr>
          <w:b/>
          <w:bCs/>
        </w:rPr>
        <w:t>T</w:t>
      </w:r>
      <w:r>
        <w:rPr>
          <w:b/>
          <w:bCs/>
          <w:sz w:val="13"/>
          <w:szCs w:val="13"/>
        </w:rPr>
        <w:t>RATAMIENTO</w:t>
      </w:r>
      <w:r>
        <w:rPr>
          <w:b/>
          <w:bCs/>
        </w:rPr>
        <w:t xml:space="preserve">: </w:t>
      </w:r>
      <w:r>
        <w:t xml:space="preserve">Los fármacos más indicados son el trimetoprim-sulfametoxazol o una sulfonamida sola (como la acetil sulfisoxazol o sulfametoxazol). Es mejor no usar preparados menos solubles en la orina, como la sulfadiazina. Los niños inmunocompetentes con ataque linfocutáneo suelen mejorar después de seis a 12 semanas de tratamiento. Conviene tratar a los pacientes inmunodeficientes y los que tienen enfermedad invasora, durante seis a 12 meses y tres meses como mínimo después de la cura aparente por la tendencia que tiene la enfermedad a reaparecer. Se puede necesitar un tratamiento todavía más largo en niños con síndrome de inmunodeficiencia adquirida. En caso de ataque del sistema nervioso central, enfermedad diseminada o infección sobreaguda, habrá que incluir el sulfato de amikacina en las primeras cuatro a 12 semanas de tratamiento o hasta que el estado del paciente mejore clínicamente. Habrá que vigilar por medio de estudios neuroimagenológicos seriados a los pacientes de meningitis o absceso encefálico. Si no mejora el niño con trimetoprim-sulfametoxazol, cabe recurrir a otros agentes beneficiosos como tetraciclina, amoxicilina-clavulanato potásico, imipenem o meropenem. La linezolida es muy activa contra todas las especies </w:t>
      </w:r>
      <w:r>
        <w:rPr>
          <w:rFonts w:ascii="Times New Roman" w:eastAsia="Times New Roman" w:hAnsi="Times New Roman" w:cs="Times New Roman"/>
          <w:i/>
          <w:iCs/>
          <w:sz w:val="16"/>
          <w:szCs w:val="16"/>
        </w:rPr>
        <w:t>Nocardia in vitro</w:t>
      </w:r>
      <w:r>
        <w:rPr>
          <w:i/>
          <w:iCs/>
        </w:rPr>
        <w:t>;</w:t>
      </w:r>
      <w:r>
        <w:t xml:space="preserve"> datos aislados sugieren que pudiera ser eficaz para combatir infecciones invasoras. Si es posible practicar métodos para valorar la susceptibilidad a fármacos, se recomienda hacerlo, según algunos expertos, en gérmenes aislados de pacientes con enfermedad invasora y niños que no toleran una sulfonamida. El drenaje de abscesos es beneficioso, especialmente en pacientes inmunodeficientes. </w:t>
      </w:r>
      <w:r>
        <w:rPr>
          <w:b/>
          <w:bCs/>
          <w:smallCaps/>
          <w:sz w:val="20"/>
          <w:szCs w:val="20"/>
        </w:rPr>
        <w:t>A</w:t>
      </w:r>
      <w:r>
        <w:rPr>
          <w:b/>
          <w:bCs/>
          <w:smallCaps/>
          <w:sz w:val="16"/>
          <w:szCs w:val="16"/>
        </w:rPr>
        <w:t>islamiento del paciente hospitalizado</w:t>
      </w:r>
      <w:r>
        <w:rPr>
          <w:b/>
          <w:bCs/>
          <w:smallCaps/>
          <w:sz w:val="20"/>
          <w:szCs w:val="20"/>
        </w:rPr>
        <w:t>:</w:t>
      </w:r>
      <w:r>
        <w:t xml:space="preserve"> Se recomienda seguir las precauciones estándar.</w:t>
      </w:r>
    </w:p>
    <w:p w14:paraId="4F9D9399" w14:textId="77777777" w:rsidR="00D03C17" w:rsidRDefault="00D03C17">
      <w:pPr>
        <w:pStyle w:val="Other0"/>
        <w:spacing w:after="100" w:line="257" w:lineRule="auto"/>
        <w:ind w:firstLine="0"/>
      </w:pPr>
      <w:r>
        <w:rPr>
          <w:b/>
          <w:bCs/>
          <w:smallCaps/>
          <w:sz w:val="20"/>
          <w:szCs w:val="20"/>
        </w:rPr>
        <w:t>M</w:t>
      </w:r>
      <w:r>
        <w:rPr>
          <w:b/>
          <w:bCs/>
          <w:smallCaps/>
          <w:sz w:val="16"/>
          <w:szCs w:val="16"/>
        </w:rPr>
        <w:t>edidas preventivas</w:t>
      </w:r>
      <w:r>
        <w:rPr>
          <w:b/>
          <w:bCs/>
          <w:smallCaps/>
          <w:sz w:val="20"/>
          <w:szCs w:val="20"/>
        </w:rPr>
        <w:t>:</w:t>
      </w:r>
      <w:r>
        <w:t xml:space="preserve"> Ninguna.</w:t>
      </w:r>
    </w:p>
    <w:p w14:paraId="6B343F81" w14:textId="77777777" w:rsidR="00D03C17" w:rsidRDefault="00D03C17">
      <w:pPr>
        <w:pStyle w:val="Bodytext70"/>
        <w:spacing w:after="0"/>
      </w:pPr>
      <w:r>
        <w:t>Oncocercosis</w:t>
      </w:r>
    </w:p>
    <w:p w14:paraId="4E75196B" w14:textId="77777777" w:rsidR="00D03C17" w:rsidRDefault="00D03C17">
      <w:pPr>
        <w:pStyle w:val="Other0"/>
        <w:spacing w:line="252" w:lineRule="auto"/>
        <w:ind w:firstLine="0"/>
        <w:rPr>
          <w:sz w:val="20"/>
          <w:szCs w:val="20"/>
        </w:rPr>
      </w:pPr>
      <w:r>
        <w:rPr>
          <w:rFonts w:ascii="Arial" w:eastAsia="Arial" w:hAnsi="Arial" w:cs="Arial"/>
          <w:b/>
          <w:bCs/>
          <w:w w:val="70"/>
          <w:sz w:val="20"/>
          <w:szCs w:val="20"/>
        </w:rPr>
        <w:t>(Ceguera de los ríos, filariasis)</w:t>
      </w:r>
    </w:p>
    <w:p w14:paraId="7D5D0AE3" w14:textId="77777777" w:rsidR="00D03C17" w:rsidRDefault="00D03C17">
      <w:pPr>
        <w:pStyle w:val="BodyText"/>
        <w:spacing w:after="60" w:line="266" w:lineRule="auto"/>
        <w:ind w:firstLine="0"/>
      </w:pPr>
      <w:r>
        <w:rPr>
          <w:b/>
          <w:bCs/>
          <w:smallCaps/>
          <w:sz w:val="20"/>
          <w:szCs w:val="20"/>
        </w:rPr>
        <w:t>M</w:t>
      </w:r>
      <w:r>
        <w:rPr>
          <w:b/>
          <w:bCs/>
          <w:smallCaps/>
          <w:sz w:val="16"/>
          <w:szCs w:val="16"/>
        </w:rPr>
        <w:t>anifestaciones clínicas</w:t>
      </w:r>
      <w:r>
        <w:rPr>
          <w:b/>
          <w:bCs/>
          <w:smallCaps/>
          <w:sz w:val="20"/>
          <w:szCs w:val="20"/>
        </w:rPr>
        <w:t>:</w:t>
      </w:r>
      <w:r>
        <w:t xml:space="preserve"> La enfermedad afecta la piel, los tejidos subcutáneos, los vasos linfáticos y los ojos. Seis a 12 meses después de la infección inicial aparecen nódulos subcutáneos de tamaño variable que contienen las filarias adultas. En personas de África, los nódulos tienden a localizarse en la mitad inferior del torso, la pelvis y extremidades inferiores, en tanto que en personas de América Central suelen estar</w:t>
      </w:r>
    </w:p>
    <w:p w14:paraId="7577B1AE" w14:textId="77777777" w:rsidR="00D03C17" w:rsidRDefault="00D03C17">
      <w:pPr>
        <w:pStyle w:val="BodyText"/>
        <w:spacing w:line="266" w:lineRule="auto"/>
        <w:ind w:firstLine="0"/>
      </w:pPr>
      <w:r>
        <w:rPr>
          <w:b/>
          <w:bCs/>
          <w:smallCaps/>
          <w:sz w:val="20"/>
          <w:szCs w:val="20"/>
        </w:rPr>
        <w:t>A</w:t>
      </w:r>
      <w:r>
        <w:rPr>
          <w:b/>
          <w:bCs/>
          <w:smallCaps/>
          <w:sz w:val="16"/>
          <w:szCs w:val="16"/>
        </w:rPr>
        <w:t>spectos</w:t>
      </w:r>
      <w:r>
        <w:rPr>
          <w:b/>
          <w:bCs/>
          <w:sz w:val="13"/>
          <w:szCs w:val="13"/>
        </w:rPr>
        <w:t xml:space="preserve"> EPIDEMIOLÓGICOS</w:t>
      </w:r>
      <w:r>
        <w:rPr>
          <w:b/>
          <w:bCs/>
        </w:rPr>
        <w:t xml:space="preserve">: </w:t>
      </w:r>
      <w:r>
        <w:t xml:space="preserve">Las especies de </w:t>
      </w:r>
      <w:r>
        <w:rPr>
          <w:rFonts w:ascii="Times New Roman" w:eastAsia="Times New Roman" w:hAnsi="Times New Roman" w:cs="Times New Roman"/>
          <w:i/>
          <w:iCs/>
          <w:sz w:val="16"/>
          <w:szCs w:val="16"/>
        </w:rPr>
        <w:t>Nocardia</w:t>
      </w:r>
      <w:r>
        <w:t xml:space="preserve"> son microorganismos saprofitos en la tierra y tienen distribución mundial. Es probable que los pulmones sean el punto de entrada en casos de enfermedad de tales órganos o en la forma diseminada. Hay inoculación directa de la piel a menudo como consecuencia de contacto con tierra o suciedad contaminadas después de traumatismos pequeños. No se sabe que haya transmisión directa, es decir de una persona a otra.</w:t>
      </w:r>
    </w:p>
    <w:p w14:paraId="0BE84CEF" w14:textId="77777777" w:rsidR="00D03C17" w:rsidRDefault="00D03C17">
      <w:pPr>
        <w:pStyle w:val="BodyText"/>
        <w:ind w:firstLine="360"/>
      </w:pPr>
      <w:r>
        <w:t xml:space="preserve">Se desconoce el </w:t>
      </w:r>
      <w:r>
        <w:rPr>
          <w:b/>
          <w:bCs/>
        </w:rPr>
        <w:t>periodo de incubación</w:t>
      </w:r>
      <w:r>
        <w:t>.</w:t>
      </w:r>
    </w:p>
    <w:p w14:paraId="69DC35E1" w14:textId="77777777" w:rsidR="00D03C17" w:rsidRDefault="00D03C17">
      <w:pPr>
        <w:pStyle w:val="BodyText"/>
        <w:spacing w:line="276" w:lineRule="auto"/>
        <w:ind w:firstLine="0"/>
        <w:rPr>
          <w:sz w:val="16"/>
          <w:szCs w:val="16"/>
        </w:rPr>
      </w:pPr>
      <w:r>
        <w:rPr>
          <w:b/>
          <w:bCs/>
        </w:rPr>
        <w:t>M</w:t>
      </w:r>
      <w:r>
        <w:rPr>
          <w:b/>
          <w:bCs/>
          <w:sz w:val="13"/>
          <w:szCs w:val="13"/>
        </w:rPr>
        <w:t>ÉTODOS DIAGNÓSTICOS</w:t>
      </w:r>
      <w:r>
        <w:rPr>
          <w:b/>
          <w:bCs/>
        </w:rPr>
        <w:t xml:space="preserve">: </w:t>
      </w:r>
      <w:r>
        <w:t xml:space="preserve">El diagnóstico definitivo se corrobora al aislar </w:t>
      </w:r>
      <w:r>
        <w:rPr>
          <w:rFonts w:ascii="Times New Roman" w:eastAsia="Times New Roman" w:hAnsi="Times New Roman" w:cs="Times New Roman"/>
          <w:i/>
          <w:iCs/>
          <w:sz w:val="16"/>
          <w:szCs w:val="16"/>
        </w:rPr>
        <w:t>Nocardia</w:t>
      </w:r>
      <w:r>
        <w:t xml:space="preserve"> de líquidos corporales, material de abscesos o muestras tisulares. También el diagnóstico lo sugiere los datos de frotis teñidos de esputo, líquidos corporales o pus en que se identifiquen los bacilos con carácter acidorresistente variable, débilmente grampositivos, ramificados y con “cuentas”. Se recomienda usar los métodos de Brown y Brenn y la tinción con metenamina argéntica para demostrar los microorganismos en muestras de tejido. </w:t>
      </w:r>
      <w:r>
        <w:rPr>
          <w:rFonts w:ascii="Times New Roman" w:eastAsia="Times New Roman" w:hAnsi="Times New Roman" w:cs="Times New Roman"/>
          <w:i/>
          <w:iCs/>
          <w:sz w:val="16"/>
          <w:szCs w:val="16"/>
        </w:rPr>
        <w:t>Nocardia</w:t>
      </w:r>
      <w:r>
        <w:t xml:space="preserve"> prolifera con lentitud y se necesita conservar durante tres semanas en un medio líquido como Bactec 12B, el material de cultivo obtenido de sitios normalmente estériles. No son útiles los métodos serológicos para identificar especies de </w:t>
      </w:r>
      <w:r>
        <w:rPr>
          <w:rFonts w:ascii="Times New Roman" w:eastAsia="Times New Roman" w:hAnsi="Times New Roman" w:cs="Times New Roman"/>
          <w:i/>
          <w:iCs/>
          <w:sz w:val="16"/>
          <w:szCs w:val="16"/>
        </w:rPr>
        <w:t>Nocardia.</w:t>
      </w:r>
    </w:p>
    <w:p w14:paraId="400BD666" w14:textId="77777777" w:rsidR="00D03C17" w:rsidRDefault="00D03C17">
      <w:pPr>
        <w:pStyle w:val="BodyText"/>
        <w:ind w:firstLine="0"/>
      </w:pPr>
      <w:r>
        <w:rPr>
          <w:b/>
          <w:bCs/>
        </w:rPr>
        <w:t>T</w:t>
      </w:r>
      <w:r>
        <w:rPr>
          <w:b/>
          <w:bCs/>
          <w:sz w:val="13"/>
          <w:szCs w:val="13"/>
        </w:rPr>
        <w:t>RATAMIENTO</w:t>
      </w:r>
      <w:r>
        <w:rPr>
          <w:b/>
          <w:bCs/>
        </w:rPr>
        <w:t xml:space="preserve">: </w:t>
      </w:r>
      <w:r>
        <w:t xml:space="preserve">Los fármacos más indicados son el trimetoprim-sulfametoxazol o una sulfonamida sola (como la acetil sulfisoxazol o sulfametoxazol). Es mejor no usar preparados menos solubles en la orina, como la sulfadiazina. Los niños inmunocompetentes con ataque linfocutáneo suelen mejorar después de seis a 12 semanas de tratamiento. Conviene tratar a los pacientes inmunodeficientes y los que tienen enfermedad invasora, durante seis a 12 meses y tres meses como mínimo después de la cura aparente por la tendencia que tiene la enfermedad a reaparecer. Se puede necesitar un tratamiento todavía más largo en niños con síndrome de inmunodeficiencia adquirida. En caso de ataque del sistema nervioso central, enfermedad diseminada o infección sobreaguda, habrá que incluir el sulfato de amikacina en las primeras cuatro a 12 semanas de tratamiento o hasta que el estado del paciente mejore clínicamente. Habrá que vigilar por medio de estudios neuroimagenológicos seriados a los pacientes de meningitis o absceso encefálico. Si no mejora el niño con trimetoprim-sulfametoxazol, cabe recurrir a otros agentes beneficiosos como tetraciclina, amoxicilina-clavulanato potásico, imipenem o meropenem. La linezolida es muy activa contra todas las especies </w:t>
      </w:r>
      <w:r>
        <w:rPr>
          <w:rFonts w:ascii="Times New Roman" w:eastAsia="Times New Roman" w:hAnsi="Times New Roman" w:cs="Times New Roman"/>
          <w:i/>
          <w:iCs/>
          <w:sz w:val="16"/>
          <w:szCs w:val="16"/>
        </w:rPr>
        <w:t>Nocardia in vitro</w:t>
      </w:r>
      <w:r>
        <w:rPr>
          <w:i/>
          <w:iCs/>
        </w:rPr>
        <w:t>;</w:t>
      </w:r>
      <w:r>
        <w:t xml:space="preserve"> datos aislados sugieren que pudiera ser eficaz para combatir infecciones invasoras. Si es posible practicar métodos para valorar la susceptibilidad a fármacos, se recomienda hacerlo, según algunos expertos, en gérmenes aislados de pacientes con enfermedad invasora y niños que no toleran una sulfonamida. El drenaje de abscesos es beneficioso, especialmente en pacientes inmunodeficientes. </w:t>
      </w:r>
      <w:r>
        <w:rPr>
          <w:b/>
          <w:bCs/>
          <w:smallCaps/>
          <w:sz w:val="20"/>
          <w:szCs w:val="20"/>
        </w:rPr>
        <w:t>A</w:t>
      </w:r>
      <w:r>
        <w:rPr>
          <w:b/>
          <w:bCs/>
          <w:smallCaps/>
          <w:sz w:val="16"/>
          <w:szCs w:val="16"/>
        </w:rPr>
        <w:t>islamiento del paciente hospitalizado</w:t>
      </w:r>
      <w:r>
        <w:rPr>
          <w:b/>
          <w:bCs/>
          <w:smallCaps/>
          <w:sz w:val="20"/>
          <w:szCs w:val="20"/>
        </w:rPr>
        <w:t>:</w:t>
      </w:r>
      <w:r>
        <w:t xml:space="preserve"> Se recomienda seguir las precauciones estándar.</w:t>
      </w:r>
    </w:p>
    <w:p w14:paraId="212CE2D8" w14:textId="77777777" w:rsidR="00D03C17" w:rsidRDefault="00D03C17">
      <w:pPr>
        <w:pStyle w:val="Other0"/>
        <w:spacing w:after="100" w:line="257" w:lineRule="auto"/>
        <w:ind w:firstLine="0"/>
      </w:pPr>
      <w:r>
        <w:rPr>
          <w:b/>
          <w:bCs/>
          <w:smallCaps/>
          <w:sz w:val="20"/>
          <w:szCs w:val="20"/>
        </w:rPr>
        <w:t>M</w:t>
      </w:r>
      <w:r>
        <w:rPr>
          <w:b/>
          <w:bCs/>
          <w:smallCaps/>
          <w:sz w:val="16"/>
          <w:szCs w:val="16"/>
        </w:rPr>
        <w:t>edidas preventivas</w:t>
      </w:r>
      <w:r>
        <w:rPr>
          <w:b/>
          <w:bCs/>
          <w:smallCaps/>
          <w:sz w:val="20"/>
          <w:szCs w:val="20"/>
        </w:rPr>
        <w:t>:</w:t>
      </w:r>
      <w:r>
        <w:t xml:space="preserve"> Ninguna.</w:t>
      </w:r>
    </w:p>
    <w:p w14:paraId="52073F80" w14:textId="77777777" w:rsidR="00D03C17" w:rsidRDefault="00D03C17">
      <w:pPr>
        <w:pStyle w:val="Bodytext70"/>
        <w:spacing w:after="0"/>
      </w:pPr>
      <w:r>
        <w:t>Oncocercosis</w:t>
      </w:r>
    </w:p>
    <w:p w14:paraId="7B1BF2D4" w14:textId="77777777" w:rsidR="00D03C17" w:rsidRDefault="00D03C17">
      <w:pPr>
        <w:pStyle w:val="Other0"/>
        <w:spacing w:line="252" w:lineRule="auto"/>
        <w:ind w:firstLine="0"/>
        <w:rPr>
          <w:sz w:val="20"/>
          <w:szCs w:val="20"/>
        </w:rPr>
      </w:pPr>
      <w:r>
        <w:rPr>
          <w:rFonts w:ascii="Arial" w:eastAsia="Arial" w:hAnsi="Arial" w:cs="Arial"/>
          <w:b/>
          <w:bCs/>
          <w:w w:val="70"/>
          <w:sz w:val="20"/>
          <w:szCs w:val="20"/>
        </w:rPr>
        <w:t>(Ceguera de los ríos, filariasis)</w:t>
      </w:r>
    </w:p>
    <w:p w14:paraId="7A3FAD57" w14:textId="77777777" w:rsidR="00D03C17" w:rsidRDefault="00D03C17">
      <w:pPr>
        <w:pStyle w:val="BodyText"/>
        <w:spacing w:line="266" w:lineRule="auto"/>
        <w:ind w:firstLine="0"/>
        <w:sectPr w:rsidR="00D03C17" w:rsidSect="00D03C17">
          <w:headerReference w:type="even" r:id="rId95"/>
          <w:headerReference w:type="default" r:id="rId96"/>
          <w:footerReference w:type="even" r:id="rId97"/>
          <w:footerReference w:type="default" r:id="rId98"/>
          <w:headerReference w:type="first" r:id="rId99"/>
          <w:footerReference w:type="first" r:id="rId100"/>
          <w:footnotePr>
            <w:numFmt w:val="chicago"/>
          </w:footnotePr>
          <w:pgSz w:w="8501" w:h="13022"/>
          <w:pgMar w:top="704" w:right="812" w:bottom="457" w:left="766" w:header="0" w:footer="3" w:gutter="0"/>
          <w:cols w:space="720"/>
          <w:noEndnote/>
          <w:titlePg/>
          <w:docGrid w:linePitch="360"/>
          <w15:footnoteColumns w:val="1"/>
        </w:sectPr>
      </w:pPr>
      <w:r>
        <w:rPr>
          <w:b/>
          <w:bCs/>
          <w:smallCaps/>
          <w:sz w:val="20"/>
          <w:szCs w:val="20"/>
        </w:rPr>
        <w:t>M</w:t>
      </w:r>
      <w:r>
        <w:rPr>
          <w:b/>
          <w:bCs/>
          <w:smallCaps/>
          <w:sz w:val="16"/>
          <w:szCs w:val="16"/>
        </w:rPr>
        <w:t>anifestaciones clínicas</w:t>
      </w:r>
      <w:r>
        <w:rPr>
          <w:b/>
          <w:bCs/>
          <w:smallCaps/>
          <w:sz w:val="20"/>
          <w:szCs w:val="20"/>
        </w:rPr>
        <w:t>:</w:t>
      </w:r>
      <w:r>
        <w:t xml:space="preserve"> La enfermedad afecta la piel, los tejidos subcutáneos, los vasos linfáticos y los ojos. Seis a 12 meses después de la infección inicial aparecen nódulos subcutáneos de tamaño variable que contienen las filarias adultas. En personas de África, los nódulos tienden a localizarse en la mitad inferior del torso, la pelvis y extremidades inferiores, en tanto que en personas de América Central suelen estar </w:t>
      </w:r>
    </w:p>
    <w:p w14:paraId="77E9EC65" w14:textId="77777777" w:rsidR="00D03C17" w:rsidRDefault="00D03C17">
      <w:pPr>
        <w:pStyle w:val="BodyText"/>
        <w:spacing w:line="266" w:lineRule="auto"/>
        <w:ind w:firstLine="0"/>
      </w:pPr>
      <w:r>
        <w:t>situados en la cabeza y el tronco, aunque pueden hacerlo en las extremidades. Después que las filarias maduran producen microfilarias que migran al interior de los tejidos y pueden causar una dermatitis pruriginosa crónica. Después de varios años, la piel se liquenifica y tiene zonas con pigmentación deficiente o excesiva. La presencia de microfilarias vivas o muertas en estructuras oculares origina fotofobia e inflamación de córnea, iris, cuerpo ciliar, retina, coroides y nervio óptico. El sujeto puede quedar ciego si no se trata la enfermedad.</w:t>
      </w:r>
    </w:p>
    <w:p w14:paraId="641EE064" w14:textId="77777777" w:rsidR="00D03C17" w:rsidRDefault="00D03C17">
      <w:pPr>
        <w:pStyle w:val="BodyText"/>
        <w:ind w:firstLine="0"/>
      </w:pPr>
      <w:r>
        <w:rPr>
          <w:b/>
          <w:bCs/>
        </w:rPr>
        <w:t>C</w:t>
      </w:r>
      <w:r>
        <w:rPr>
          <w:b/>
          <w:bCs/>
          <w:sz w:val="13"/>
          <w:szCs w:val="13"/>
        </w:rPr>
        <w:t>AUSAS</w:t>
      </w:r>
      <w:r>
        <w:rPr>
          <w:b/>
          <w:bCs/>
        </w:rPr>
        <w:t xml:space="preserve">: </w:t>
      </w:r>
      <w:r>
        <w:rPr>
          <w:rFonts w:ascii="Times New Roman" w:eastAsia="Times New Roman" w:hAnsi="Times New Roman" w:cs="Times New Roman"/>
          <w:i/>
          <w:iCs/>
          <w:sz w:val="16"/>
          <w:szCs w:val="16"/>
        </w:rPr>
        <w:t>Onchocerca volvulus</w:t>
      </w:r>
      <w:r>
        <w:t xml:space="preserve"> es una filaria (nematodo).</w:t>
      </w:r>
    </w:p>
    <w:p w14:paraId="0F93465B" w14:textId="77777777" w:rsidR="00D03C17" w:rsidRDefault="00D03C17">
      <w:pPr>
        <w:pStyle w:val="BodyText"/>
        <w:ind w:firstLine="0"/>
      </w:pPr>
      <w:r>
        <w:rPr>
          <w:b/>
          <w:bCs/>
        </w:rPr>
        <w:t>A</w:t>
      </w:r>
      <w:r>
        <w:rPr>
          <w:b/>
          <w:bCs/>
          <w:sz w:val="13"/>
          <w:szCs w:val="13"/>
        </w:rPr>
        <w:t>SPECTOS EPIDEMIOLÓGICOS</w:t>
      </w:r>
      <w:r>
        <w:t xml:space="preserve">: Las larvas son transmitidas por la picadura de una mosca negra de la especie </w:t>
      </w:r>
      <w:r>
        <w:rPr>
          <w:rFonts w:ascii="Times New Roman" w:eastAsia="Times New Roman" w:hAnsi="Times New Roman" w:cs="Times New Roman"/>
          <w:i/>
          <w:iCs/>
          <w:sz w:val="16"/>
          <w:szCs w:val="16"/>
        </w:rPr>
        <w:t>Simulium</w:t>
      </w:r>
      <w:r>
        <w:t xml:space="preserve"> infectada que prolifera en corrientes rápidas y ríos (de ahí tomó el nombre coloquial de “ceguera de los ríos”). La enfermedad aparece más bien en la zona del África Ecuatorial, aunque se detectan focos pequeños en el sur de México, en Guatemala y en la zona septentrional de América del Sur y Yemen. La prevalencia es máxima en personas que viven cerca de áreas en que proliferan los vectores. Las filarias adultas siguen produciendo microfilarias capaces de infectar dichas moscas por más de 10 años. La infección no se transmite por contacto directo (una persona a otra) ni por sangre en transfusión.</w:t>
      </w:r>
    </w:p>
    <w:p w14:paraId="1FFEC55C" w14:textId="77777777" w:rsidR="00D03C17" w:rsidRDefault="00D03C17">
      <w:pPr>
        <w:pStyle w:val="BodyText"/>
        <w:ind w:firstLine="360"/>
      </w:pPr>
      <w:r>
        <w:t xml:space="preserve">El </w:t>
      </w:r>
      <w:r>
        <w:rPr>
          <w:b/>
          <w:bCs/>
        </w:rPr>
        <w:t xml:space="preserve">periodo de incubación </w:t>
      </w:r>
      <w:r>
        <w:t xml:space="preserve">desde la inoculación de larvas hasta la fase de microfilarias en la piel suele ser de seis a 12 meses, pero puede llegar a tres años. </w:t>
      </w:r>
      <w:r>
        <w:rPr>
          <w:b/>
          <w:bCs/>
        </w:rPr>
        <w:t>M</w:t>
      </w:r>
      <w:r>
        <w:rPr>
          <w:b/>
          <w:bCs/>
          <w:sz w:val="13"/>
          <w:szCs w:val="13"/>
        </w:rPr>
        <w:t>ÉTODOS DIAGNÓSTICOS</w:t>
      </w:r>
      <w:r>
        <w:rPr>
          <w:b/>
          <w:bCs/>
        </w:rPr>
        <w:t xml:space="preserve">: </w:t>
      </w:r>
      <w:r>
        <w:t xml:space="preserve">Las microfilarias se pueden identificar por examen directo de una muestra de 1 a 2 mg por rasuramiento o de biopsia de la epidermis y capa superior de la dermis (obtenida de las crestas escapular o iliaca). Las filarias adultas se demuestran en ganglios extirpados que han sido succionados y teñidos. En el estudio de la cámara anterior del ojo afectado, por medio de lámpara de hendidura se pueden identificar microfilarias móviles o las lesiones corneales típicas de la oncocercosis. Raras vez aparecen las microfilarias en la sangre. La eosinofilia es frecuente. Sólo en laboratorios de investigación se practican métodos serológicos específicos y reacción en cadena de polimerasa para detectar microfilarias en la piel. </w:t>
      </w:r>
      <w:r>
        <w:rPr>
          <w:b/>
          <w:bCs/>
        </w:rPr>
        <w:t>T</w:t>
      </w:r>
      <w:r>
        <w:rPr>
          <w:b/>
          <w:bCs/>
          <w:sz w:val="13"/>
          <w:szCs w:val="13"/>
        </w:rPr>
        <w:t>RATAMIENTO</w:t>
      </w:r>
      <w:r>
        <w:rPr>
          <w:b/>
          <w:bCs/>
        </w:rPr>
        <w:t xml:space="preserve">: </w:t>
      </w:r>
      <w:r>
        <w:t xml:space="preserve">La ivermectina, un microfilaricida, es el fármaco más indicado para combatir la oncocercosis. El tratamiento logra disminuir la dermatitis y el peligro de que ocurra oculopatías graves, pero no destruye las filarias adultas y por ello no es curativo. Hay que administrar una sola dosis de ivermectina ingerible (150 mg/kg) cada seis a 12 meses hasta que la persona esté asintomática. Entre las reacciones adversas que surgen con la muerte de las microfilarias están erupciones, edema, fiebre, mialgia e hipotensión (que rara vez es grave). Entre las situaciones de precaución respecto al tratamiento con ivermectina están embarazo, amamantamiento, trastornos del sistema nervioso central (SNC) que pueden incrementar la penetración del fármaco en él y pesar menos de 15 kg. No se ha definido la inocuidad y la eficacia en niños que pesan menos de 15 kilogramos. </w:t>
      </w:r>
      <w:r>
        <w:rPr>
          <w:b/>
          <w:bCs/>
        </w:rPr>
        <w:t>A</w:t>
      </w:r>
      <w:r>
        <w:rPr>
          <w:b/>
          <w:bCs/>
          <w:sz w:val="13"/>
          <w:szCs w:val="13"/>
        </w:rPr>
        <w:t>ISLAMIENTO DEL PACIENTE HOSPITALIZADO</w:t>
      </w:r>
      <w:r>
        <w:rPr>
          <w:b/>
          <w:bCs/>
        </w:rPr>
        <w:t xml:space="preserve">: </w:t>
      </w:r>
      <w:r>
        <w:t>Se recomienda seguir las precauciones estándar.</w:t>
      </w:r>
    </w:p>
    <w:p w14:paraId="0BE62C06" w14:textId="77777777" w:rsidR="00D03C17" w:rsidRDefault="00D03C17">
      <w:pPr>
        <w:pStyle w:val="BodyText"/>
        <w:ind w:firstLine="0"/>
        <w:sectPr w:rsidR="00D03C17" w:rsidSect="00D03C17">
          <w:headerReference w:type="even" r:id="rId101"/>
          <w:headerReference w:type="default" r:id="rId102"/>
          <w:footerReference w:type="even" r:id="rId103"/>
          <w:footerReference w:type="default" r:id="rId104"/>
          <w:footnotePr>
            <w:numFmt w:val="chicago"/>
          </w:footnotePr>
          <w:type w:val="continuous"/>
          <w:pgSz w:w="8501" w:h="13022"/>
          <w:pgMar w:top="704" w:right="812" w:bottom="457" w:left="766" w:header="0" w:footer="29" w:gutter="0"/>
          <w:cols w:space="720"/>
          <w:noEndnote/>
          <w:docGrid w:linePitch="360"/>
          <w15:footnoteColumns w:val="1"/>
        </w:sectPr>
      </w:pPr>
      <w:r>
        <w:rPr>
          <w:b/>
          <w:bCs/>
        </w:rPr>
        <w:t>M</w:t>
      </w:r>
      <w:r>
        <w:rPr>
          <w:b/>
          <w:bCs/>
          <w:sz w:val="13"/>
          <w:szCs w:val="13"/>
        </w:rPr>
        <w:t>EDIDAS PREVENTIVAS</w:t>
      </w:r>
      <w:r>
        <w:rPr>
          <w:b/>
          <w:bCs/>
        </w:rPr>
        <w:t xml:space="preserve">: </w:t>
      </w:r>
      <w:r>
        <w:t>Los repelentes y las ropas protectoras (camisas o blusas con mangas largas y también pantalones largos) disminuyen la exposición a las picaduras de las moscas negras que pican durante el día. El tratamiento de los sitios en que proliferan los vectores con larvicidas ha sido eficaz para controlar las poblaciones de moscas negras, particularmente en África Occidental. Una iniciativa importante hizo que la Organización Mundial de la Salud distribuyera ivermectina en comunidades en que es endémica la enfermedad, para evitar consecuencias graves de la oncocercosis, y se han obtenido buenos resultados con tal medida.</w:t>
      </w:r>
    </w:p>
    <w:p w14:paraId="18338E3E" w14:textId="77777777" w:rsidR="00D03C17" w:rsidRDefault="00D03C17">
      <w:pPr>
        <w:pStyle w:val="BodyText"/>
        <w:spacing w:after="100"/>
        <w:ind w:firstLine="360"/>
        <w:rPr>
          <w:sz w:val="16"/>
          <w:szCs w:val="16"/>
        </w:rPr>
      </w:pPr>
      <w:r>
        <w:rPr>
          <w:rFonts w:ascii="Arial" w:eastAsia="Arial" w:hAnsi="Arial" w:cs="Arial"/>
          <w:b/>
          <w:bCs/>
          <w:i/>
          <w:iCs/>
          <w:sz w:val="15"/>
          <w:szCs w:val="15"/>
        </w:rPr>
        <w:t>Medidas de protección personal.</w:t>
      </w:r>
      <w:r>
        <w:t xml:space="preserve"> Es importante recomendar a todas las personas que viajan a áreas en que es endémico el paludismo, el uso de medidas de protección personal como las siguientes: 1) durante el sueño utilizar mosquiteros impregnados con insecticidas; 2) permanecer en zonas perfectamente protegidas con malla fina de alambre; 3) usar ropas protectoras, y 4) utilizar repelentes que contengan dietiletiltoluamida (DEET). Para ser eficaces, los repelentes en cuestión necesitan ser aplicados frecuentemente. Ante la posibilidad de reacciones adversas, que incluyen encefalopatía tóxica, convulsiones y erupciones señaladas con el empleo de DEET en grandes concentraciones en niños, dicho repelente debe usarse conforme a las instrucciones del fabricante. Será importante recomendar a los viajeros, y en particular a los niños, que no usen productos con grandes concentraciones de DEET (más de 35%) aplicados directamente a la piel. El peligro de que surjan reacciones adversas graves es muy reducido si el repelente se usa con base en las instrucciones del fabricante, aprobadas por la </w:t>
      </w:r>
      <w:r>
        <w:rPr>
          <w:rFonts w:ascii="Times New Roman" w:eastAsia="Times New Roman" w:hAnsi="Times New Roman" w:cs="Times New Roman"/>
          <w:i/>
          <w:iCs/>
          <w:sz w:val="16"/>
          <w:szCs w:val="16"/>
        </w:rPr>
        <w:t>Food and Drug Administration.</w:t>
      </w:r>
    </w:p>
    <w:p w14:paraId="0CE48C83" w14:textId="77777777" w:rsidR="00D03C17" w:rsidRDefault="00D03C17">
      <w:pPr>
        <w:pStyle w:val="Bodytext70"/>
        <w:spacing w:after="0"/>
      </w:pPr>
      <w:r>
        <w:t>Papiloma humano, virus</w:t>
      </w:r>
    </w:p>
    <w:p w14:paraId="36EF229B" w14:textId="77777777" w:rsidR="00D03C17" w:rsidRDefault="00D03C17">
      <w:pPr>
        <w:pStyle w:val="BodyText"/>
        <w:ind w:firstLine="0"/>
      </w:pPr>
      <w:r>
        <w:rPr>
          <w:b/>
          <w:bCs/>
        </w:rPr>
        <w:t>M</w:t>
      </w:r>
      <w:r>
        <w:rPr>
          <w:b/>
          <w:bCs/>
          <w:sz w:val="13"/>
          <w:szCs w:val="13"/>
        </w:rPr>
        <w:t>ANIFESTACIONES CLÍNICAS</w:t>
      </w:r>
      <w:r>
        <w:rPr>
          <w:b/>
          <w:bCs/>
        </w:rPr>
        <w:t xml:space="preserve">: </w:t>
      </w:r>
      <w:r>
        <w:t xml:space="preserve">Muchas de las infecciones por el virus de papiloma humano </w:t>
      </w:r>
      <w:r>
        <w:rPr>
          <w:i/>
          <w:iCs/>
        </w:rPr>
        <w:t>(</w:t>
      </w:r>
      <w:r>
        <w:rPr>
          <w:rFonts w:ascii="Times New Roman" w:eastAsia="Times New Roman" w:hAnsi="Times New Roman" w:cs="Times New Roman"/>
          <w:i/>
          <w:iCs/>
          <w:sz w:val="16"/>
          <w:szCs w:val="16"/>
        </w:rPr>
        <w:t>human papillomavirus</w:t>
      </w:r>
      <w:r>
        <w:rPr>
          <w:i/>
          <w:iCs/>
        </w:rPr>
        <w:t>,</w:t>
      </w:r>
      <w:r>
        <w:t xml:space="preserve"> HPV) no originan lesiones ni se manifiestan por signos clínicos. Sin embargo, los virus en cuestión producen tumores epiteliales (verrugas) de la piel y las mucosas y se acompañan de displasia anogenital y cáncer. Las verrugas cutáneas no congénitas incluyen las comunes en la piel, las que están en la planta del pie, las planas, las filiformes y la epidermodisplasia verruciforme. Las verrugas también aparecen en las mucosas incluidas las zonas anogenital, bucal, nasal y conjuntival, así como las vías respiratorias, en que aparece papilomatosis.</w:t>
      </w:r>
    </w:p>
    <w:p w14:paraId="0F0F63D0" w14:textId="77777777" w:rsidR="00D03C17" w:rsidRDefault="00D03C17">
      <w:pPr>
        <w:pStyle w:val="BodyText"/>
        <w:ind w:firstLine="360"/>
      </w:pPr>
      <w:r>
        <w:t xml:space="preserve">Las </w:t>
      </w:r>
      <w:r>
        <w:rPr>
          <w:b/>
          <w:bCs/>
        </w:rPr>
        <w:t xml:space="preserve">verrugas comunes </w:t>
      </w:r>
      <w:r>
        <w:t>en la piel tienen forma redondeada y prolongaciones cónicas que dan a su superficie una imagen “irregular”. Por lo común son asintomáticas y múltiples y aparecen más bien en las manos y alrededor de las uñas o debajo de ellas. Al sufrir trombosis los vasos dérmicos finos aparecen puntos negros en las verrugas. Las verrugas en la planta del pie pueden ser dolorosas y se caracterizan por hiperqueratosis notable, a veces con puntos negros.</w:t>
      </w:r>
    </w:p>
    <w:p w14:paraId="5C74CB52" w14:textId="77777777" w:rsidR="00D03C17" w:rsidRDefault="00D03C17">
      <w:pPr>
        <w:pStyle w:val="BodyText"/>
        <w:ind w:firstLine="360"/>
      </w:pPr>
      <w:r>
        <w:t xml:space="preserve">Las </w:t>
      </w:r>
      <w:r>
        <w:rPr>
          <w:b/>
          <w:bCs/>
        </w:rPr>
        <w:t xml:space="preserve">verrugas planas o “juveniles” </w:t>
      </w:r>
      <w:r>
        <w:t>aparecen a menudo en la cara y las extremidades de niños y adolescentes. Por lo regular son pequeñas, múltiples y planas; rara vez presentan papilomatosis y casi no ocasionan dolor. Las verrugas filiformes aparecen en la cara y el cuello, y las cutáneas son benignas.</w:t>
      </w:r>
    </w:p>
    <w:p w14:paraId="07A901CD" w14:textId="77777777" w:rsidR="00D03C17" w:rsidRDefault="00D03C17">
      <w:pPr>
        <w:pStyle w:val="BodyText"/>
        <w:ind w:firstLine="360"/>
      </w:pPr>
      <w:r>
        <w:t xml:space="preserve">Las verrugas anogenitales, llamadas también </w:t>
      </w:r>
      <w:r>
        <w:rPr>
          <w:b/>
          <w:bCs/>
        </w:rPr>
        <w:t>condilomas acuminados</w:t>
      </w:r>
      <w:r>
        <w:t>, son deformaciones del color de la piel con una superficie similar a la de una coliflor cuyo tamaño varía de milímetros a centímetros. En los varones aparecen a veces en el pene, en el escroto y en las zonas anal y perianal. En las mujeres pueden identificarse en la vulva o áreas perianales y con menor frecuencia en la vagina o en el cuello uterino. Las verrugas anogenitales suelen ser múltiples y atraen la atención por su aspecto. Por lo común no causan dolor, aunque a veces originan prurito, ardor, dolor local o hemorragia.</w:t>
      </w:r>
    </w:p>
    <w:p w14:paraId="79B6D65B" w14:textId="77777777" w:rsidR="00D03C17" w:rsidRDefault="00D03C17">
      <w:pPr>
        <w:pStyle w:val="BodyText"/>
        <w:ind w:firstLine="360"/>
      </w:pPr>
      <w:r>
        <w:t>La infección anogenital por HPV puede acompañarse de lesiones displásicas no manifiestas clínicamente en particular en el aparato genital de la mujer (cuello uterino o vagina). Se les puede resaltar si se aplica ácido acético en 3 a 5% a la superficie mucosa y se le examina por medio de un dispositivo de amplificación. Los tipos de HPV que se vinculan con tales displasias también guardan relación con cánceres en las vías anogenitales. Desde el punto de vista etiológica el virus de papiloma humano participa en 90% de los cánceres cervicouterinos y en una proporción sustancial de los cánceres de vulva, ano y pene.</w:t>
      </w:r>
    </w:p>
    <w:p w14:paraId="764A6CCC" w14:textId="77777777" w:rsidR="00D03C17" w:rsidRDefault="00D03C17">
      <w:pPr>
        <w:pStyle w:val="BodyText"/>
        <w:ind w:firstLine="360"/>
      </w:pPr>
      <w:r>
        <w:t xml:space="preserve">La </w:t>
      </w:r>
      <w:r>
        <w:rPr>
          <w:b/>
          <w:bCs/>
        </w:rPr>
        <w:t xml:space="preserve">papilomatosis respiratoria </w:t>
      </w:r>
      <w:r>
        <w:t>es un cuadro raro que se caracteriza por papilomas en la laringe u otras áreas de las vías respiratorias altas. Se le diagnostica más a menudo en niños de dos a cinco años y se manifiesta por cambios en la voz, estridor o un llanto anormal. Los papilomas de vías respiratorias se han vinculado con obstrucción de ellas en niños de corta edad. También se ha descrito que a veces aparecen por primera vez en adultos.</w:t>
      </w:r>
    </w:p>
    <w:p w14:paraId="203CC52C" w14:textId="77777777" w:rsidR="00D03C17" w:rsidRDefault="00D03C17">
      <w:pPr>
        <w:pStyle w:val="BodyText"/>
        <w:ind w:firstLine="360"/>
      </w:pPr>
      <w:r>
        <w:t xml:space="preserve">La </w:t>
      </w:r>
      <w:r>
        <w:rPr>
          <w:b/>
          <w:bCs/>
        </w:rPr>
        <w:t xml:space="preserve">epidermodisplasia verruciforme </w:t>
      </w:r>
      <w:r>
        <w:t xml:space="preserve">es una infección rara, permanente y grave por el virus de papiloma que al parecer es consecuencia de una deficiencia hereditaria en la inmunidad mediada por células. Las lesiones pueden asemejarse a las verrugas planas, pero a menudo son semejantes a la tiña versicolor y cubren el torso y extremidades superiores. Casi todas aparecen en el primer decenio de la vida, pero la cancerización que surge en cerca de 33% de las personas afectadas por lo regular es tardía y aparece en la vida adulta. </w:t>
      </w:r>
      <w:r>
        <w:rPr>
          <w:b/>
          <w:bCs/>
        </w:rPr>
        <w:t>C</w:t>
      </w:r>
      <w:r>
        <w:rPr>
          <w:b/>
          <w:bCs/>
          <w:sz w:val="13"/>
          <w:szCs w:val="13"/>
        </w:rPr>
        <w:t>AUSAS</w:t>
      </w:r>
      <w:r>
        <w:rPr>
          <w:b/>
          <w:bCs/>
        </w:rPr>
        <w:t xml:space="preserve">: </w:t>
      </w:r>
      <w:r>
        <w:t xml:space="preserve">Los virus de papiloma humano (HPV) son miembros de la familia Papovaviridae y son virus de DNA. Se han identificado más de 100 tipos. Se les agrupa en los tipos cutáneos y mucosos con base en su tendencia a infectar tipos particulares de epitelio. Muy a menudo, los tipos de HPV que aparecen en verrugas no genitales pertenecen a los tipos cutáneos, y los que se identifican en la papilomatosis de vías respiratorias, verrugas anogenitales, displasias o cánceres, pertenecerán al tipo mucoso. Se sabe que más de 30 tipos de HPV infectan las vías genitales, aunque algunas que aparecen en la región anogenital (tipos 16, 18, 31 y 45) se han vinculado cono neoplasias cervicouterinas. </w:t>
      </w:r>
      <w:r>
        <w:rPr>
          <w:b/>
          <w:bCs/>
        </w:rPr>
        <w:t>A</w:t>
      </w:r>
      <w:r>
        <w:rPr>
          <w:b/>
          <w:bCs/>
          <w:sz w:val="13"/>
          <w:szCs w:val="13"/>
        </w:rPr>
        <w:t>SPECTOS EPIDEMIOLÓGICOS</w:t>
      </w:r>
      <w:r>
        <w:rPr>
          <w:b/>
          <w:bCs/>
        </w:rPr>
        <w:t xml:space="preserve">: </w:t>
      </w:r>
      <w:r>
        <w:t>Los virus de papiloma están distribuidos ampliamente en los mamíferos y muestran especificidad de especie. Las verrugas cutáneas a menudo afectan a escolares; la cifra de prevalencia llega a veces a 50%. Las infecciones por este tipo de virus se transmiten de una persona a otra por contacto muy cercano. Las verrugas no genitales se transmiten por traumatismos mínimos en la piel. El aumento en la incidencia de verrugas plantares se ha vinculado con el hecho de nadar en piscinas públicas. La aparición intensa y a menudo muy generalizada de verrugas en sujetos con deterioro de la inmunidad de tipo celular (en particular quienes han recibido un trasplante y personas con infección por el virus de inmunodeficiencia humana) sugiere que algunas alteraciones de la inmunidad predisponen a reactivación de una infección intraepitelial latente.</w:t>
      </w:r>
    </w:p>
    <w:p w14:paraId="5664F496" w14:textId="77777777" w:rsidR="00D03C17" w:rsidRDefault="00D03C17">
      <w:pPr>
        <w:pStyle w:val="BodyText"/>
        <w:ind w:firstLine="360"/>
      </w:pPr>
      <w:r>
        <w:t>La infección anogenital por HPV constituye la enfermedad de transmisión sexual más común en Estados Unidos que afecta a más de 40% de las adolescentes sexualmente activas. Las infecciones de este tipo se transmiten más bien por contacto sexual; rara vez se transmite a un producto a su paso por el conducto del parto, o de sitios extragenitales. Cuando se identifican verrugas anogenitales en un niño que ha rebasado la lactancia pero que es prepúber aún, habrá que pensar en abuso sexual.</w:t>
      </w:r>
    </w:p>
    <w:p w14:paraId="7A0802E5" w14:textId="77777777" w:rsidR="00D03C17" w:rsidRDefault="00D03C17">
      <w:pPr>
        <w:pStyle w:val="BodyText"/>
        <w:ind w:firstLine="360"/>
      </w:pPr>
      <w:r>
        <w:t>Se piensa que la papilomatosis de vías respiratorias se adquiere por aspiración de secreciones infectantes al pasar el producto por el conducto infectado del parto.</w:t>
      </w:r>
    </w:p>
    <w:p w14:paraId="2063F451" w14:textId="77777777" w:rsidR="00D03C17" w:rsidRDefault="00D03C17">
      <w:pPr>
        <w:pStyle w:val="BodyText"/>
        <w:ind w:firstLine="360"/>
      </w:pPr>
      <w:r>
        <w:t xml:space="preserve">Se desconoce el </w:t>
      </w:r>
      <w:r>
        <w:rPr>
          <w:b/>
          <w:bCs/>
        </w:rPr>
        <w:t>periodo de incubación</w:t>
      </w:r>
      <w:r>
        <w:t xml:space="preserve">, pero se ha calculado que varía de tres meses a varios años. La papilomatosis adquirida por el producto en el momento de nacer quizá no origine durante años manifestaciones clínicas. </w:t>
      </w:r>
      <w:r>
        <w:rPr>
          <w:b/>
          <w:bCs/>
        </w:rPr>
        <w:t>M</w:t>
      </w:r>
      <w:r>
        <w:rPr>
          <w:b/>
          <w:bCs/>
          <w:sz w:val="13"/>
          <w:szCs w:val="13"/>
        </w:rPr>
        <w:t>ÉTODOS DIAGNÓSTICOS</w:t>
      </w:r>
      <w:r>
        <w:rPr>
          <w:b/>
          <w:bCs/>
        </w:rPr>
        <w:t xml:space="preserve">: </w:t>
      </w:r>
      <w:r>
        <w:t>Casi todas las verrugas cutáneas y anogenitales se diagnostican por la inspección clínica. Para diagnosticar la papilomatosis de vías respiratorias se necesita endoscopia y biopsia. Las displasias cervicouterinas pueden detectarse por el estudio citológico de un frotis de Papanicolaou, y las muestras de biopsia de cualquier tejido pueden poseer características citohistológicas e infección por virus de papiloma humano.</w:t>
      </w:r>
    </w:p>
    <w:p w14:paraId="35A09B46" w14:textId="77777777" w:rsidR="00D03C17" w:rsidRDefault="00D03C17">
      <w:pPr>
        <w:pStyle w:val="BodyText"/>
        <w:ind w:firstLine="360"/>
      </w:pPr>
      <w:r>
        <w:t>Es muy difícil cultivar el virus de papiloma humano. El diagnóstico definitivo de la infección por tal partícula se basa en la detección de su ácido nucleico (DNA o RNA) o de la proteína de la cápside. El diagnóstico de HPV por el método de Papanicolaou no siempre guarda relación con la detección de DNA del virus en las células cervicouterinas. Se cuenta con métodos que detectan algunos tipos de DNA del virus en células obtenidas por raspado del cuello uterino y pueden ser útiles para la “selección” e identificación de mujeres con células escamosas atípicas de importancia no precisada, pero no de otros tipos de anormalidades citológicas. No se recomienda la detección de infecciones por HPV sin manifestaciones clínicas ni valorar verrugas anogenitales por métodos que identifiquen DNA o RNA del virus.</w:t>
      </w:r>
    </w:p>
    <w:p w14:paraId="6D7189B8" w14:textId="77777777" w:rsidR="00D03C17" w:rsidRDefault="00D03C17">
      <w:pPr>
        <w:pStyle w:val="BodyText"/>
        <w:ind w:firstLine="0"/>
      </w:pPr>
      <w:r>
        <w:rPr>
          <w:b/>
          <w:bCs/>
        </w:rPr>
        <w:t>T</w:t>
      </w:r>
      <w:r>
        <w:rPr>
          <w:b/>
          <w:bCs/>
          <w:sz w:val="13"/>
          <w:szCs w:val="13"/>
        </w:rPr>
        <w:t>RATAMIENTO</w:t>
      </w:r>
      <w:r>
        <w:rPr>
          <w:b/>
          <w:bCs/>
        </w:rPr>
        <w:t>:</w:t>
      </w:r>
      <w:r>
        <w:rPr>
          <w:b/>
          <w:bCs/>
        </w:rPr>
        <w:footnoteReference w:id="10"/>
      </w:r>
      <w:r>
        <w:rPr>
          <w:b/>
          <w:bCs/>
        </w:rPr>
        <w:t xml:space="preserve"> </w:t>
      </w:r>
      <w:r>
        <w:t>El tratamiento de la infección por HPV se dirige a eliminar las lesiones que son consecuencia de la infección, y no el propio virus. Casi todas las verrugas no genitales terminan por mostrar regresión espontánea, pero pueden persistir meses o años. No se cuenta con el tratamiento óptimo de las verrugas que no muestran resolución espontánea. Casi todos los métodos terapéuticos se basan en la destrucción química o física del epitelio infectado, como sería la aplicación de productos con ácido salicílico o la quimioterapia con nitrógeno líquido. La aplicación diaria de tretinoína ha sido útil en las verrugas planas abundantes, en niños. Hay que tener gran cuidado de no originar un defecto antiestético, con la terapia. Se han obtenido resultados variados con tratamientos farmacológicos, que incluyen la cimetidina, para verrugas refractarias.</w:t>
      </w:r>
    </w:p>
    <w:p w14:paraId="37BD4803" w14:textId="77777777" w:rsidR="00D03C17" w:rsidRDefault="00D03C17">
      <w:pPr>
        <w:pStyle w:val="BodyText"/>
        <w:ind w:firstLine="360"/>
      </w:pPr>
      <w:r>
        <w:t>No se cuenta con el tratamiento óptimo de las verrugas anogenitales. En algunos casos se ha sabido de regresión espontánea en término de meses. El tratamiento inicial más usado suele ser la aplicación de resina de podófilo o solución o gel podofilox aplicadas por el paciente (el ingrediente citotóxico principal de la resina de podófilo). No se han probado tales agentes en cuando a inocuidad y eficacia en niños, y su uso está contraindicado en embarazadas. Otras modalidades terapéuticas son crioterapia, aplicación de ácidos tricloroacético o bicloroacético, imiquimod (aplicado por el paciente), electrocauterio, cirugía por láser y ablación quirúrgica (véase cuadro 4-3). Muchas formas de tratamiento producen buenos resultados en la eliminación inicial de las verrugas, pero quizá no erradiquen la infección por HPV del tejido normal vecino; por tal motivo, es frecuente que surjan recidivas, que quizá se deban atribuir a reactivación del virus y no a una reinfección. Se utilizan innumerables compuestos no probados para combatir HPV, y los agentes que originan daño tisular local pueden ser dañinos.</w:t>
      </w:r>
    </w:p>
    <w:p w14:paraId="738071C7" w14:textId="77777777" w:rsidR="00D03C17" w:rsidRDefault="00D03C17">
      <w:pPr>
        <w:pStyle w:val="BodyText"/>
        <w:ind w:firstLine="360"/>
      </w:pPr>
      <w:r>
        <w:t>La infección por el virus del papiloma humano en el cuello uterino es común en jovencitas sexualmente activas y puede acompañarse de displasia epitelial. Al comenzar la actividad sexual de la mujer también se iniciará la detección citológica de células cervicouterinas; la presencia de verrugas anogenitales en la adolescente justifica dicha detección. Las adolescentes con la displasia mencionada deben ser atendidas por un médico que sea experto en el tratamiento de este problema.</w:t>
      </w:r>
    </w:p>
    <w:p w14:paraId="2199E591" w14:textId="77777777" w:rsidR="00D03C17" w:rsidRDefault="00D03C17">
      <w:pPr>
        <w:pStyle w:val="BodyText"/>
        <w:ind w:firstLine="360"/>
        <w:sectPr w:rsidR="00D03C17" w:rsidSect="00D03C17">
          <w:headerReference w:type="even" r:id="rId105"/>
          <w:headerReference w:type="default" r:id="rId106"/>
          <w:footerReference w:type="even" r:id="rId107"/>
          <w:footerReference w:type="default" r:id="rId108"/>
          <w:footnotePr>
            <w:numFmt w:val="chicago"/>
          </w:footnotePr>
          <w:pgSz w:w="8501" w:h="13022"/>
          <w:pgMar w:top="704" w:right="812" w:bottom="457" w:left="766" w:header="0" w:footer="3" w:gutter="0"/>
          <w:pgNumType w:start="520"/>
          <w:cols w:space="720"/>
          <w:noEndnote/>
          <w:docGrid w:linePitch="360"/>
          <w15:footnoteColumns w:val="1"/>
        </w:sectPr>
      </w:pPr>
      <w:r>
        <w:t>La papilomatosis de vías respiratorias es difícil de tratar, por lo que será un otorrinolaringólogo quien realice tal tarea. La recidiva local es frecuente y a veces se necesita repetir métodos quirúrgicos para su eliminación. Una complicación rara es la extensión o diseminación de los papilomas de vías respiratorias desde la laringe, a tráquea, bronquios o parénquima pulmonar, y originarán a veces incremento de la morbilidad y la mortalidad. Se han utilizado como tratamientos en investigación el interferón intralesional, el indol-3-carbinol, la terapia fotodinámica y el cidofovir intralesional que pudieran brindar algún beneficio en personas con recidivas</w:t>
      </w:r>
    </w:p>
    <w:p w14:paraId="2808B256" w14:textId="77777777" w:rsidR="00D03C17" w:rsidRDefault="00D03C17">
      <w:pPr>
        <w:pStyle w:val="BodyText"/>
        <w:ind w:firstLine="0"/>
      </w:pPr>
      <w:r>
        <w:t>frecuentes.</w:t>
      </w:r>
    </w:p>
    <w:p w14:paraId="70AE4BBB" w14:textId="77777777" w:rsidR="00D03C17" w:rsidRDefault="00D03C17">
      <w:pPr>
        <w:pStyle w:val="BodyText"/>
        <w:ind w:firstLine="360"/>
      </w:pPr>
      <w:r>
        <w:t>Las verrugas en la boca se pueden eliminar por crioterapia, electrocauterio o ablación quirúrgica.</w:t>
      </w:r>
    </w:p>
    <w:p w14:paraId="699C3181" w14:textId="77777777" w:rsidR="00D03C17" w:rsidRDefault="00D03C17">
      <w:pPr>
        <w:pStyle w:val="BodyText"/>
        <w:spacing w:line="262" w:lineRule="auto"/>
        <w:ind w:firstLine="0"/>
      </w:pPr>
      <w:r>
        <w:rPr>
          <w:b/>
          <w:bCs/>
          <w:smallCaps/>
          <w:sz w:val="20"/>
          <w:szCs w:val="20"/>
        </w:rPr>
        <w:t>A</w:t>
      </w:r>
      <w:r>
        <w:rPr>
          <w:b/>
          <w:bCs/>
          <w:smallCaps/>
          <w:sz w:val="16"/>
          <w:szCs w:val="16"/>
        </w:rPr>
        <w:t>islamiento del paciente hospitalizado</w:t>
      </w:r>
      <w:r>
        <w:rPr>
          <w:b/>
          <w:bCs/>
          <w:smallCaps/>
          <w:sz w:val="20"/>
          <w:szCs w:val="20"/>
        </w:rPr>
        <w:t>:</w:t>
      </w:r>
      <w:r>
        <w:t xml:space="preserve"> Se recomienda seguir las precauciones estándar.</w:t>
      </w:r>
    </w:p>
    <w:p w14:paraId="28240359" w14:textId="77777777" w:rsidR="00D03C17" w:rsidRDefault="00D03C17">
      <w:pPr>
        <w:pStyle w:val="BodyText"/>
        <w:ind w:firstLine="0"/>
      </w:pPr>
      <w:r>
        <w:rPr>
          <w:b/>
          <w:bCs/>
        </w:rPr>
        <w:t>M</w:t>
      </w:r>
      <w:r>
        <w:rPr>
          <w:b/>
          <w:bCs/>
          <w:sz w:val="13"/>
          <w:szCs w:val="13"/>
        </w:rPr>
        <w:t xml:space="preserve">EDIDAS </w:t>
      </w:r>
      <w:r>
        <w:rPr>
          <w:b/>
          <w:bCs/>
          <w:smallCaps/>
          <w:sz w:val="16"/>
          <w:szCs w:val="16"/>
        </w:rPr>
        <w:t>preventivas</w:t>
      </w:r>
      <w:r>
        <w:rPr>
          <w:b/>
          <w:bCs/>
          <w:smallCaps/>
          <w:sz w:val="20"/>
          <w:szCs w:val="20"/>
        </w:rPr>
        <w:t>:</w:t>
      </w:r>
      <w:r>
        <w:t xml:space="preserve"> Es imperativo notificar a la institución local apropiada la sospecha de abuso de un menor si en él se detectan verrugas anogenitales y ha rebasado el periodo de la lactancia pero es prepúber.</w:t>
      </w:r>
    </w:p>
    <w:p w14:paraId="08A12CE0" w14:textId="77777777" w:rsidR="00D03C17" w:rsidRDefault="00D03C17">
      <w:pPr>
        <w:pStyle w:val="BodyText"/>
        <w:ind w:firstLine="360"/>
      </w:pPr>
      <w:r>
        <w:t>Los condones de látex, si se utilizan en forma constante y precisa, disminuyen el peligro de infección anogenital por HPV cuando las áreas infectadas quedan cubiertas o protegidas por él. Además, el uso del condón se ha vinculado con disminución del peligro de verrugas genitales y de cáncer cervicouterino. La infección por HPV puede persistir toda la vida, pero se desconoce el grado y la duración de la contagiosidad en pacientes con el antecedente de infección genital.</w:t>
      </w:r>
    </w:p>
    <w:p w14:paraId="2A43420D" w14:textId="77777777" w:rsidR="00D03C17" w:rsidRDefault="00D03C17">
      <w:pPr>
        <w:pStyle w:val="BodyText"/>
        <w:ind w:firstLine="360"/>
      </w:pPr>
      <w:r>
        <w:t>No es necesario examinar a los compañeros sexuales para tratar verrugas anogenitales porque quizá sea mínima la participación de la reinfección, y el tratamiento no disminuirá la transmisión quizá porque no es curativo. Sin embargo, los compañeros mencionados pueden beneficiarse del examen en busca de verrugas anogenitales u otras enfermedades de transmisión sexual. Es importante señalar a las compañeras sexuales de pacientes de verrugas genitales que en toda mujer sexualmente activa se recomienda la detección del cáncer cervicouterino por métodos citológicos.</w:t>
      </w:r>
    </w:p>
    <w:p w14:paraId="7149BACC" w14:textId="77777777" w:rsidR="00D03C17" w:rsidRDefault="00D03C17">
      <w:pPr>
        <w:pStyle w:val="BodyText"/>
        <w:ind w:firstLine="360"/>
      </w:pPr>
      <w:r>
        <w:t>Se piensa que la papilomatosis de vías respiratorias suele contagiarse al pasar el producto por el conducto del parto, pero el problema se ha observado incluso en pequeños nacidos por cesárea. Se desconoce la capacidad preventiva que tiene dicho método operatorio, y por ello no debe realizarse para evitar la transmisión de HPV al neonato.</w:t>
      </w:r>
    </w:p>
    <w:p w14:paraId="3490084A" w14:textId="77777777" w:rsidR="00D03C17" w:rsidRDefault="00D03C17">
      <w:pPr>
        <w:pStyle w:val="BodyText"/>
        <w:spacing w:after="100" w:line="276" w:lineRule="auto"/>
        <w:ind w:firstLine="360"/>
      </w:pPr>
      <w:r>
        <w:t xml:space="preserve">Si se desea consultar el informe de un grupo de expertos en prevención de infección y secuelas por HPV genital, consúltese la página Web de los </w:t>
      </w:r>
      <w:r>
        <w:rPr>
          <w:rFonts w:ascii="Times New Roman" w:eastAsia="Times New Roman" w:hAnsi="Times New Roman" w:cs="Times New Roman"/>
          <w:i/>
          <w:iCs/>
          <w:sz w:val="16"/>
          <w:szCs w:val="16"/>
        </w:rPr>
        <w:t xml:space="preserve">Centers for Disease Control and Prevention </w:t>
      </w:r>
      <w:r>
        <w:t>(</w:t>
      </w:r>
      <w:hyperlink r:id="rId109" w:history="1">
        <w:r>
          <w:t>www.cdc.gov/nchstp/dstd/Reports_Publications/</w:t>
        </w:r>
      </w:hyperlink>
      <w:r>
        <w:t xml:space="preserve"> 99HPVReport.htm). Respecto a mayor información sobre HPV, véase la página Web de la American Social Health Association (</w:t>
      </w:r>
      <w:hyperlink r:id="rId110" w:history="1">
        <w:r>
          <w:t>www.ashastd.org/stdfaqs/hpv.html</w:t>
        </w:r>
      </w:hyperlink>
      <w:r>
        <w:t>).</w:t>
      </w:r>
    </w:p>
    <w:p w14:paraId="149AD32E" w14:textId="77777777" w:rsidR="00D03C17" w:rsidRDefault="00D03C17">
      <w:pPr>
        <w:pStyle w:val="Bodytext70"/>
        <w:spacing w:after="0"/>
      </w:pPr>
      <w:r>
        <w:t>Paracoccidioidomicosis</w:t>
      </w:r>
    </w:p>
    <w:p w14:paraId="12A44C74" w14:textId="77777777" w:rsidR="00D03C17" w:rsidRDefault="00D03C17">
      <w:pPr>
        <w:pStyle w:val="Other0"/>
        <w:spacing w:line="252" w:lineRule="auto"/>
        <w:ind w:firstLine="0"/>
        <w:rPr>
          <w:sz w:val="20"/>
          <w:szCs w:val="20"/>
        </w:rPr>
      </w:pPr>
      <w:r>
        <w:rPr>
          <w:rFonts w:ascii="Arial" w:eastAsia="Arial" w:hAnsi="Arial" w:cs="Arial"/>
          <w:b/>
          <w:bCs/>
          <w:w w:val="70"/>
          <w:sz w:val="20"/>
          <w:szCs w:val="20"/>
        </w:rPr>
        <w:t>(Blastomicosis sudamericana)</w:t>
      </w:r>
    </w:p>
    <w:p w14:paraId="4415AF38" w14:textId="77777777" w:rsidR="00D03C17" w:rsidRDefault="00D03C17">
      <w:pPr>
        <w:pStyle w:val="BodyText"/>
        <w:ind w:firstLine="0"/>
      </w:pPr>
      <w:r>
        <w:rPr>
          <w:b/>
          <w:bCs/>
        </w:rPr>
        <w:t>M</w:t>
      </w:r>
      <w:r>
        <w:rPr>
          <w:b/>
          <w:bCs/>
          <w:sz w:val="13"/>
          <w:szCs w:val="13"/>
        </w:rPr>
        <w:t xml:space="preserve">ANIFESTACIONES </w:t>
      </w:r>
      <w:r>
        <w:rPr>
          <w:b/>
          <w:bCs/>
          <w:smallCaps/>
          <w:sz w:val="16"/>
          <w:szCs w:val="16"/>
        </w:rPr>
        <w:t>clínicas</w:t>
      </w:r>
      <w:r>
        <w:rPr>
          <w:b/>
          <w:bCs/>
          <w:smallCaps/>
          <w:sz w:val="20"/>
          <w:szCs w:val="20"/>
        </w:rPr>
        <w:t>:</w:t>
      </w:r>
      <w:r>
        <w:t xml:space="preserve"> La enfermedad afecta predominantemente a adultos y es rara en niños. El sitio de infección primaria son los pulmones. Entre las variantes clínicas están la neumonía aguda o crónica y la enfermedad diseminada. En los niños es frecuente la diseminación a la piel, membranas mucosas, ganglios linfáticos, hígado, bazo, huesos, sistema nervioso central, vías gastrointestinales y suprarrenales. Las lesiones granulomatosas crónicas de las mucosas, especialmente de la boca y el paladar, son signos típicos pero raros en adultos y se observan con mayor frecuencia en niños, acompañados de ganglios agrandados y con drenaje. La infección puede estar latente durante años antes de originar enfermedad clínica.</w:t>
      </w:r>
    </w:p>
    <w:p w14:paraId="0EEFD036" w14:textId="77777777" w:rsidR="00D03C17" w:rsidRDefault="00D03C17">
      <w:pPr>
        <w:pStyle w:val="BodyText"/>
        <w:ind w:firstLine="0"/>
      </w:pPr>
      <w:r>
        <w:rPr>
          <w:b/>
          <w:bCs/>
        </w:rPr>
        <w:t>C</w:t>
      </w:r>
      <w:r>
        <w:rPr>
          <w:b/>
          <w:bCs/>
          <w:sz w:val="13"/>
          <w:szCs w:val="13"/>
        </w:rPr>
        <w:t>AUSAS</w:t>
      </w:r>
      <w:r>
        <w:rPr>
          <w:b/>
          <w:bCs/>
        </w:rPr>
        <w:t xml:space="preserve">: </w:t>
      </w:r>
      <w:r>
        <w:rPr>
          <w:rFonts w:ascii="Times New Roman" w:eastAsia="Times New Roman" w:hAnsi="Times New Roman" w:cs="Times New Roman"/>
          <w:i/>
          <w:iCs/>
          <w:sz w:val="16"/>
          <w:szCs w:val="16"/>
        </w:rPr>
        <w:t>Paracoccidioides brasiliensis</w:t>
      </w:r>
      <w:r>
        <w:t xml:space="preserve"> es un hongo dimorfo que tiene dos fases, una de levadura y otra de micelio.</w:t>
      </w:r>
    </w:p>
    <w:p w14:paraId="21136B6E" w14:textId="77777777" w:rsidR="00D03C17" w:rsidRDefault="00D03C17">
      <w:pPr>
        <w:pStyle w:val="BodyText"/>
        <w:ind w:firstLine="0"/>
        <w:sectPr w:rsidR="00D03C17" w:rsidSect="00D03C17">
          <w:headerReference w:type="even" r:id="rId111"/>
          <w:headerReference w:type="default" r:id="rId112"/>
          <w:footerReference w:type="even" r:id="rId113"/>
          <w:footerReference w:type="default" r:id="rId114"/>
          <w:footnotePr>
            <w:numFmt w:val="chicago"/>
          </w:footnotePr>
          <w:type w:val="continuous"/>
          <w:pgSz w:w="8501" w:h="13022"/>
          <w:pgMar w:top="704" w:right="812" w:bottom="457" w:left="766" w:header="0" w:footer="29" w:gutter="0"/>
          <w:cols w:space="720"/>
          <w:noEndnote/>
          <w:docGrid w:linePitch="360"/>
          <w15:footnoteColumns w:val="1"/>
        </w:sectPr>
      </w:pPr>
      <w:r>
        <w:rPr>
          <w:b/>
          <w:bCs/>
        </w:rPr>
        <w:t>A</w:t>
      </w:r>
      <w:r>
        <w:rPr>
          <w:b/>
          <w:bCs/>
          <w:sz w:val="13"/>
          <w:szCs w:val="13"/>
        </w:rPr>
        <w:t>SPECTOS EPIDEMIOLÓGICOS</w:t>
      </w:r>
      <w:r>
        <w:rPr>
          <w:b/>
          <w:bCs/>
        </w:rPr>
        <w:t xml:space="preserve">: </w:t>
      </w:r>
      <w:r>
        <w:t xml:space="preserve">La infección aparece más bien en América del Sur, en que es endémica. Se han notificado casos en América Central y en México. Se </w:t>
      </w:r>
    </w:p>
    <w:p w14:paraId="010D1D34" w14:textId="77777777" w:rsidR="00D03C17" w:rsidRDefault="00D03C17">
      <w:pPr>
        <w:pStyle w:val="BodyText"/>
        <w:ind w:firstLine="0"/>
      </w:pPr>
      <w:r>
        <w:t>frecuentes.</w:t>
      </w:r>
    </w:p>
    <w:p w14:paraId="6F25F6E1" w14:textId="77777777" w:rsidR="00D03C17" w:rsidRDefault="00D03C17">
      <w:pPr>
        <w:pStyle w:val="BodyText"/>
        <w:ind w:firstLine="360"/>
      </w:pPr>
      <w:r>
        <w:t>Las verrugas en la boca se pueden eliminar por crioterapia, electrocauterio o ablación quirúrgica.</w:t>
      </w:r>
    </w:p>
    <w:p w14:paraId="1E7D0F47" w14:textId="77777777" w:rsidR="00D03C17" w:rsidRDefault="00D03C17">
      <w:pPr>
        <w:pStyle w:val="BodyText"/>
        <w:spacing w:line="262" w:lineRule="auto"/>
        <w:ind w:firstLine="0"/>
      </w:pPr>
      <w:r>
        <w:rPr>
          <w:b/>
          <w:bCs/>
          <w:smallCaps/>
          <w:sz w:val="20"/>
          <w:szCs w:val="20"/>
        </w:rPr>
        <w:t>A</w:t>
      </w:r>
      <w:r>
        <w:rPr>
          <w:b/>
          <w:bCs/>
          <w:smallCaps/>
          <w:sz w:val="16"/>
          <w:szCs w:val="16"/>
        </w:rPr>
        <w:t>islamiento del paciente hospitalizado</w:t>
      </w:r>
      <w:r>
        <w:rPr>
          <w:b/>
          <w:bCs/>
          <w:smallCaps/>
          <w:sz w:val="20"/>
          <w:szCs w:val="20"/>
        </w:rPr>
        <w:t>:</w:t>
      </w:r>
      <w:r>
        <w:t xml:space="preserve"> Se recomienda seguir las precauciones estándar.</w:t>
      </w:r>
    </w:p>
    <w:p w14:paraId="3EBFC746" w14:textId="77777777" w:rsidR="00D03C17" w:rsidRDefault="00D03C17">
      <w:pPr>
        <w:pStyle w:val="BodyText"/>
        <w:ind w:firstLine="0"/>
      </w:pPr>
      <w:r>
        <w:rPr>
          <w:b/>
          <w:bCs/>
        </w:rPr>
        <w:t>M</w:t>
      </w:r>
      <w:r>
        <w:rPr>
          <w:b/>
          <w:bCs/>
          <w:sz w:val="13"/>
          <w:szCs w:val="13"/>
        </w:rPr>
        <w:t xml:space="preserve">EDIDAS </w:t>
      </w:r>
      <w:r>
        <w:rPr>
          <w:b/>
          <w:bCs/>
          <w:smallCaps/>
          <w:sz w:val="16"/>
          <w:szCs w:val="16"/>
        </w:rPr>
        <w:t>preventivas</w:t>
      </w:r>
      <w:r>
        <w:rPr>
          <w:b/>
          <w:bCs/>
          <w:smallCaps/>
          <w:sz w:val="20"/>
          <w:szCs w:val="20"/>
        </w:rPr>
        <w:t>:</w:t>
      </w:r>
      <w:r>
        <w:t xml:space="preserve"> Es imperativo notificar a la institución local apropiada la sospecha de abuso de un menor si en él se detectan verrugas anogenitales y ha rebasado el periodo de la lactancia pero es prepúber.</w:t>
      </w:r>
    </w:p>
    <w:p w14:paraId="5E4C8FE9" w14:textId="77777777" w:rsidR="00D03C17" w:rsidRDefault="00D03C17">
      <w:pPr>
        <w:pStyle w:val="BodyText"/>
        <w:ind w:firstLine="360"/>
      </w:pPr>
      <w:r>
        <w:t>Los condones de látex, si se utilizan en forma constante y precisa, disminuyen el peligro de infección anogenital por HPV cuando las áreas infectadas quedan cubiertas o protegidas por él. Además, el uso del condón se ha vinculado con disminución del peligro de verrugas genitales y de cáncer cervicouterino. La infección por HPV puede persistir toda la vida, pero se desconoce el grado y la duración de la contagiosidad en pacientes con el antecedente de infección genital.</w:t>
      </w:r>
    </w:p>
    <w:p w14:paraId="3A39C26C" w14:textId="77777777" w:rsidR="00D03C17" w:rsidRDefault="00D03C17">
      <w:pPr>
        <w:pStyle w:val="BodyText"/>
        <w:ind w:firstLine="360"/>
      </w:pPr>
      <w:r>
        <w:t>No es necesario examinar a los compañeros sexuales para tratar verrugas anogenitales porque quizá sea mínima la participación de la reinfección, y el tratamiento no disminuirá la transmisión quizá porque no es curativo. Sin embargo, los compañeros mencionados pueden beneficiarse del examen en busca de verrugas anogenitales u otras enfermedades de transmisión sexual. Es importante señalar a las compañeras sexuales de pacientes de verrugas genitales que en toda mujer sexualmente activa se recomienda la detección del cáncer cervicouterino por métodos citológicos.</w:t>
      </w:r>
    </w:p>
    <w:p w14:paraId="54E48ED6" w14:textId="77777777" w:rsidR="00D03C17" w:rsidRDefault="00D03C17">
      <w:pPr>
        <w:pStyle w:val="BodyText"/>
        <w:ind w:firstLine="360"/>
      </w:pPr>
      <w:r>
        <w:t>Se piensa que la papilomatosis de vías respiratorias suele contagiarse al pasar el producto por el conducto del parto, pero el problema se ha observado incluso en pequeños nacidos por cesárea. Se desconoce la capacidad preventiva que tiene dicho método operatorio, y por ello no debe realizarse para evitar la transmisión de HPV al neonato.</w:t>
      </w:r>
    </w:p>
    <w:p w14:paraId="5F488D45" w14:textId="77777777" w:rsidR="00D03C17" w:rsidRDefault="00D03C17">
      <w:pPr>
        <w:pStyle w:val="BodyText"/>
        <w:spacing w:after="100" w:line="276" w:lineRule="auto"/>
        <w:ind w:firstLine="360"/>
      </w:pPr>
      <w:r>
        <w:t xml:space="preserve">Si se desea consultar el informe de un grupo de expertos en prevención de infección y secuelas por HPV genital, consúltese la página Web de los </w:t>
      </w:r>
      <w:r>
        <w:rPr>
          <w:rFonts w:ascii="Times New Roman" w:eastAsia="Times New Roman" w:hAnsi="Times New Roman" w:cs="Times New Roman"/>
          <w:i/>
          <w:iCs/>
          <w:sz w:val="16"/>
          <w:szCs w:val="16"/>
        </w:rPr>
        <w:t xml:space="preserve">Centers for Disease Control and Prevention </w:t>
      </w:r>
      <w:r>
        <w:t>(</w:t>
      </w:r>
      <w:hyperlink r:id="rId115" w:history="1">
        <w:r>
          <w:t>www.cdc.gov/nchstp/dstd/Reports_Publications/</w:t>
        </w:r>
      </w:hyperlink>
      <w:r>
        <w:t xml:space="preserve"> 99HPVReport.htm). Respecto a mayor información sobre HPV, véase la página Web de la American Social Health Association (</w:t>
      </w:r>
      <w:hyperlink r:id="rId116" w:history="1">
        <w:r>
          <w:t>www.ashastd.org/stdfaqs/hpv.html</w:t>
        </w:r>
      </w:hyperlink>
      <w:r>
        <w:t>).</w:t>
      </w:r>
    </w:p>
    <w:p w14:paraId="7D606E9F" w14:textId="77777777" w:rsidR="00D03C17" w:rsidRDefault="00D03C17">
      <w:pPr>
        <w:pStyle w:val="Bodytext70"/>
        <w:spacing w:after="0"/>
      </w:pPr>
      <w:r>
        <w:t>Paracoccidioidomicosis</w:t>
      </w:r>
    </w:p>
    <w:p w14:paraId="7780D2CD" w14:textId="77777777" w:rsidR="00D03C17" w:rsidRDefault="00D03C17">
      <w:pPr>
        <w:pStyle w:val="Other0"/>
        <w:spacing w:line="252" w:lineRule="auto"/>
        <w:ind w:firstLine="0"/>
        <w:rPr>
          <w:sz w:val="20"/>
          <w:szCs w:val="20"/>
        </w:rPr>
      </w:pPr>
      <w:r>
        <w:rPr>
          <w:rFonts w:ascii="Arial" w:eastAsia="Arial" w:hAnsi="Arial" w:cs="Arial"/>
          <w:b/>
          <w:bCs/>
          <w:w w:val="70"/>
          <w:sz w:val="20"/>
          <w:szCs w:val="20"/>
        </w:rPr>
        <w:t>(Blastomicosis sudamericana)</w:t>
      </w:r>
    </w:p>
    <w:p w14:paraId="24240B38" w14:textId="77777777" w:rsidR="00D03C17" w:rsidRDefault="00D03C17">
      <w:pPr>
        <w:pStyle w:val="BodyText"/>
        <w:ind w:firstLine="0"/>
      </w:pPr>
      <w:r>
        <w:rPr>
          <w:b/>
          <w:bCs/>
        </w:rPr>
        <w:t>M</w:t>
      </w:r>
      <w:r>
        <w:rPr>
          <w:b/>
          <w:bCs/>
          <w:sz w:val="13"/>
          <w:szCs w:val="13"/>
        </w:rPr>
        <w:t xml:space="preserve">ANIFESTACIONES </w:t>
      </w:r>
      <w:r>
        <w:rPr>
          <w:b/>
          <w:bCs/>
          <w:smallCaps/>
          <w:sz w:val="16"/>
          <w:szCs w:val="16"/>
        </w:rPr>
        <w:t>clínicas</w:t>
      </w:r>
      <w:r>
        <w:rPr>
          <w:b/>
          <w:bCs/>
          <w:smallCaps/>
          <w:sz w:val="20"/>
          <w:szCs w:val="20"/>
        </w:rPr>
        <w:t>:</w:t>
      </w:r>
      <w:r>
        <w:t xml:space="preserve"> La enfermedad afecta predominantemente a adultos y es rara en niños. El sitio de infección primaria son los pulmones. Entre las variantes clínicas están la neumonía aguda o crónica y la enfermedad diseminada. En los niños es frecuente la diseminación a la piel, membranas mucosas, ganglios linfáticos, hígado, bazo, huesos, sistema nervioso central, vías gastrointestinales y suprarrenales. Las lesiones granulomatosas crónicas de las mucosas, especialmente de la boca y el paladar, son signos típicos pero raros en adultos y se observan con mayor frecuencia en niños, acompañados de ganglios agrandados y con drenaje. La infección puede estar latente durante años antes de originar enfermedad clínica.</w:t>
      </w:r>
    </w:p>
    <w:p w14:paraId="15CF29DB" w14:textId="77777777" w:rsidR="00D03C17" w:rsidRDefault="00D03C17">
      <w:pPr>
        <w:pStyle w:val="BodyText"/>
        <w:ind w:firstLine="0"/>
      </w:pPr>
      <w:r>
        <w:rPr>
          <w:b/>
          <w:bCs/>
        </w:rPr>
        <w:t>C</w:t>
      </w:r>
      <w:r>
        <w:rPr>
          <w:b/>
          <w:bCs/>
          <w:sz w:val="13"/>
          <w:szCs w:val="13"/>
        </w:rPr>
        <w:t>AUSAS</w:t>
      </w:r>
      <w:r>
        <w:rPr>
          <w:b/>
          <w:bCs/>
        </w:rPr>
        <w:t xml:space="preserve">: </w:t>
      </w:r>
      <w:r>
        <w:rPr>
          <w:rFonts w:ascii="Times New Roman" w:eastAsia="Times New Roman" w:hAnsi="Times New Roman" w:cs="Times New Roman"/>
          <w:i/>
          <w:iCs/>
          <w:sz w:val="16"/>
          <w:szCs w:val="16"/>
        </w:rPr>
        <w:t>Paracoccidioides brasiliensis</w:t>
      </w:r>
      <w:r>
        <w:t xml:space="preserve"> es un hongo dimorfo que tiene dos fases, una de levadura y otra de micelio.</w:t>
      </w:r>
    </w:p>
    <w:p w14:paraId="4785671D" w14:textId="77777777" w:rsidR="00D03C17" w:rsidRDefault="00D03C17">
      <w:pPr>
        <w:pStyle w:val="BodyText"/>
        <w:ind w:firstLine="0"/>
      </w:pPr>
      <w:r>
        <w:rPr>
          <w:b/>
          <w:bCs/>
        </w:rPr>
        <w:t>A</w:t>
      </w:r>
      <w:r>
        <w:rPr>
          <w:b/>
          <w:bCs/>
          <w:sz w:val="13"/>
          <w:szCs w:val="13"/>
        </w:rPr>
        <w:t>SPECTOS EPIDEMIOLÓGICOS</w:t>
      </w:r>
      <w:r>
        <w:rPr>
          <w:b/>
          <w:bCs/>
        </w:rPr>
        <w:t xml:space="preserve">: </w:t>
      </w:r>
      <w:r>
        <w:t>La infección aparece más bien en América del Sur, en que es endémica. Se han notificado casos en América Central y en México. Se desconoce el reservorio natural aunque se sospecha que es la tierra. Tampoco se conoce el mecanismo de transmisión y se sabe que no se produce de una persona a otra.</w:t>
      </w:r>
    </w:p>
    <w:p w14:paraId="63D191FC" w14:textId="77777777" w:rsidR="00D03C17" w:rsidRDefault="00D03C17">
      <w:pPr>
        <w:pStyle w:val="BodyText"/>
        <w:ind w:firstLine="360"/>
      </w:pPr>
      <w:r>
        <w:t xml:space="preserve">El </w:t>
      </w:r>
      <w:r>
        <w:rPr>
          <w:b/>
          <w:bCs/>
        </w:rPr>
        <w:t xml:space="preserve">periodo de incubación </w:t>
      </w:r>
      <w:r>
        <w:t xml:space="preserve">es muy variable y va de un mes a varios años. </w:t>
      </w:r>
      <w:r>
        <w:rPr>
          <w:b/>
          <w:bCs/>
        </w:rPr>
        <w:t>M</w:t>
      </w:r>
      <w:r>
        <w:rPr>
          <w:b/>
          <w:bCs/>
          <w:sz w:val="13"/>
          <w:szCs w:val="13"/>
        </w:rPr>
        <w:t>ÉTODOS DIAGNÓSTICOS</w:t>
      </w:r>
      <w:r>
        <w:rPr>
          <w:b/>
          <w:bCs/>
        </w:rPr>
        <w:t xml:space="preserve">: </w:t>
      </w:r>
      <w:r>
        <w:t>En los preparados de muestras de esputo, de líquido de lavado alveolar, material raspado de úlceras y otro obtenido de lesiones o muestras tisulares para biopsia, mezclados con hidróxido de potasio al 10%, se observan células redondas con múltiples yemas y una imagen característica de timón de piloto. El microorganismo se cultiva fácilmente en casi todos los medios enriquecidos, incluidos agar-sangre a 37°C y agar-dextrosa de Sabouraud (con cicloheximida) a 24°C. Son útiles procedimientos como la fijación de complemento, inmunoanálisis enzimáticos e inmunodifusión para detectar anticuerpos específicos. Las pruebas cutáneas no son fidedignas para el diagnóstico.</w:t>
      </w:r>
    </w:p>
    <w:p w14:paraId="79DA5133" w14:textId="77777777" w:rsidR="00D03C17" w:rsidRDefault="00D03C17">
      <w:pPr>
        <w:pStyle w:val="BodyText"/>
        <w:ind w:firstLine="0"/>
      </w:pPr>
      <w:r>
        <w:rPr>
          <w:b/>
          <w:bCs/>
        </w:rPr>
        <w:t>T</w:t>
      </w:r>
      <w:r>
        <w:rPr>
          <w:b/>
          <w:bCs/>
          <w:sz w:val="13"/>
          <w:szCs w:val="13"/>
        </w:rPr>
        <w:t>RATAMIENTO</w:t>
      </w:r>
      <w:r>
        <w:rPr>
          <w:b/>
          <w:bCs/>
        </w:rPr>
        <w:t xml:space="preserve">: </w:t>
      </w:r>
      <w:r>
        <w:t xml:space="preserve">Muchos expertos prefieren anfotericina B para tratar personas con paracoccidioidomicosis grave, pero tal fármaco no es curativo (véase “Fármacos contra micosis invasoras y otras de gravedad en niños”, sección 4). El itraconazol es el medicamento contra las infecciones menos graves o localizadas. En el caso de adultos, casi todos los expertos recomiendan el itraconazol y no el ketoconazol; el primero origina menos efectos adversos y tiene una cifra menor de recaídas. No se ha definido la inocuidad y la eficacia del itraconazol para tratar niños con paracoccidioidomicosis. Sin embargo, los menores tratados deben recibir un ciclo de sostén con itraconazol (4 a 10 mg/kg/día; dosis máxima, 200 mg, dos veces al día) o una sulfonamida (trimetoprim-sulfametoxazol [trimetoprim, 8 a 10 mg/kg, al día]). Se necesita que el tratamiento dure por lo menos seis meses para llevar al mínimo las cifras de recaídas. </w:t>
      </w:r>
      <w:r>
        <w:rPr>
          <w:b/>
          <w:bCs/>
        </w:rPr>
        <w:t>A</w:t>
      </w:r>
      <w:r>
        <w:rPr>
          <w:b/>
          <w:bCs/>
          <w:sz w:val="13"/>
          <w:szCs w:val="13"/>
        </w:rPr>
        <w:t>ISLAMIENTO DEL PACIENTE HOSPITALIZADO</w:t>
      </w:r>
      <w:r>
        <w:rPr>
          <w:b/>
          <w:bCs/>
        </w:rPr>
        <w:t xml:space="preserve">: </w:t>
      </w:r>
      <w:r>
        <w:t>Se recomienda seguir las precauciones estándar.</w:t>
      </w:r>
    </w:p>
    <w:p w14:paraId="476A1DDE" w14:textId="77777777" w:rsidR="00D03C17" w:rsidRDefault="00D03C17">
      <w:pPr>
        <w:pStyle w:val="Other0"/>
        <w:spacing w:after="120" w:line="240" w:lineRule="auto"/>
        <w:ind w:firstLine="0"/>
      </w:pPr>
      <w:r>
        <w:rPr>
          <w:b/>
          <w:bCs/>
        </w:rPr>
        <w:t>M</w:t>
      </w:r>
      <w:r>
        <w:rPr>
          <w:b/>
          <w:bCs/>
          <w:sz w:val="13"/>
          <w:szCs w:val="13"/>
        </w:rPr>
        <w:t>EDIDAS DE CONTROL</w:t>
      </w:r>
      <w:r>
        <w:rPr>
          <w:b/>
          <w:bCs/>
        </w:rPr>
        <w:t xml:space="preserve">: </w:t>
      </w:r>
      <w:r>
        <w:t>Ninguna.</w:t>
      </w:r>
    </w:p>
    <w:p w14:paraId="4D08AFBB" w14:textId="77777777" w:rsidR="00D03C17" w:rsidRDefault="00D03C17">
      <w:pPr>
        <w:pStyle w:val="Bodytext70"/>
        <w:spacing w:after="0"/>
      </w:pPr>
      <w:r>
        <w:t>Paragonimiasis</w:t>
      </w:r>
    </w:p>
    <w:p w14:paraId="614A69DB" w14:textId="77777777" w:rsidR="00D03C17" w:rsidRDefault="00D03C17">
      <w:pPr>
        <w:pStyle w:val="BodyText"/>
        <w:ind w:firstLine="0"/>
      </w:pPr>
      <w:r>
        <w:rPr>
          <w:b/>
          <w:bCs/>
        </w:rPr>
        <w:t>M</w:t>
      </w:r>
      <w:r>
        <w:rPr>
          <w:b/>
          <w:bCs/>
          <w:sz w:val="13"/>
          <w:szCs w:val="13"/>
        </w:rPr>
        <w:t>ANIFESTACIONES CLÍNICAS</w:t>
      </w:r>
      <w:r>
        <w:rPr>
          <w:b/>
          <w:bCs/>
        </w:rPr>
        <w:t xml:space="preserve">: </w:t>
      </w:r>
      <w:r>
        <w:t xml:space="preserve">La enfermedad tiene comienzo gradual y una evolución crónica. Las dos formas principales de ella son: 1) la paragonimiasis clásica que afecta los pulmones y 2) la forma no clásica que origina el síndrome de larva migrans. En las infecciones clásicas el ataque de pulmones se acompaña de tos y disnea crónica, pero probablemente casi todas las infecciones no son manifiestas o generan síntomas leves. Las infestaciones intensas ocasionan paroxismos de tos que suelen expulsar esputo sanguinolento y pardo por la presencia de huevecillos de la especie de </w:t>
      </w:r>
      <w:r>
        <w:rPr>
          <w:rFonts w:ascii="Times New Roman" w:eastAsia="Times New Roman" w:hAnsi="Times New Roman" w:cs="Times New Roman"/>
          <w:i/>
          <w:iCs/>
          <w:sz w:val="16"/>
          <w:szCs w:val="16"/>
        </w:rPr>
        <w:t>Paragonimus</w:t>
      </w:r>
      <w:r>
        <w:rPr>
          <w:i/>
          <w:iCs/>
        </w:rPr>
        <w:t xml:space="preserve">. </w:t>
      </w:r>
      <w:r>
        <w:t>La hemoptisis puede ser grave. A veces aparecen derrame pleural, neumotórax, bronquiectasia y fibrosis pulmonar. Las manifestaciones extrapulmonares también incluyen la cavidad abdominal, la piel y pocas veces, el sistema nervioso central, en el cual surgen meningoencefalitis y convulsiones atribuibles a la invasión del encéfalo por duelas adultas. Los síntomas tienden a ceder después de cinco años, pero a veces persisten incluso por 20 años.</w:t>
      </w:r>
    </w:p>
    <w:p w14:paraId="7ECBD6FD" w14:textId="77777777" w:rsidR="00D03C17" w:rsidRDefault="00D03C17">
      <w:pPr>
        <w:pStyle w:val="BodyText"/>
        <w:ind w:firstLine="360"/>
      </w:pPr>
      <w:r>
        <w:t>La paragonimiasis no clásica se acompaña de nódulos subcutáneos migratorios que contienen vermes juveniles pero no hay hemoptisis. Es frecuente el derrame pleural y también la invasión del encéfalo.</w:t>
      </w:r>
    </w:p>
    <w:p w14:paraId="6D039F58" w14:textId="77777777" w:rsidR="00D03C17" w:rsidRDefault="00D03C17">
      <w:pPr>
        <w:pStyle w:val="BodyText"/>
        <w:spacing w:line="276" w:lineRule="auto"/>
        <w:ind w:firstLine="0"/>
        <w:sectPr w:rsidR="00D03C17" w:rsidSect="00D03C17">
          <w:headerReference w:type="even" r:id="rId117"/>
          <w:headerReference w:type="default" r:id="rId118"/>
          <w:footerReference w:type="even" r:id="rId119"/>
          <w:footerReference w:type="default" r:id="rId120"/>
          <w:headerReference w:type="first" r:id="rId121"/>
          <w:footerReference w:type="first" r:id="rId122"/>
          <w:footnotePr>
            <w:numFmt w:val="chicago"/>
          </w:footnotePr>
          <w:pgSz w:w="8501" w:h="13022"/>
          <w:pgMar w:top="704" w:right="812" w:bottom="457" w:left="766" w:header="0" w:footer="3" w:gutter="0"/>
          <w:pgNumType w:start="523"/>
          <w:cols w:space="720"/>
          <w:noEndnote/>
          <w:titlePg/>
          <w:docGrid w:linePitch="360"/>
          <w15:footnoteColumns w:val="1"/>
        </w:sectPr>
      </w:pPr>
      <w:r>
        <w:rPr>
          <w:b/>
          <w:bCs/>
        </w:rPr>
        <w:t>C</w:t>
      </w:r>
      <w:r>
        <w:rPr>
          <w:b/>
          <w:bCs/>
          <w:sz w:val="13"/>
          <w:szCs w:val="13"/>
        </w:rPr>
        <w:t>AUSAS</w:t>
      </w:r>
      <w:r>
        <w:rPr>
          <w:b/>
          <w:bCs/>
        </w:rPr>
        <w:t xml:space="preserve">: </w:t>
      </w:r>
      <w:r>
        <w:t xml:space="preserve">En Asia, la paragonimiasis clásica es causada por </w:t>
      </w:r>
      <w:r>
        <w:rPr>
          <w:rFonts w:ascii="Times New Roman" w:eastAsia="Times New Roman" w:hAnsi="Times New Roman" w:cs="Times New Roman"/>
          <w:i/>
          <w:iCs/>
          <w:sz w:val="16"/>
          <w:szCs w:val="16"/>
        </w:rPr>
        <w:t>Paragonimus westermani</w:t>
      </w:r>
      <w:r>
        <w:t xml:space="preserve"> y </w:t>
      </w:r>
      <w:r>
        <w:rPr>
          <w:rFonts w:ascii="Times New Roman" w:eastAsia="Times New Roman" w:hAnsi="Times New Roman" w:cs="Times New Roman"/>
          <w:i/>
          <w:iCs/>
          <w:sz w:val="16"/>
          <w:szCs w:val="16"/>
        </w:rPr>
        <w:t>Paragonimus heterotremus</w:t>
      </w:r>
      <w:r>
        <w:rPr>
          <w:i/>
          <w:iCs/>
        </w:rPr>
        <w:t>,</w:t>
      </w:r>
      <w:r>
        <w:t xml:space="preserve"> en la fase adulta de las duelas y también por sus huevecillos. Las duelas adultas de </w:t>
      </w:r>
      <w:r>
        <w:rPr>
          <w:rFonts w:ascii="Times New Roman" w:eastAsia="Times New Roman" w:hAnsi="Times New Roman" w:cs="Times New Roman"/>
          <w:i/>
          <w:iCs/>
          <w:sz w:val="16"/>
          <w:szCs w:val="16"/>
        </w:rPr>
        <w:t>P westermani</w:t>
      </w:r>
      <w:r>
        <w:t xml:space="preserve"> tienen incluso 2 mm de largo y 7 mm de ancho y están distribuidas en todo el Lejano Oriente. Se han descrito en Japón, Corea, Taiwán y </w:t>
      </w:r>
    </w:p>
    <w:p w14:paraId="3F04E17D" w14:textId="77777777" w:rsidR="00D03C17" w:rsidRDefault="00D03C17">
      <w:pPr>
        <w:pStyle w:val="BodyText"/>
        <w:spacing w:line="276" w:lineRule="auto"/>
        <w:ind w:firstLine="0"/>
      </w:pPr>
      <w:r>
        <w:t>desconoce el reservorio natural aunque se sospecha que es la tierra. Tampoco se conoce el mecanismo de transmisión y se sabe que no se produce de una persona a otra.</w:t>
      </w:r>
    </w:p>
    <w:p w14:paraId="394B4F41" w14:textId="77777777" w:rsidR="00D03C17" w:rsidRDefault="00D03C17">
      <w:pPr>
        <w:pStyle w:val="BodyText"/>
        <w:ind w:firstLine="360"/>
      </w:pPr>
      <w:r>
        <w:t xml:space="preserve">El </w:t>
      </w:r>
      <w:r>
        <w:rPr>
          <w:b/>
          <w:bCs/>
        </w:rPr>
        <w:t xml:space="preserve">periodo de incubación </w:t>
      </w:r>
      <w:r>
        <w:t xml:space="preserve">es muy variable y va de un mes a varios años. </w:t>
      </w:r>
      <w:r>
        <w:rPr>
          <w:b/>
          <w:bCs/>
        </w:rPr>
        <w:t>M</w:t>
      </w:r>
      <w:r>
        <w:rPr>
          <w:b/>
          <w:bCs/>
          <w:sz w:val="13"/>
          <w:szCs w:val="13"/>
        </w:rPr>
        <w:t>ÉTODOS DIAGNÓSTICOS</w:t>
      </w:r>
      <w:r>
        <w:rPr>
          <w:b/>
          <w:bCs/>
        </w:rPr>
        <w:t xml:space="preserve">: </w:t>
      </w:r>
      <w:r>
        <w:t>En los preparados de muestras de esputo, de líquido de lavado alveolar, material raspado de úlceras y otro obtenido de lesiones o muestras tisulares para biopsia, mezclados con hidróxido de potasio al 10%, se observan células redondas con múltiples yemas y una imagen característica de timón de piloto. El microorganismo se cultiva fácilmente en casi todos los medios enriquecidos, incluidos agar-sangre a 37°C y agar-dextrosa de Sabouraud (con cicloheximida) a 24°C. Son útiles procedimientos como la fijación de complemento, inmunoanálisis enzimáticos e inmunodifusión para detectar anticuerpos específicos. Las pruebas cutáneas no son fidedignas para el diagnóstico.</w:t>
      </w:r>
    </w:p>
    <w:p w14:paraId="192C3819" w14:textId="77777777" w:rsidR="00D03C17" w:rsidRDefault="00D03C17">
      <w:pPr>
        <w:pStyle w:val="BodyText"/>
        <w:ind w:firstLine="0"/>
      </w:pPr>
      <w:r>
        <w:rPr>
          <w:b/>
          <w:bCs/>
        </w:rPr>
        <w:t>T</w:t>
      </w:r>
      <w:r>
        <w:rPr>
          <w:b/>
          <w:bCs/>
          <w:sz w:val="13"/>
          <w:szCs w:val="13"/>
        </w:rPr>
        <w:t>RATAMIENTO</w:t>
      </w:r>
      <w:r>
        <w:rPr>
          <w:b/>
          <w:bCs/>
        </w:rPr>
        <w:t xml:space="preserve">: </w:t>
      </w:r>
      <w:r>
        <w:t xml:space="preserve">Muchos expertos prefieren anfotericina B para tratar personas con paracoccidioidomicosis grave, pero tal fármaco no es curativo (véase “Fármacos contra micosis invasoras y otras de gravedad en niños”, sección 4). El itraconazol es el medicamento contra las infecciones menos graves o localizadas. En el caso de adultos, casi todos los expertos recomiendan el itraconazol y no el ketoconazol; el primero origina menos efectos adversos y tiene una cifra menor de recaídas. No se ha definido la inocuidad y la eficacia del itraconazol para tratar niños con paracoccidioidomicosis. Sin embargo, los menores tratados deben recibir un ciclo de sostén con itraconazol (4 a 10 mg/kg/día; dosis máxima, 200 mg, dos veces al día) o una sulfonamida (trimetoprim-sulfametoxazol [trimetoprim, 8 a 10 mg/kg, al día]). Se necesita que el tratamiento dure por lo menos seis meses para llevar al mínimo las cifras de recaídas. </w:t>
      </w:r>
      <w:r>
        <w:rPr>
          <w:b/>
          <w:bCs/>
        </w:rPr>
        <w:t>A</w:t>
      </w:r>
      <w:r>
        <w:rPr>
          <w:b/>
          <w:bCs/>
          <w:sz w:val="13"/>
          <w:szCs w:val="13"/>
        </w:rPr>
        <w:t>ISLAMIENTO DEL PACIENTE HOSPITALIZADO</w:t>
      </w:r>
      <w:r>
        <w:rPr>
          <w:b/>
          <w:bCs/>
        </w:rPr>
        <w:t xml:space="preserve">: </w:t>
      </w:r>
      <w:r>
        <w:t>Se recomienda seguir las precauciones estándar.</w:t>
      </w:r>
    </w:p>
    <w:p w14:paraId="5070D57F" w14:textId="77777777" w:rsidR="00D03C17" w:rsidRDefault="00D03C17">
      <w:pPr>
        <w:pStyle w:val="Other0"/>
        <w:spacing w:after="120" w:line="240" w:lineRule="auto"/>
        <w:ind w:firstLine="0"/>
      </w:pPr>
      <w:r>
        <w:rPr>
          <w:b/>
          <w:bCs/>
        </w:rPr>
        <w:t>M</w:t>
      </w:r>
      <w:r>
        <w:rPr>
          <w:b/>
          <w:bCs/>
          <w:sz w:val="13"/>
          <w:szCs w:val="13"/>
        </w:rPr>
        <w:t>EDIDAS DE CONTROL</w:t>
      </w:r>
      <w:r>
        <w:rPr>
          <w:b/>
          <w:bCs/>
        </w:rPr>
        <w:t xml:space="preserve">: </w:t>
      </w:r>
      <w:r>
        <w:t>Ninguna.</w:t>
      </w:r>
    </w:p>
    <w:p w14:paraId="13BB4EBE" w14:textId="77777777" w:rsidR="00D03C17" w:rsidRDefault="00D03C17">
      <w:pPr>
        <w:pStyle w:val="Bodytext70"/>
        <w:spacing w:after="0"/>
      </w:pPr>
      <w:r>
        <w:t>Paragonimiasis</w:t>
      </w:r>
    </w:p>
    <w:p w14:paraId="13C88E31" w14:textId="77777777" w:rsidR="00D03C17" w:rsidRDefault="00D03C17">
      <w:pPr>
        <w:pStyle w:val="BodyText"/>
        <w:ind w:firstLine="0"/>
      </w:pPr>
      <w:r>
        <w:rPr>
          <w:b/>
          <w:bCs/>
        </w:rPr>
        <w:t>M</w:t>
      </w:r>
      <w:r>
        <w:rPr>
          <w:b/>
          <w:bCs/>
          <w:sz w:val="13"/>
          <w:szCs w:val="13"/>
        </w:rPr>
        <w:t>ANIFESTACIONES CLÍNICAS</w:t>
      </w:r>
      <w:r>
        <w:rPr>
          <w:b/>
          <w:bCs/>
        </w:rPr>
        <w:t xml:space="preserve">: </w:t>
      </w:r>
      <w:r>
        <w:t xml:space="preserve">La enfermedad tiene comienzo gradual y una evolución crónica. Las dos formas principales de ella son: 1) la paragonimiasis clásica que afecta los pulmones y 2) la forma no clásica que origina el síndrome de larva migrans. En las infecciones clásicas el ataque de pulmones se acompaña de tos y disnea crónica, pero probablemente casi todas las infecciones no son manifiestas o generan síntomas leves. Las infestaciones intensas ocasionan paroxismos de tos que suelen expulsar esputo sanguinolento y pardo por la presencia de huevecillos de la especie de </w:t>
      </w:r>
      <w:r>
        <w:rPr>
          <w:rFonts w:ascii="Times New Roman" w:eastAsia="Times New Roman" w:hAnsi="Times New Roman" w:cs="Times New Roman"/>
          <w:i/>
          <w:iCs/>
          <w:sz w:val="16"/>
          <w:szCs w:val="16"/>
        </w:rPr>
        <w:t>Paragonimus</w:t>
      </w:r>
      <w:r>
        <w:rPr>
          <w:i/>
          <w:iCs/>
        </w:rPr>
        <w:t xml:space="preserve">. </w:t>
      </w:r>
      <w:r>
        <w:t>La hemoptisis puede ser grave. A veces aparecen derrame pleural, neumotórax, bronquiectasia y fibrosis pulmonar. Las manifestaciones extrapulmonares también incluyen la cavidad abdominal, la piel y pocas veces, el sistema nervioso central, en el cual surgen meningoencefalitis y convulsiones atribuibles a la invasión del encéfalo por duelas adultas. Los síntomas tienden a ceder después de cinco años, pero a veces persisten incluso por 20 años.</w:t>
      </w:r>
    </w:p>
    <w:p w14:paraId="1003A600" w14:textId="77777777" w:rsidR="00D03C17" w:rsidRDefault="00D03C17">
      <w:pPr>
        <w:pStyle w:val="BodyText"/>
        <w:ind w:firstLine="360"/>
      </w:pPr>
      <w:r>
        <w:t>La paragonimiasis no clásica se acompaña de nódulos subcutáneos migratorios que contienen vermes juveniles pero no hay hemoptisis. Es frecuente el derrame pleural y también la invasión del encéfalo.</w:t>
      </w:r>
    </w:p>
    <w:p w14:paraId="77040A50" w14:textId="77777777" w:rsidR="00D03C17" w:rsidRDefault="00D03C17">
      <w:pPr>
        <w:pStyle w:val="BodyText"/>
        <w:spacing w:line="276" w:lineRule="auto"/>
        <w:ind w:firstLine="0"/>
      </w:pPr>
      <w:r>
        <w:rPr>
          <w:b/>
          <w:bCs/>
        </w:rPr>
        <w:t>C</w:t>
      </w:r>
      <w:r>
        <w:rPr>
          <w:b/>
          <w:bCs/>
          <w:sz w:val="13"/>
          <w:szCs w:val="13"/>
        </w:rPr>
        <w:t>AUSAS</w:t>
      </w:r>
      <w:r>
        <w:rPr>
          <w:b/>
          <w:bCs/>
        </w:rPr>
        <w:t xml:space="preserve">: </w:t>
      </w:r>
      <w:r>
        <w:t xml:space="preserve">En Asia, la paragonimiasis clásica es causada por </w:t>
      </w:r>
      <w:r>
        <w:rPr>
          <w:rFonts w:ascii="Times New Roman" w:eastAsia="Times New Roman" w:hAnsi="Times New Roman" w:cs="Times New Roman"/>
          <w:i/>
          <w:iCs/>
          <w:sz w:val="16"/>
          <w:szCs w:val="16"/>
        </w:rPr>
        <w:t>Paragonimus westermani</w:t>
      </w:r>
      <w:r>
        <w:t xml:space="preserve"> y </w:t>
      </w:r>
      <w:r>
        <w:rPr>
          <w:rFonts w:ascii="Times New Roman" w:eastAsia="Times New Roman" w:hAnsi="Times New Roman" w:cs="Times New Roman"/>
          <w:i/>
          <w:iCs/>
          <w:sz w:val="16"/>
          <w:szCs w:val="16"/>
        </w:rPr>
        <w:t>Paragonimus heterotremus</w:t>
      </w:r>
      <w:r>
        <w:rPr>
          <w:i/>
          <w:iCs/>
        </w:rPr>
        <w:t>,</w:t>
      </w:r>
      <w:r>
        <w:t xml:space="preserve"> en la fase adulta de las duelas y también por sus huevecillos. Las duelas adultas de </w:t>
      </w:r>
      <w:r>
        <w:rPr>
          <w:rFonts w:ascii="Times New Roman" w:eastAsia="Times New Roman" w:hAnsi="Times New Roman" w:cs="Times New Roman"/>
          <w:i/>
          <w:iCs/>
          <w:sz w:val="16"/>
          <w:szCs w:val="16"/>
        </w:rPr>
        <w:t>P westermani</w:t>
      </w:r>
      <w:r>
        <w:t xml:space="preserve"> tienen incluso 2 mm de largo y 7 mm de ancho y están distribuidas en todo el Lejano Oriente. Se han descrito en Japón, Corea, Taiwán y zonas del este de China una forma partenogénica triploide de </w:t>
      </w:r>
      <w:r>
        <w:rPr>
          <w:i/>
          <w:iCs/>
        </w:rPr>
        <w:t xml:space="preserve">P. </w:t>
      </w:r>
      <w:r>
        <w:rPr>
          <w:rFonts w:ascii="Times New Roman" w:eastAsia="Times New Roman" w:hAnsi="Times New Roman" w:cs="Times New Roman"/>
          <w:i/>
          <w:iCs/>
          <w:sz w:val="16"/>
          <w:szCs w:val="16"/>
        </w:rPr>
        <w:t>westermani</w:t>
      </w:r>
      <w:r>
        <w:rPr>
          <w:i/>
          <w:iCs/>
        </w:rPr>
        <w:t>,</w:t>
      </w:r>
      <w:r>
        <w:t xml:space="preserve"> de mayor tamaño, que produce más huevecillos y desencadena un cuadro patológico más intenso. </w:t>
      </w:r>
      <w:r>
        <w:rPr>
          <w:rFonts w:ascii="Times New Roman" w:eastAsia="Times New Roman" w:hAnsi="Times New Roman" w:cs="Times New Roman"/>
          <w:i/>
          <w:iCs/>
          <w:sz w:val="16"/>
          <w:szCs w:val="16"/>
        </w:rPr>
        <w:t>Paragonimus heterotremus</w:t>
      </w:r>
      <w:r>
        <w:t xml:space="preserve"> aparece en el sureste asiático y zonas vecinas de China. La paragonimiasis no clásica es causada por las etapas larvarias de </w:t>
      </w:r>
      <w:r>
        <w:rPr>
          <w:rFonts w:ascii="Times New Roman" w:eastAsia="Times New Roman" w:hAnsi="Times New Roman" w:cs="Times New Roman"/>
          <w:i/>
          <w:iCs/>
          <w:sz w:val="16"/>
          <w:szCs w:val="16"/>
        </w:rPr>
        <w:t>Paragonimus skrjabini</w:t>
      </w:r>
      <w:r>
        <w:t xml:space="preserve"> y </w:t>
      </w:r>
      <w:r>
        <w:rPr>
          <w:rFonts w:ascii="Times New Roman" w:eastAsia="Times New Roman" w:hAnsi="Times New Roman" w:cs="Times New Roman"/>
          <w:i/>
          <w:iCs/>
          <w:sz w:val="16"/>
          <w:szCs w:val="16"/>
        </w:rPr>
        <w:t>Paragonimus miyasakii</w:t>
      </w:r>
      <w:r>
        <w:rPr>
          <w:i/>
          <w:iCs/>
        </w:rPr>
        <w:t>.</w:t>
      </w:r>
      <w:r>
        <w:t xml:space="preserve"> Los gusanos rara vez maduran. </w:t>
      </w:r>
      <w:r>
        <w:rPr>
          <w:rFonts w:ascii="Times New Roman" w:eastAsia="Times New Roman" w:hAnsi="Times New Roman" w:cs="Times New Roman"/>
          <w:i/>
          <w:iCs/>
          <w:sz w:val="16"/>
          <w:szCs w:val="16"/>
        </w:rPr>
        <w:t>Paragonimus skrjabini</w:t>
      </w:r>
      <w:r>
        <w:t xml:space="preserve"> aparece en China y </w:t>
      </w:r>
      <w:r>
        <w:rPr>
          <w:rFonts w:ascii="Times New Roman" w:eastAsia="Times New Roman" w:hAnsi="Times New Roman" w:cs="Times New Roman"/>
          <w:i/>
          <w:iCs/>
          <w:sz w:val="16"/>
          <w:szCs w:val="16"/>
        </w:rPr>
        <w:t>P miyasakii</w:t>
      </w:r>
      <w:r>
        <w:t xml:space="preserve"> en Japón. Entre las formas africanas que causan la paragonimiasis clásica están </w:t>
      </w:r>
      <w:r>
        <w:rPr>
          <w:rFonts w:ascii="Times New Roman" w:eastAsia="Times New Roman" w:hAnsi="Times New Roman" w:cs="Times New Roman"/>
          <w:i/>
          <w:iCs/>
          <w:sz w:val="16"/>
          <w:szCs w:val="16"/>
        </w:rPr>
        <w:t>Paragonimus africanus</w:t>
      </w:r>
      <w:r>
        <w:t xml:space="preserve"> (Nigeria, Camerún) y </w:t>
      </w:r>
      <w:r>
        <w:rPr>
          <w:rFonts w:ascii="Times New Roman" w:eastAsia="Times New Roman" w:hAnsi="Times New Roman" w:cs="Times New Roman"/>
          <w:i/>
          <w:iCs/>
          <w:sz w:val="16"/>
          <w:szCs w:val="16"/>
        </w:rPr>
        <w:t xml:space="preserve">Paragonimus uterobilateralis </w:t>
      </w:r>
      <w:r>
        <w:t xml:space="preserve">(Liberia, Guinea, Nigeria, Gabón). En México, Costa Rica, Ecuador y Perú se identifican </w:t>
      </w:r>
      <w:r>
        <w:rPr>
          <w:rFonts w:ascii="Times New Roman" w:eastAsia="Times New Roman" w:hAnsi="Times New Roman" w:cs="Times New Roman"/>
          <w:i/>
          <w:iCs/>
          <w:sz w:val="16"/>
          <w:szCs w:val="16"/>
        </w:rPr>
        <w:t>Paragonimus mexicanus</w:t>
      </w:r>
      <w:r>
        <w:t xml:space="preserve"> y </w:t>
      </w:r>
      <w:r>
        <w:rPr>
          <w:rFonts w:ascii="Times New Roman" w:eastAsia="Times New Roman" w:hAnsi="Times New Roman" w:cs="Times New Roman"/>
          <w:i/>
          <w:iCs/>
          <w:sz w:val="16"/>
          <w:szCs w:val="16"/>
        </w:rPr>
        <w:t>Paragonimus ecuadoriensis</w:t>
      </w:r>
      <w:r>
        <w:t xml:space="preserve">. </w:t>
      </w:r>
      <w:r>
        <w:rPr>
          <w:rFonts w:ascii="Times New Roman" w:eastAsia="Times New Roman" w:hAnsi="Times New Roman" w:cs="Times New Roman"/>
          <w:i/>
          <w:iCs/>
          <w:sz w:val="16"/>
          <w:szCs w:val="16"/>
        </w:rPr>
        <w:t xml:space="preserve">Paragonimus kellicotti, </w:t>
      </w:r>
      <w:r>
        <w:t>que es la duela pulmonar del visón y de las zarigüeyas en Estados Unidos, también causa una infección zoonótica en seres humanos.</w:t>
      </w:r>
    </w:p>
    <w:p w14:paraId="710CA7BB" w14:textId="77777777" w:rsidR="00D03C17" w:rsidRDefault="00D03C17">
      <w:pPr>
        <w:pStyle w:val="BodyText"/>
        <w:ind w:firstLine="0"/>
      </w:pPr>
      <w:r>
        <w:rPr>
          <w:b/>
          <w:bCs/>
        </w:rPr>
        <w:t>A</w:t>
      </w:r>
      <w:r>
        <w:rPr>
          <w:b/>
          <w:bCs/>
          <w:sz w:val="13"/>
          <w:szCs w:val="13"/>
        </w:rPr>
        <w:t>SPECTOS EPIDEMIOLÓGICOS</w:t>
      </w:r>
      <w:r>
        <w:rPr>
          <w:b/>
          <w:bCs/>
        </w:rPr>
        <w:t xml:space="preserve">: </w:t>
      </w:r>
      <w:r>
        <w:t xml:space="preserve">La transmisión se produce cuando la persona ingiere cangrejos o langostinos de río crudos o mal cocidos, que contienen larvas (metacercarias). Las metacercarias salen del quiste en el intestino delgado y penetran en la cavidad abdominal en donde permanecen varios días antes de migrar a los pulmones. </w:t>
      </w:r>
      <w:r>
        <w:rPr>
          <w:rFonts w:ascii="Times New Roman" w:eastAsia="Times New Roman" w:hAnsi="Times New Roman" w:cs="Times New Roman"/>
          <w:i/>
          <w:iCs/>
          <w:sz w:val="16"/>
          <w:szCs w:val="16"/>
        </w:rPr>
        <w:t>Paragonimus westermani</w:t>
      </w:r>
      <w:r>
        <w:t xml:space="preserve"> y </w:t>
      </w:r>
      <w:r>
        <w:rPr>
          <w:rFonts w:ascii="Times New Roman" w:eastAsia="Times New Roman" w:hAnsi="Times New Roman" w:cs="Times New Roman"/>
          <w:i/>
          <w:iCs/>
          <w:sz w:val="16"/>
          <w:szCs w:val="16"/>
        </w:rPr>
        <w:t>P heterotremus</w:t>
      </w:r>
      <w:r>
        <w:t xml:space="preserve"> maduran dentro de los pulmones en un lapso de seis a 10 semanas, fecha en que comienza la producción de huevos. Estos últimos escapan de las cápsulas pulmonares dentro de los bronquios y salen del hospedador humano en el esputo o los excrementos. Los huevos eclosionan en agua dulce en término de tres semanas y dan origen a los miracidios. Estos últimos penetran en caracoles de agua dulce y emergen semanas después en la forma de cercarias que se enquistan dentro de los músculos y vísceras de crustáceos de agua dulce antes de madurar en la forma de metacercarias infectantes. La transmisión también ocurre cuando los seres humanos ingieren carne cruda de cerdo, en particular cerdos salvajes que contienen las etapas juveniles de especies de </w:t>
      </w:r>
      <w:r>
        <w:rPr>
          <w:rFonts w:ascii="Times New Roman" w:eastAsia="Times New Roman" w:hAnsi="Times New Roman" w:cs="Times New Roman"/>
          <w:i/>
          <w:iCs/>
          <w:sz w:val="16"/>
          <w:szCs w:val="16"/>
        </w:rPr>
        <w:t>Paragonimus</w:t>
      </w:r>
      <w:r>
        <w:t xml:space="preserve"> (se han descrito en Japón).</w:t>
      </w:r>
    </w:p>
    <w:p w14:paraId="0D8B96C4" w14:textId="77777777" w:rsidR="00D03C17" w:rsidRDefault="00D03C17">
      <w:pPr>
        <w:pStyle w:val="BodyText"/>
        <w:ind w:firstLine="360"/>
      </w:pPr>
      <w:r>
        <w:t xml:space="preserve">Los seres humanos son hospedadores accidentales (“terminales”) de </w:t>
      </w:r>
      <w:r>
        <w:rPr>
          <w:rFonts w:ascii="Times New Roman" w:eastAsia="Times New Roman" w:hAnsi="Times New Roman" w:cs="Times New Roman"/>
          <w:i/>
          <w:iCs/>
          <w:sz w:val="16"/>
          <w:szCs w:val="16"/>
        </w:rPr>
        <w:t>P skrjabini</w:t>
      </w:r>
      <w:r>
        <w:t xml:space="preserve"> y </w:t>
      </w:r>
      <w:r>
        <w:rPr>
          <w:rFonts w:ascii="Times New Roman" w:eastAsia="Times New Roman" w:hAnsi="Times New Roman" w:cs="Times New Roman"/>
          <w:i/>
          <w:iCs/>
          <w:sz w:val="16"/>
          <w:szCs w:val="16"/>
        </w:rPr>
        <w:t>P. miyazakii</w:t>
      </w:r>
      <w:r>
        <w:t>; tales duelas no maduran en los seres humanos y por ello no producen huevos.</w:t>
      </w:r>
    </w:p>
    <w:p w14:paraId="3F238AFC" w14:textId="77777777" w:rsidR="00D03C17" w:rsidRDefault="00D03C17">
      <w:pPr>
        <w:pStyle w:val="BodyText"/>
        <w:ind w:firstLine="360"/>
      </w:pPr>
      <w:r>
        <w:t xml:space="preserve">Las especies de </w:t>
      </w:r>
      <w:r>
        <w:rPr>
          <w:rFonts w:ascii="Times New Roman" w:eastAsia="Times New Roman" w:hAnsi="Times New Roman" w:cs="Times New Roman"/>
          <w:i/>
          <w:iCs/>
          <w:sz w:val="16"/>
          <w:szCs w:val="16"/>
        </w:rPr>
        <w:t>Paragonimus</w:t>
      </w:r>
      <w:r>
        <w:t xml:space="preserve"> también infectan otros mamíferos, como cánidos, mustélidos, félidos y roedores, que también sirven como hospedadores y reservorios animales.</w:t>
      </w:r>
    </w:p>
    <w:p w14:paraId="5197BEB6" w14:textId="77777777" w:rsidR="00D03C17" w:rsidRDefault="00D03C17">
      <w:pPr>
        <w:pStyle w:val="BodyText"/>
        <w:ind w:firstLine="360"/>
      </w:pPr>
      <w:r>
        <w:t xml:space="preserve">El </w:t>
      </w:r>
      <w:r>
        <w:rPr>
          <w:b/>
          <w:bCs/>
        </w:rPr>
        <w:t xml:space="preserve">periodo de incubación </w:t>
      </w:r>
      <w:r>
        <w:t xml:space="preserve">es variable; la producción de huevos comienza aproximadamente ocho semanas después de ingerir las metacercarias de </w:t>
      </w:r>
      <w:r>
        <w:rPr>
          <w:rFonts w:ascii="Times New Roman" w:eastAsia="Times New Roman" w:hAnsi="Times New Roman" w:cs="Times New Roman"/>
          <w:i/>
          <w:iCs/>
          <w:sz w:val="16"/>
          <w:szCs w:val="16"/>
        </w:rPr>
        <w:t xml:space="preserve">P. westermani. </w:t>
      </w:r>
      <w:r>
        <w:rPr>
          <w:b/>
          <w:bCs/>
        </w:rPr>
        <w:t>M</w:t>
      </w:r>
      <w:r>
        <w:rPr>
          <w:b/>
          <w:bCs/>
          <w:sz w:val="13"/>
          <w:szCs w:val="13"/>
        </w:rPr>
        <w:t>ÉTODOS DIAGNÓSTICOS</w:t>
      </w:r>
      <w:r>
        <w:rPr>
          <w:b/>
          <w:bCs/>
        </w:rPr>
        <w:t xml:space="preserve">: </w:t>
      </w:r>
      <w:r>
        <w:t xml:space="preserve">Los huevos se pueden identificar en el estudio microscópico de excrementos, esputo, líquido pleural y cefalorraquídeo y otras muestras tisulares. Es sensible y específico el método serológico con anticuerpos de inmunotransferencia que se practica en los </w:t>
      </w:r>
      <w:r>
        <w:rPr>
          <w:rFonts w:ascii="Times New Roman" w:eastAsia="Times New Roman" w:hAnsi="Times New Roman" w:cs="Times New Roman"/>
          <w:i/>
          <w:iCs/>
          <w:sz w:val="16"/>
          <w:szCs w:val="16"/>
        </w:rPr>
        <w:t>Centers for Disease Control and Prevention (CDC)</w:t>
      </w:r>
      <w:r>
        <w:t xml:space="preserve">, pero no diferencia entre la infección activa y la pasada. Elementos útiles para el diagnóstico son los cristales de Charcot-Leyden y eosinófilos en el esputo. Las radiografías de tórax pueden tener una imagen normal o asemejarse a las de los pacientes de tuberculosis. Es posible que el diagnóstico sea erróneo salvo que se sospeche paragonimiasis. </w:t>
      </w:r>
      <w:r>
        <w:rPr>
          <w:b/>
          <w:bCs/>
        </w:rPr>
        <w:t>T</w:t>
      </w:r>
      <w:r>
        <w:rPr>
          <w:b/>
          <w:bCs/>
          <w:sz w:val="13"/>
          <w:szCs w:val="13"/>
        </w:rPr>
        <w:t>RATAMIENTO</w:t>
      </w:r>
      <w:r>
        <w:rPr>
          <w:b/>
          <w:bCs/>
        </w:rPr>
        <w:t xml:space="preserve">: </w:t>
      </w:r>
      <w:r>
        <w:t>El praziquantel durante dos días es el medicamento más indicado y se vincula con cifras altas de curación, como lo demuestra la desaparición de la producción de huevos y de las lesiones radiográficas en los pulmones. El fármaco también es eficaz contra algunas manifestaciones extrapulmonares. Otro producto al que cabe recurrir es el bitionol, que se obtiene en los CDC (véase “Fármacos antiparasitarios”, sección 4).</w:t>
      </w:r>
    </w:p>
    <w:p w14:paraId="457C2BCD" w14:textId="77777777" w:rsidR="00D03C17" w:rsidRDefault="00D03C17">
      <w:pPr>
        <w:pStyle w:val="BodyText"/>
        <w:ind w:firstLine="0"/>
        <w:sectPr w:rsidR="00D03C17" w:rsidSect="00D03C17">
          <w:headerReference w:type="even" r:id="rId123"/>
          <w:headerReference w:type="default" r:id="rId124"/>
          <w:footerReference w:type="even" r:id="rId125"/>
          <w:footerReference w:type="default" r:id="rId126"/>
          <w:headerReference w:type="first" r:id="rId127"/>
          <w:footerReference w:type="first" r:id="rId128"/>
          <w:footnotePr>
            <w:numFmt w:val="chicago"/>
          </w:footnotePr>
          <w:pgSz w:w="8501" w:h="13022"/>
          <w:pgMar w:top="704" w:right="812" w:bottom="457" w:left="766" w:header="0" w:footer="3" w:gutter="0"/>
          <w:pgNumType w:start="602"/>
          <w:cols w:space="720"/>
          <w:noEndnote/>
          <w:titlePg/>
          <w:docGrid w:linePitch="360"/>
          <w15:footnoteColumns w:val="1"/>
        </w:sectPr>
      </w:pPr>
      <w:r>
        <w:rPr>
          <w:b/>
          <w:bCs/>
        </w:rPr>
        <w:t>A</w:t>
      </w:r>
      <w:r>
        <w:rPr>
          <w:b/>
          <w:bCs/>
          <w:sz w:val="13"/>
          <w:szCs w:val="13"/>
        </w:rPr>
        <w:t>ISLAMIENTO DEL PACIENTE HOSPITALIZADO</w:t>
      </w:r>
      <w:r>
        <w:rPr>
          <w:b/>
          <w:bCs/>
        </w:rPr>
        <w:t xml:space="preserve">: </w:t>
      </w:r>
      <w:r>
        <w:t>Se recomienda seguir las precauciones estándar.</w:t>
      </w:r>
    </w:p>
    <w:p w14:paraId="47A92F97" w14:textId="77777777" w:rsidR="00D03C17" w:rsidRDefault="00D03C17">
      <w:pPr>
        <w:pStyle w:val="BodyText"/>
        <w:spacing w:after="100"/>
        <w:ind w:firstLine="0"/>
      </w:pPr>
      <w:r>
        <w:rPr>
          <w:b/>
          <w:bCs/>
        </w:rPr>
        <w:t>M</w:t>
      </w:r>
      <w:r>
        <w:rPr>
          <w:b/>
          <w:bCs/>
          <w:sz w:val="13"/>
          <w:szCs w:val="13"/>
        </w:rPr>
        <w:t>EDIDAS PREVENTIVAS</w:t>
      </w:r>
      <w:r>
        <w:rPr>
          <w:b/>
          <w:bCs/>
        </w:rPr>
        <w:t xml:space="preserve">: </w:t>
      </w:r>
      <w:r>
        <w:t>La cocción de cangrejos y langostinos varios minutos hasta que la carne adquiera consistencia y se vuelva opaca destruye las metacercarias. En forma semejante, habrá que cocer perfectamente antes de consumir la carne de cerdo salvaje. Es imposible el control de los reservorios animales.</w:t>
      </w:r>
    </w:p>
    <w:p w14:paraId="40937EB6" w14:textId="77777777" w:rsidR="00D03C17" w:rsidRDefault="00D03C17">
      <w:pPr>
        <w:pStyle w:val="Bodytext70"/>
        <w:spacing w:after="0"/>
      </w:pPr>
      <w:r>
        <w:t>Parainfluenza, virus, infecciones</w:t>
      </w:r>
    </w:p>
    <w:p w14:paraId="7570D133" w14:textId="77777777" w:rsidR="00D03C17" w:rsidRDefault="00D03C17">
      <w:pPr>
        <w:pStyle w:val="BodyText"/>
        <w:ind w:firstLine="0"/>
      </w:pPr>
      <w:r>
        <w:rPr>
          <w:b/>
          <w:bCs/>
        </w:rPr>
        <w:t>M</w:t>
      </w:r>
      <w:r>
        <w:rPr>
          <w:b/>
          <w:bCs/>
          <w:sz w:val="13"/>
          <w:szCs w:val="13"/>
        </w:rPr>
        <w:t>ANIFESTACIONES CLÍNICAS</w:t>
      </w:r>
      <w:r>
        <w:rPr>
          <w:b/>
          <w:bCs/>
        </w:rPr>
        <w:t xml:space="preserve">: </w:t>
      </w:r>
      <w:r>
        <w:t>Los virus mencionados son la causa principal de la laringotraqueobronquitis (crup), pero también suelen causar infecciones de vías respiratorias altas, neumonía o bronquiolitis. Los patógenos que con mayor frecuencia ocasionan crup son los tipos 1 y 2, y los virus de tipo 3 ocasionan bronquiolitis y neumonía en lactantes y niños de corta edad. Los virus de tipo 4 no se detectan con la misma frecuencia que los demás serotipos y por ello las infecciones por dichas partículas no se han definido con exactitud. En raras ocasiones las infecciones por el virus de tipo 3 producen parotiditis, meningitis aséptica y encefalitis. Las infecciones por virus de parainfluenza exacerban síntomas de neumopatía crónica en niños y adultos; pueden ser particularmente graves y persistentes en niños inmunodeficientes, y se vinculan más a menudo con los virus de tipo 3. Las infecciones de parainfluenza no confieren inmunidad protectora completa; por lo tanto, surgen reinfecciones con todos los serotipos y a cualquier edad, pero por lo común ocasionan un cuadro leve limitado a vías respiratorias altas.</w:t>
      </w:r>
    </w:p>
    <w:p w14:paraId="04167D81" w14:textId="77777777" w:rsidR="00D03C17" w:rsidRDefault="00D03C17">
      <w:pPr>
        <w:pStyle w:val="BodyText"/>
        <w:ind w:firstLine="0"/>
      </w:pPr>
      <w:r>
        <w:rPr>
          <w:b/>
          <w:bCs/>
        </w:rPr>
        <w:t>C</w:t>
      </w:r>
      <w:r>
        <w:rPr>
          <w:b/>
          <w:bCs/>
          <w:sz w:val="13"/>
          <w:szCs w:val="13"/>
        </w:rPr>
        <w:t>AUSAS</w:t>
      </w:r>
      <w:r>
        <w:rPr>
          <w:b/>
          <w:bCs/>
        </w:rPr>
        <w:t xml:space="preserve">: </w:t>
      </w:r>
      <w:r>
        <w:t>Las partículas en cuestión son virus de RNA con cubierta clasificados como paramixovirus. Se han identificado cuatro tipos antigénicamente diferentes: 1, 2, 3 y 4 (este último tiene dos subtipos, 4A y 4B).</w:t>
      </w:r>
    </w:p>
    <w:p w14:paraId="6DD96799" w14:textId="77777777" w:rsidR="00D03C17" w:rsidRDefault="00D03C17">
      <w:pPr>
        <w:pStyle w:val="BodyText"/>
        <w:ind w:firstLine="0"/>
      </w:pPr>
      <w:r>
        <w:rPr>
          <w:b/>
          <w:bCs/>
        </w:rPr>
        <w:t>A</w:t>
      </w:r>
      <w:r>
        <w:rPr>
          <w:b/>
          <w:bCs/>
          <w:sz w:val="13"/>
          <w:szCs w:val="13"/>
        </w:rPr>
        <w:t>SPECTOS EPIDEMIOLÓGICOS</w:t>
      </w:r>
      <w:r>
        <w:rPr>
          <w:b/>
          <w:bCs/>
        </w:rPr>
        <w:t xml:space="preserve">: </w:t>
      </w:r>
      <w:r>
        <w:t>Los virus de parainfluenza son transmitidos de una persona a otra por contacto directo y exposición a secreciones nasofaríngeas contaminadas, a través de gotículas de secreciones de vías respiratorias y objetos inanimados. Las infecciones víricas por parainfluenza producen infecciones esporádicas y también epidemias de la enfermedad. Los patrones estacionales de infección son característicos, predecibles y cíclicos. Los serotipos diferentes poseen perfiles epidemiológicos distintos. El virus de tipo 1 tiende a producir brotes de enfermedad de vías respiratorias por lo común crup, en el otoño de cada 48 meses. Un incremento importante del número de casos de crup en el otoño denota un brote de parainfluenza tipo 1. El virus de tipo 2 también puede ocasionar brotes de enfermedades de las vías mencionadas en el otoño, a menudo junto con brotes de tipo 1, pero los brotes de tipo 2 tienden a ser menos graves, irregulares y menos frecuentes. El virus de parainfluenza tipo 3 por lo común ataca durante la primavera y el verano en climas templados, pero suele continuar en el otoño, especialmente en años en que en esa estación no se producen brotes de los tipos 1 o 2. Las infecciones con virus de tipo 4 se identifican con menor frecuencia, son esporádicas y por lo común ocasionan un cuadro leve.</w:t>
      </w:r>
    </w:p>
    <w:p w14:paraId="48683917" w14:textId="77777777" w:rsidR="00D03C17" w:rsidRDefault="00D03C17">
      <w:pPr>
        <w:pStyle w:val="BodyText"/>
        <w:ind w:firstLine="360"/>
      </w:pPr>
      <w:r>
        <w:t>La edad en que ocurre la infección primaria varía con el serotipo. La infección mencionada con todos los tipos suele manifestarse a los cinco años de vida. El cuadro vinculado con el virus de tipo 3 surge más a menudo en lactantes y es causa notable de enfermedades de las vías respiratorias bajas. A los 12 meses de vida, la mitad de los lactantes han adquirido la infección de tipo 3. Las infecciones que surgen entre el primero y los cinco años de vida depende más a menudo del tipo 1 y, con menor frecuencia del tipo 2. No se conocen en detalle las infecciones por el tipo 4.</w:t>
      </w:r>
    </w:p>
    <w:p w14:paraId="6162FF65" w14:textId="77777777" w:rsidR="00D03C17" w:rsidRDefault="00D03C17">
      <w:pPr>
        <w:pStyle w:val="BodyText"/>
        <w:ind w:firstLine="360"/>
      </w:pPr>
      <w:r>
        <w:t>Los niños inmunocompetentes con infección primaria por parainfluenza pueden dispersar virus incluso una semana antes de que comiencen los signos y síntomas</w:t>
      </w:r>
    </w:p>
    <w:p w14:paraId="2DECAFF1" w14:textId="77777777" w:rsidR="00D03C17" w:rsidRDefault="00D03C17">
      <w:pPr>
        <w:pStyle w:val="BodyText"/>
        <w:spacing w:after="100"/>
        <w:ind w:firstLine="0"/>
      </w:pPr>
      <w:r>
        <w:rPr>
          <w:b/>
          <w:bCs/>
        </w:rPr>
        <w:t>M</w:t>
      </w:r>
      <w:r>
        <w:rPr>
          <w:b/>
          <w:bCs/>
          <w:sz w:val="13"/>
          <w:szCs w:val="13"/>
        </w:rPr>
        <w:t>EDIDAS PREVENTIVAS</w:t>
      </w:r>
      <w:r>
        <w:rPr>
          <w:b/>
          <w:bCs/>
        </w:rPr>
        <w:t xml:space="preserve">: </w:t>
      </w:r>
      <w:r>
        <w:t>La cocción de cangrejos y langostinos varios minutos hasta que la carne adquiera consistencia y se vuelva opaca destruye las metacercarias. En forma semejante, habrá que cocer perfectamente antes de consumir la carne de cerdo salvaje. Es imposible el control de los reservorios animales.</w:t>
      </w:r>
    </w:p>
    <w:p w14:paraId="6C2679C1" w14:textId="77777777" w:rsidR="00D03C17" w:rsidRDefault="00D03C17">
      <w:pPr>
        <w:pStyle w:val="Bodytext70"/>
        <w:spacing w:after="0"/>
      </w:pPr>
      <w:r>
        <w:t>Parainfluenza, virus, infecciones</w:t>
      </w:r>
    </w:p>
    <w:p w14:paraId="1B19CCB6" w14:textId="77777777" w:rsidR="00D03C17" w:rsidRDefault="00D03C17">
      <w:pPr>
        <w:pStyle w:val="BodyText"/>
        <w:ind w:firstLine="0"/>
      </w:pPr>
      <w:r>
        <w:rPr>
          <w:b/>
          <w:bCs/>
        </w:rPr>
        <w:t>M</w:t>
      </w:r>
      <w:r>
        <w:rPr>
          <w:b/>
          <w:bCs/>
          <w:sz w:val="13"/>
          <w:szCs w:val="13"/>
        </w:rPr>
        <w:t>ANIFESTACIONES CLÍNICAS</w:t>
      </w:r>
      <w:r>
        <w:rPr>
          <w:b/>
          <w:bCs/>
        </w:rPr>
        <w:t xml:space="preserve">: </w:t>
      </w:r>
      <w:r>
        <w:t>Los virus mencionados son la causa principal de la laringotraqueobronquitis (crup), pero también suelen causar infecciones de vías respiratorias altas, neumonía o bronquiolitis. Los patógenos que con mayor frecuencia ocasionan crup son los tipos 1 y 2, y los virus de tipo 3 ocasionan bronquiolitis y neumonía en lactantes y niños de corta edad. Los virus de tipo 4 no se detectan con la misma frecuencia que los demás serotipos y por ello las infecciones por dichas partículas no se han definido con exactitud. En raras ocasiones las infecciones por el virus de tipo 3 producen parotiditis, meningitis aséptica y encefalitis. Las infecciones por virus de parainfluenza exacerban síntomas de neumopatía crónica en niños y adultos; pueden ser particularmente graves y persistentes en niños inmunodeficientes, y se vinculan más a menudo con los virus de tipo 3. Las infecciones de parainfluenza no confieren inmunidad protectora completa; por lo tanto, surgen reinfecciones con todos los serotipos y a cualquier edad, pero por lo común ocasionan un cuadro leve limitado a vías respiratorias altas.</w:t>
      </w:r>
    </w:p>
    <w:p w14:paraId="47CF35A9" w14:textId="77777777" w:rsidR="00D03C17" w:rsidRDefault="00D03C17">
      <w:pPr>
        <w:pStyle w:val="BodyText"/>
        <w:ind w:firstLine="0"/>
      </w:pPr>
      <w:r>
        <w:rPr>
          <w:b/>
          <w:bCs/>
        </w:rPr>
        <w:t>C</w:t>
      </w:r>
      <w:r>
        <w:rPr>
          <w:b/>
          <w:bCs/>
          <w:sz w:val="13"/>
          <w:szCs w:val="13"/>
        </w:rPr>
        <w:t>AUSAS</w:t>
      </w:r>
      <w:r>
        <w:rPr>
          <w:b/>
          <w:bCs/>
        </w:rPr>
        <w:t xml:space="preserve">: </w:t>
      </w:r>
      <w:r>
        <w:t>Las partículas en cuestión son virus de RNA con cubierta clasificados como paramixovirus. Se han identificado cuatro tipos antigénicamente diferentes: 1, 2, 3 y 4 (este último tiene dos subtipos, 4A y 4B).</w:t>
      </w:r>
    </w:p>
    <w:p w14:paraId="734A8289" w14:textId="77777777" w:rsidR="00D03C17" w:rsidRDefault="00D03C17">
      <w:pPr>
        <w:pStyle w:val="BodyText"/>
        <w:ind w:firstLine="0"/>
      </w:pPr>
      <w:r>
        <w:rPr>
          <w:b/>
          <w:bCs/>
        </w:rPr>
        <w:t>A</w:t>
      </w:r>
      <w:r>
        <w:rPr>
          <w:b/>
          <w:bCs/>
          <w:sz w:val="13"/>
          <w:szCs w:val="13"/>
        </w:rPr>
        <w:t>SPECTOS EPIDEMIOLÓGICOS</w:t>
      </w:r>
      <w:r>
        <w:rPr>
          <w:b/>
          <w:bCs/>
        </w:rPr>
        <w:t xml:space="preserve">: </w:t>
      </w:r>
      <w:r>
        <w:t>Los virus de parainfluenza son transmitidos de una persona a otra por contacto directo y exposición a secreciones nasofaríngeas contaminadas, a través de gotículas de secreciones de vías respiratorias y objetos inanimados. Las infecciones víricas por parainfluenza producen infecciones esporádicas y también epidemias de la enfermedad. Los patrones estacionales de infección son característicos, predecibles y cíclicos. Los serotipos diferentes poseen perfiles epidemiológicos distintos. El virus de tipo 1 tiende a producir brotes de enfermedad de vías respiratorias por lo común crup, en el otoño de cada 48 meses. Un incremento importante del número de casos de crup en el otoño denota un brote de parainfluenza tipo 1. El virus de tipo 2 también puede ocasionar brotes de enfermedades de las vías mencionadas en el otoño, a menudo junto con brotes de tipo 1, pero los brotes de tipo 2 tienden a ser menos graves, irregulares y menos frecuentes. El virus de parainfluenza tipo 3 por lo común ataca durante la primavera y el verano en climas templados, pero suele continuar en el otoño, especialmente en años en que en esa estación no se producen brotes de los tipos 1 o 2. Las infecciones con virus de tipo 4 se identifican con menor frecuencia, son esporádicas y por lo común ocasionan un cuadro leve.</w:t>
      </w:r>
    </w:p>
    <w:p w14:paraId="0C7EC26D" w14:textId="77777777" w:rsidR="00D03C17" w:rsidRDefault="00D03C17">
      <w:pPr>
        <w:pStyle w:val="BodyText"/>
        <w:ind w:firstLine="360"/>
      </w:pPr>
      <w:r>
        <w:t>La edad en que ocurre la infección primaria varía con el serotipo. La infección mencionada con todos los tipos suele manifestarse a los cinco años de vida. El cuadro vinculado con el virus de tipo 3 surge más a menudo en lactantes y es causa notable de enfermedades de las vías respiratorias bajas. A los 12 meses de vida, la mitad de los lactantes han adquirido la infección de tipo 3. Las infecciones que surgen entre el primero y los cinco años de vida depende más a menudo del tipo 1 y, con menor frecuencia del tipo 2. No se conocen en detalle las infecciones por el tipo 4.</w:t>
      </w:r>
    </w:p>
    <w:p w14:paraId="75F57E6D" w14:textId="77777777" w:rsidR="00D03C17" w:rsidRDefault="00D03C17">
      <w:pPr>
        <w:pStyle w:val="BodyText"/>
        <w:ind w:firstLine="360"/>
        <w:sectPr w:rsidR="00D03C17" w:rsidSect="00D03C17">
          <w:headerReference w:type="even" r:id="rId129"/>
          <w:headerReference w:type="default" r:id="rId130"/>
          <w:footerReference w:type="even" r:id="rId131"/>
          <w:footerReference w:type="default" r:id="rId132"/>
          <w:footnotePr>
            <w:numFmt w:val="chicago"/>
          </w:footnotePr>
          <w:type w:val="continuous"/>
          <w:pgSz w:w="8501" w:h="13022"/>
          <w:pgMar w:top="704" w:right="812" w:bottom="457" w:left="766" w:header="0" w:footer="29" w:gutter="0"/>
          <w:cols w:space="720"/>
          <w:noEndnote/>
          <w:docGrid w:linePitch="360"/>
          <w15:footnoteColumns w:val="1"/>
        </w:sectPr>
      </w:pPr>
      <w:r>
        <w:t xml:space="preserve">Los niños inmunocompetentes con infección primaria por parainfluenza pueden dispersar virus incluso una semana antes de que comiencen los signos y síntomas </w:t>
      </w:r>
    </w:p>
    <w:p w14:paraId="66000997" w14:textId="77777777" w:rsidR="00D03C17" w:rsidRDefault="00D03C17">
      <w:pPr>
        <w:pStyle w:val="BodyText"/>
        <w:ind w:firstLine="0"/>
      </w:pPr>
      <w:r>
        <w:t>clínicos, y también hasta una a tres semanas después que desaparecieron los síntomas, según el serotipo. Pueden surgir en personas inmunodeficientes enfermedades graves de las vías respiratorias bajas con dispersión y secreción duradera del virus. En dichos pacientes la infección puede propagarse más allá de las vías respiratorias y llegar al hígado y a los ganglios linfáticos.</w:t>
      </w:r>
    </w:p>
    <w:p w14:paraId="2A7CD893" w14:textId="77777777" w:rsidR="00D03C17" w:rsidRDefault="00D03C17">
      <w:pPr>
        <w:pStyle w:val="BodyText"/>
        <w:ind w:firstLine="360"/>
      </w:pPr>
      <w:r>
        <w:t xml:space="preserve">El </w:t>
      </w:r>
      <w:r>
        <w:rPr>
          <w:b/>
          <w:bCs/>
        </w:rPr>
        <w:t xml:space="preserve">periodo de incubación </w:t>
      </w:r>
      <w:r>
        <w:t>varía de dos a seis días.</w:t>
      </w:r>
    </w:p>
    <w:p w14:paraId="128D3667" w14:textId="77777777" w:rsidR="00D03C17" w:rsidRDefault="00D03C17">
      <w:pPr>
        <w:pStyle w:val="BodyText"/>
        <w:ind w:firstLine="0"/>
      </w:pPr>
      <w:r>
        <w:rPr>
          <w:b/>
          <w:bCs/>
        </w:rPr>
        <w:t>M</w:t>
      </w:r>
      <w:r>
        <w:rPr>
          <w:b/>
          <w:bCs/>
          <w:sz w:val="13"/>
          <w:szCs w:val="13"/>
        </w:rPr>
        <w:t>ÉTODOS DIAGNÓSTICOS</w:t>
      </w:r>
      <w:r>
        <w:rPr>
          <w:b/>
          <w:bCs/>
        </w:rPr>
        <w:t xml:space="preserve">: </w:t>
      </w:r>
      <w:r>
        <w:t xml:space="preserve">El virus se puede aislar de las secreciones nasofaríngeas por lo común entre cuatro y siete días posteriores a la inoculación del cultivo o en fecha anterior por medio de centrifugación de la muestra en una monocapa de células susceptibles y más adelante usar tinción del antígeno vírico (método de centrifugación y cultivo). La confirmación se hace por detección rápida de antígeno, por lo común mediante inmunofluorescencia. Cabe recurrir a técnicas de identificación rápida de antígenos, que incluyen las de inmunofluorescencia, inmunoanálisis enzimáticos, radioinmunoensayos y fluoroinmunoensayos para detectar el virus en las secreciones nasofaríngeas, pero varían las sensibilidades de cada una. Se cuenta para detectar y diferenciar los virus de parainfluenza con los métodos de reacción en cadena de polimerasa-transcriptasa inversa múltiple, que poseen sensibilidad y especificidad altas. El diagnóstico serológico que se hace en forma retrospectiva al tomar en consideración el incremento significativo del título de anticuerpos entre muestras de suero obtenidas en la fase aguda de la infección y la convalecencia, puede ser desorientador porque es frecuente que haya aumentos de las concentraciones de anticuerpos heterotípicos atribuibles a infecciones causadas por otros serotipos de virus de parainfluenza y parotiditis. Además, la infección tal vez no se acompañe siempre de una respuesta homotípica y notable de anticuerpos. Poco se sabe de la respuesta de anticuerpos a la infección de tipo 4, pero la respuesta homotípica es usual en la infección primaria. </w:t>
      </w:r>
      <w:r>
        <w:rPr>
          <w:b/>
          <w:bCs/>
        </w:rPr>
        <w:t>T</w:t>
      </w:r>
      <w:r>
        <w:rPr>
          <w:b/>
          <w:bCs/>
          <w:sz w:val="13"/>
          <w:szCs w:val="13"/>
        </w:rPr>
        <w:t>RATAMIENTO</w:t>
      </w:r>
      <w:r>
        <w:rPr>
          <w:b/>
          <w:bCs/>
        </w:rPr>
        <w:t xml:space="preserve">: </w:t>
      </w:r>
      <w:r>
        <w:t xml:space="preserve">No se dispone de una terapia antivírica específica. Muchas de las infecciones ceden por sí solas y no necesitan tratamiento. A veces es útil la medición seriada de la oxigenación y de la hipercarbia en los niños afectados muy gravemente con enfermedad de vías respiratorias bajas. Por lo regular se utiliza adrenalina en aerosol en los niños hospitalizados con laringotraqueobronquitis muy intensa para disminuir la obstrucción ventilatoria. Se ha demostrado que la administración parenteral de dosis altas de dexametasona (más de 0.3 mg/kg) o dexametasona ingerible (0.15 a 0.6 mg/kg) y corticosteroides nebulizados aplacan la intensidad y acortan la duración de los síntomas y la hospitalización en niños con laringotraqueobronquitis moderada o intensa. La dexametasona ingerible (0.15 mg/kg) también es eficaz para niños ambulatorios con crup menos grave. Por lo demás, el tratamiento es de apoyo. Los antimicrobianos deben reservarse para infecciones bacterianas secundarias corroboradas. </w:t>
      </w:r>
      <w:r>
        <w:rPr>
          <w:b/>
          <w:bCs/>
        </w:rPr>
        <w:t>A</w:t>
      </w:r>
      <w:r>
        <w:rPr>
          <w:b/>
          <w:bCs/>
          <w:sz w:val="13"/>
          <w:szCs w:val="13"/>
        </w:rPr>
        <w:t>ISLAMIENTO DEL PACIENTE HOSPITALIZADO</w:t>
      </w:r>
      <w:r>
        <w:rPr>
          <w:b/>
          <w:bCs/>
        </w:rPr>
        <w:t xml:space="preserve">: </w:t>
      </w:r>
      <w:r>
        <w:t>Además de las precauciones estándar, se recomienda seguir las precauciones para evitar la transmisión por contacto en lactantes y niños de corta edad hospitalizados, durante todo el tiempo que dure la enfermedad. Se controlará la propagación dentro del nosocomio si se cumplen fielmente los métodos de erradicación de infecciones, que incluyen prevención de la contaminación ambiental por secreciones de vías respiratorias e higiene cuidadosa de las manos. Los niños inmunodeficientes con infección de tipo 3 deben ser aislados para evitar el contagio dentro de los nosocomios.</w:t>
      </w:r>
    </w:p>
    <w:p w14:paraId="4E6CCD55" w14:textId="77777777" w:rsidR="00D03C17" w:rsidRDefault="00D03C17">
      <w:pPr>
        <w:pStyle w:val="BodyText"/>
        <w:ind w:firstLine="0"/>
      </w:pPr>
      <w:r>
        <w:rPr>
          <w:b/>
          <w:bCs/>
        </w:rPr>
        <w:t>M</w:t>
      </w:r>
      <w:r>
        <w:rPr>
          <w:b/>
          <w:bCs/>
          <w:sz w:val="13"/>
          <w:szCs w:val="13"/>
        </w:rPr>
        <w:t>EDIDAS PREVENTIVAS</w:t>
      </w:r>
      <w:r>
        <w:rPr>
          <w:b/>
          <w:bCs/>
        </w:rPr>
        <w:t xml:space="preserve">: </w:t>
      </w:r>
      <w:r>
        <w:t>Los intentos se orientan a disminuir las infecciones nosocomiales y hay que insistir en la higiene meticulosa de las manos.</w:t>
      </w:r>
    </w:p>
    <w:p w14:paraId="3F0E0D65" w14:textId="77777777" w:rsidR="00D03C17" w:rsidRDefault="00D03C17">
      <w:pPr>
        <w:pStyle w:val="Bodytext70"/>
        <w:spacing w:after="0"/>
      </w:pPr>
      <w:r>
        <w:t>Parasitosis</w:t>
      </w:r>
    </w:p>
    <w:p w14:paraId="1924BB87" w14:textId="77777777" w:rsidR="00D03C17" w:rsidRDefault="00D03C17">
      <w:pPr>
        <w:pStyle w:val="BodyText"/>
        <w:ind w:firstLine="0"/>
      </w:pPr>
      <w:r>
        <w:t>Es costumbre en Estados Unidos, Canadá y Europa, considerar que muchas enfermedades por parásitos corresponden a otros países y, por lo tanto, no se incluyen en los diagnósticos diferenciales. Sin embargo, varios de los microorganismos en cuestión son endémicos en países industrializados, y en forma global, los parásitos constituyen una de las causas más frecuentes de complicaciones y muerte en diversos sitios geográficos a nivel mundial. Fuera de los trópicos y los subtrópicos, las enfermedades parasitarias son las más comunes entre turistas que vuelven a su país de origen, en migrantes que vienen de zonas altamente endémicas y en personas inmunodeficientes. Es necesario que los médicos y el personal de laboratorio clínico sepan en dónde pueden adquirirse tales infecciones, cuál es su cuadro clínico inicial y los métodos de diagnóstico, y deberán orientar a los viajeros sobre la forma de evitarlas. En el cuadro 3-52 se incluyen detalles de algunas parasitosis de aparición poco frecuente.</w:t>
      </w:r>
    </w:p>
    <w:p w14:paraId="313AE9BC" w14:textId="77777777" w:rsidR="00D03C17" w:rsidRDefault="00D03C17">
      <w:pPr>
        <w:pStyle w:val="BodyText"/>
        <w:spacing w:line="276" w:lineRule="auto"/>
        <w:ind w:firstLine="360"/>
      </w:pPr>
      <w:r>
        <w:t xml:space="preserve">En Estados Unidos las organizaciones gubernamentales brindan consulta y asistencia en el diagnóstico y tratamiento de las enfermedades de este tipo (p. ej., </w:t>
      </w:r>
      <w:r>
        <w:rPr>
          <w:rFonts w:ascii="Times New Roman" w:eastAsia="Times New Roman" w:hAnsi="Times New Roman" w:cs="Times New Roman"/>
          <w:i/>
          <w:iCs/>
          <w:sz w:val="16"/>
          <w:szCs w:val="16"/>
        </w:rPr>
        <w:t>Centers for Disease Control and Prevention [CDC]</w:t>
      </w:r>
      <w:r>
        <w:t xml:space="preserve"> y departamentos de salud estatal), así como los departamentos universitarios o divisiones de medicina geográfica o tropical, infectología pediátrica, salud internacional y salud pública.</w:t>
      </w:r>
    </w:p>
    <w:p w14:paraId="3C2593E9" w14:textId="77777777" w:rsidR="00D03C17" w:rsidRDefault="00D03C17">
      <w:pPr>
        <w:pStyle w:val="BodyText"/>
        <w:ind w:firstLine="360"/>
      </w:pPr>
      <w:r>
        <w:t xml:space="preserve">En Estados Unidos, los CDC distribuyen algunos fármacos que no se expenden en el comercio, para tratar parasitosis. Estos medicamentos se incluyen en las notas al pie del cuadro 4-14, “Fármacos antiparasitarios” (sección 4). Al solicitar dichos medicamentos el médico entrará en contacto con el CDC </w:t>
      </w:r>
      <w:r>
        <w:rPr>
          <w:rFonts w:ascii="Times New Roman" w:eastAsia="Times New Roman" w:hAnsi="Times New Roman" w:cs="Times New Roman"/>
          <w:i/>
          <w:iCs/>
          <w:sz w:val="16"/>
          <w:szCs w:val="16"/>
        </w:rPr>
        <w:t>Drug Service</w:t>
      </w:r>
      <w:r>
        <w:t xml:space="preserve"> (véase apéndice 1, “Directorio de recursos”) y aportará los datos siguientes: 1) nombre, dirección y número telefónico del médico; 2) el tipo de infección que tratará y el método por el cual se diagnosticó la infección; 3) nombre, edad, peso, sexo del paciente y, si es del sexo femenino, si está embarazada, y 4) datos básicos demográficos, clínicos y epidemiológicos. A veces es necesario consultar con un funcionario médico de los CDC antes de entregar los fármacos.</w:t>
      </w:r>
    </w:p>
    <w:p w14:paraId="08A8177B" w14:textId="77777777" w:rsidR="00D03C17" w:rsidRDefault="00D03C17">
      <w:pPr>
        <w:pStyle w:val="BodyText"/>
        <w:spacing w:after="100" w:line="276" w:lineRule="auto"/>
        <w:ind w:firstLine="360"/>
      </w:pPr>
      <w:r>
        <w:t xml:space="preserve">En resúmenes individuales de la sección 3 se exponen las infecciones parasitarias importantes de los seres humanos, dispuestas en orden alfabético, y los comentarios incluyen recomendaciones de farmacoterapia. Los cuadros 4-13 y 4-14, reproducidos de </w:t>
      </w:r>
      <w:r>
        <w:rPr>
          <w:rFonts w:ascii="Times New Roman" w:eastAsia="Times New Roman" w:hAnsi="Times New Roman" w:cs="Times New Roman"/>
          <w:i/>
          <w:iCs/>
          <w:sz w:val="16"/>
          <w:szCs w:val="16"/>
        </w:rPr>
        <w:t>The Medical Letter</w:t>
      </w:r>
      <w:r>
        <w:t xml:space="preserve"> (véase “Fármacos antiparasitarios”, sección 4) señalan recomendaciones posológicas y otra información importante en lo que toca a antiparasitarios específicos. Si bien las recomendaciones para la administración de estos fármacos que se ofrecen en los resúmenes de cada enfermedad son similares, quizá no sean idénticas en todos los casos, ante la diferencia de opiniones de los expertos. Habrá que consultar ambas fuentes de información.</w:t>
      </w:r>
    </w:p>
    <w:p w14:paraId="33998840" w14:textId="77777777" w:rsidR="00D03C17" w:rsidRDefault="00D03C17">
      <w:pPr>
        <w:pStyle w:val="Bodytext70"/>
        <w:spacing w:after="0"/>
      </w:pPr>
      <w:r>
        <w:t>Parotiditis</w:t>
      </w:r>
    </w:p>
    <w:p w14:paraId="240CCC6E" w14:textId="77777777" w:rsidR="00D03C17" w:rsidRDefault="00D03C17">
      <w:pPr>
        <w:pStyle w:val="BodyText"/>
        <w:ind w:firstLine="0"/>
        <w:sectPr w:rsidR="00D03C17" w:rsidSect="00D03C17">
          <w:headerReference w:type="even" r:id="rId133"/>
          <w:headerReference w:type="default" r:id="rId134"/>
          <w:footerReference w:type="even" r:id="rId135"/>
          <w:footerReference w:type="default" r:id="rId136"/>
          <w:headerReference w:type="first" r:id="rId137"/>
          <w:footerReference w:type="first" r:id="rId138"/>
          <w:footnotePr>
            <w:numFmt w:val="chicago"/>
          </w:footnotePr>
          <w:pgSz w:w="8501" w:h="13022"/>
          <w:pgMar w:top="704" w:right="812" w:bottom="457" w:left="766" w:header="0" w:footer="3" w:gutter="0"/>
          <w:cols w:space="720"/>
          <w:noEndnote/>
          <w:titlePg/>
          <w:docGrid w:linePitch="360"/>
          <w15:footnoteColumns w:val="1"/>
        </w:sectPr>
      </w:pPr>
      <w:r>
        <w:rPr>
          <w:b/>
          <w:bCs/>
        </w:rPr>
        <w:t>M</w:t>
      </w:r>
      <w:r>
        <w:rPr>
          <w:b/>
          <w:bCs/>
          <w:sz w:val="13"/>
          <w:szCs w:val="13"/>
        </w:rPr>
        <w:t>ANIFESTACIONES CLÍNICAS</w:t>
      </w:r>
      <w:r>
        <w:rPr>
          <w:b/>
          <w:bCs/>
        </w:rPr>
        <w:t xml:space="preserve">: </w:t>
      </w:r>
      <w:r>
        <w:t xml:space="preserve">La parotiditis es una enfermedad sistémica que se caracteriza por la hinchazón de una o más de las glándulas salivales, por lo común las parótidas. En promedio, 33% de los casos no originan una hinchazón clínicamente manifiesta de las glándulas mencionadas. Más de la mitad de las personas con parotiditis tiene pleocitosis de líquido cefalorraquídeo, pero menos de 10% tienen signos de infección del sistema nervioso central. La orquitis es una complicación frecuente después de la pubertad, aunque rara vez el joven termina siendo estéril. Otras </w:t>
      </w:r>
    </w:p>
    <w:p w14:paraId="1A0B4EE3" w14:textId="77777777" w:rsidR="00D03C17" w:rsidRDefault="00D03C17">
      <w:pPr>
        <w:pStyle w:val="BodyText"/>
        <w:ind w:firstLine="0"/>
      </w:pPr>
      <w:r>
        <w:t>profunda, y habrá que vacunarlos contra la parotiditis con la vacuna triple (véase “Humana, infección del virus de inmunodeficiencia [VIH]” en esta sección). El peligro de exposición a parotiditis por parte de personas con alteraciones inmunitarias puede disminuir si se vacuna a sus contactos susceptibles más cercanos. Las personas inmunizadas no transmiten el virus de la vacuna antiparotidítica.</w:t>
      </w:r>
    </w:p>
    <w:p w14:paraId="3EDE1369" w14:textId="77777777" w:rsidR="00D03C17" w:rsidRDefault="00D03C17">
      <w:pPr>
        <w:pStyle w:val="BodyText"/>
        <w:ind w:firstLine="360"/>
      </w:pPr>
      <w:r>
        <w:t>Una vez que terminó el tratamiento inmunosupresor será mejor no aplicar la vacuna antiparotidítica durante tres meses, como mínimo (con excepción de quienes reciben corticosteroides, véase el párrafo siguiente). El intervalo anterior se basa en la suposición de que se restaurará en 90 días la capacidad de respuesta inmunológica y que la enfermedad primaria contra la cual se usó el tratamiento inmunosupresor está en fase de remisión o erradicación. Sin embargo, el intervalo varía con la intensidad y el tipo de la terapia inmunosupresora, radioterapia, enfermedad primaria y otros factores, razón por la cual es imposible hacer una recomendación definitiva del lapso que se dejará después que se interrumpa la terapia inmunosupresora, y pueda administrarse en forma segura y eficaz la vacuna con la parotiditis.</w:t>
      </w:r>
    </w:p>
    <w:p w14:paraId="689B7EC8" w14:textId="77777777" w:rsidR="00D03C17" w:rsidRDefault="00D03C17">
      <w:pPr>
        <w:pStyle w:val="BodyText"/>
        <w:spacing w:line="276" w:lineRule="auto"/>
        <w:ind w:firstLine="360"/>
      </w:pPr>
      <w:r>
        <w:rPr>
          <w:rFonts w:ascii="Times New Roman" w:eastAsia="Times New Roman" w:hAnsi="Times New Roman" w:cs="Times New Roman"/>
          <w:b/>
          <w:bCs/>
          <w:i/>
          <w:iCs/>
          <w:sz w:val="16"/>
          <w:szCs w:val="16"/>
        </w:rPr>
        <w:t>Corticosteroides.</w:t>
      </w:r>
      <w:r>
        <w:t xml:space="preserve"> En el caso de niños que han recibido dosis altas de corticosteroides durante 14 días o más y que por lo demás no muestran inmunodeficiencia, el intervalo recomendado es de un mes, como mínimo después de interrumpir la corticoterapia (véase “Niños inmunodeficientes”, sección 1).</w:t>
      </w:r>
    </w:p>
    <w:p w14:paraId="305B9E1E" w14:textId="77777777" w:rsidR="00D03C17" w:rsidRDefault="00D03C17">
      <w:pPr>
        <w:pStyle w:val="BodyText"/>
        <w:spacing w:line="276" w:lineRule="auto"/>
        <w:ind w:firstLine="360"/>
      </w:pPr>
      <w:r>
        <w:rPr>
          <w:rFonts w:ascii="Times New Roman" w:eastAsia="Times New Roman" w:hAnsi="Times New Roman" w:cs="Times New Roman"/>
          <w:b/>
          <w:bCs/>
          <w:i/>
          <w:iCs/>
          <w:sz w:val="16"/>
          <w:szCs w:val="16"/>
        </w:rPr>
        <w:t>Embarazo.</w:t>
      </w:r>
      <w:r>
        <w:t xml:space="preserve"> Las mujeres pospúberes susceptibles no deben ser vacunadas si se sabe que están embarazadas. El virus vivo de parotiditis en la vacuna puede infectar la placenta, aunque no se le ha aislado de tejidos fetales de mujeres susceptibles que fueron vacunadas y a quienes se practicaron abortos planeados. Sin embargo, ante el riesgo teórico será mejor que la mujer no conciba durante 28 días después de recibir la vacuna antiparotidítica.</w:t>
      </w:r>
    </w:p>
    <w:p w14:paraId="45CDA81C" w14:textId="77777777" w:rsidR="00D03C17" w:rsidRDefault="00D03C17">
      <w:pPr>
        <w:pStyle w:val="BodyText"/>
        <w:spacing w:after="100" w:line="276" w:lineRule="auto"/>
        <w:ind w:firstLine="360"/>
      </w:pPr>
      <w:r>
        <w:rPr>
          <w:rFonts w:ascii="Arial" w:eastAsia="Arial" w:hAnsi="Arial" w:cs="Arial"/>
          <w:b/>
          <w:bCs/>
          <w:i/>
          <w:iCs/>
          <w:sz w:val="15"/>
          <w:szCs w:val="15"/>
        </w:rPr>
        <w:t>Erradicación de brotes.</w:t>
      </w:r>
      <w:r>
        <w:t xml:space="preserve"> Cuando se valoran los medios para erradicar brotes, hay que pensar en la exclusión de estudiantes susceptibles, de escuelas afectadas e instituciones que a juzgar por las autoridades sanitarias locales pudieran estar expuestas al riesgo de transmisión. La exclusión mencionada debe ser una forma eficaz de controlar los brotes escolares y aumentar rápidamente los índices de inmunización. Los estudiantes excluidos deben ser readmitidos inmediatamente después de la vacunación. Habrá que excluir a los discípulos que sigan siendo eximidos de la vacunación antiparotidítica por razones médicas, religiosas o de otra índole, incluso 26 días después de comenzar la parotiditis en la última persona con hinchazón de parótidas en la escuela “afectada”. La experiencia con la erradicación de brotes en lo que toca a otras enfermedades evitables con vacunas indica que tal estrategia puede ser eficaz.</w:t>
      </w:r>
    </w:p>
    <w:p w14:paraId="7DB71163" w14:textId="77777777" w:rsidR="00D03C17" w:rsidRDefault="00D03C17">
      <w:pPr>
        <w:pStyle w:val="Bodytext70"/>
        <w:spacing w:after="0"/>
      </w:pPr>
      <w:r>
        <w:t>Parvovirus B19</w:t>
      </w:r>
    </w:p>
    <w:p w14:paraId="7322ED49" w14:textId="77777777" w:rsidR="00D03C17" w:rsidRDefault="00D03C17">
      <w:pPr>
        <w:pStyle w:val="Other0"/>
        <w:spacing w:line="252" w:lineRule="auto"/>
        <w:ind w:firstLine="0"/>
        <w:rPr>
          <w:sz w:val="20"/>
          <w:szCs w:val="20"/>
        </w:rPr>
      </w:pPr>
      <w:r>
        <w:rPr>
          <w:rFonts w:ascii="Arial" w:eastAsia="Arial" w:hAnsi="Arial" w:cs="Arial"/>
          <w:b/>
          <w:bCs/>
          <w:w w:val="70"/>
          <w:sz w:val="20"/>
          <w:szCs w:val="20"/>
        </w:rPr>
        <w:t>(Eritema infeccioso, quinta enfermedad)</w:t>
      </w:r>
    </w:p>
    <w:p w14:paraId="1DF60022" w14:textId="77777777" w:rsidR="00D03C17" w:rsidRDefault="00D03C17">
      <w:pPr>
        <w:pStyle w:val="BodyText"/>
        <w:spacing w:after="40"/>
        <w:ind w:firstLine="0"/>
      </w:pPr>
      <w:r>
        <w:rPr>
          <w:b/>
          <w:bCs/>
          <w:smallCaps/>
          <w:sz w:val="20"/>
          <w:szCs w:val="20"/>
        </w:rPr>
        <w:t>M</w:t>
      </w:r>
      <w:r>
        <w:rPr>
          <w:b/>
          <w:bCs/>
          <w:smallCaps/>
          <w:sz w:val="16"/>
          <w:szCs w:val="16"/>
        </w:rPr>
        <w:t>anifestaciones clínicas</w:t>
      </w:r>
      <w:r>
        <w:rPr>
          <w:b/>
          <w:bCs/>
          <w:smallCaps/>
          <w:sz w:val="20"/>
          <w:szCs w:val="20"/>
        </w:rPr>
        <w:t>:</w:t>
      </w:r>
      <w:r>
        <w:t xml:space="preserve"> La infección por parvovirus B19 se identifica muy a menudo en la forma de eritema infeccioso (EI), que se caracteriza por síntomas generales leves, fiebre en 15 a 30% de los pacientes y a menudo una erupción característica. La erupción en la cara es muy roja con una imagen de “bofetadas” que a menudo se acompaña de palidez peribucal. En el tronco también se observa una erupción simétrica, maculopapular, “en entramado” y a menudo pruriginosa, que se desplaza en sentido periférico para abarcar brazos, glúteos y muslos. La erupción puede fluctuar en intensidad y reaparecer con cambios del entorno, como temperatura y exposición a la luz solar, durante semanas o meses. A menudo antes del exantema característico surge en un lapso</w:t>
      </w:r>
    </w:p>
    <w:tbl>
      <w:tblPr>
        <w:tblOverlap w:val="never"/>
        <w:tblW w:w="0" w:type="auto"/>
        <w:jc w:val="center"/>
        <w:tblLayout w:type="fixed"/>
        <w:tblCellMar>
          <w:left w:w="10" w:type="dxa"/>
          <w:right w:w="10" w:type="dxa"/>
        </w:tblCellMar>
        <w:tblLook w:val="04A0" w:firstRow="1" w:lastRow="0" w:firstColumn="1" w:lastColumn="0" w:noHBand="0" w:noVBand="1"/>
      </w:tblPr>
      <w:tblGrid>
        <w:gridCol w:w="2606"/>
        <w:gridCol w:w="4315"/>
      </w:tblGrid>
      <w:tr w:rsidR="00D03C17" w14:paraId="3C04B1FE" w14:textId="77777777">
        <w:tblPrEx>
          <w:tblCellMar>
            <w:top w:w="0" w:type="dxa"/>
            <w:bottom w:w="0" w:type="dxa"/>
          </w:tblCellMar>
        </w:tblPrEx>
        <w:trPr>
          <w:trHeight w:hRule="exact" w:val="869"/>
          <w:jc w:val="center"/>
        </w:trPr>
        <w:tc>
          <w:tcPr>
            <w:tcW w:w="6921" w:type="dxa"/>
            <w:gridSpan w:val="2"/>
            <w:tcBorders>
              <w:top w:val="single" w:sz="4" w:space="0" w:color="auto"/>
            </w:tcBorders>
            <w:shd w:val="clear" w:color="auto" w:fill="FFFFFF"/>
            <w:vAlign w:val="bottom"/>
          </w:tcPr>
          <w:p w14:paraId="016FE083" w14:textId="77777777" w:rsidR="00D03C17" w:rsidRDefault="00D03C17">
            <w:pPr>
              <w:pStyle w:val="Other0"/>
              <w:spacing w:line="211" w:lineRule="auto"/>
              <w:ind w:firstLine="0"/>
              <w:jc w:val="center"/>
              <w:rPr>
                <w:sz w:val="26"/>
                <w:szCs w:val="26"/>
              </w:rPr>
            </w:pPr>
            <w:r>
              <w:rPr>
                <w:rFonts w:ascii="Arial" w:eastAsia="Arial" w:hAnsi="Arial" w:cs="Arial"/>
                <w:w w:val="70"/>
                <w:sz w:val="26"/>
                <w:szCs w:val="26"/>
              </w:rPr>
              <w:t xml:space="preserve">Cuadro 3-53. </w:t>
            </w:r>
            <w:r>
              <w:rPr>
                <w:rFonts w:ascii="Arial" w:eastAsia="Arial" w:hAnsi="Arial" w:cs="Arial"/>
                <w:b/>
                <w:bCs/>
                <w:w w:val="70"/>
                <w:sz w:val="26"/>
                <w:szCs w:val="26"/>
              </w:rPr>
              <w:t>Manifestaciones clínicas de la infección por parvovirus B19 humano</w:t>
            </w:r>
          </w:p>
        </w:tc>
      </w:tr>
      <w:tr w:rsidR="00D03C17" w14:paraId="333C00D5" w14:textId="77777777">
        <w:tblPrEx>
          <w:tblCellMar>
            <w:top w:w="0" w:type="dxa"/>
            <w:bottom w:w="0" w:type="dxa"/>
          </w:tblCellMar>
        </w:tblPrEx>
        <w:trPr>
          <w:trHeight w:hRule="exact" w:val="264"/>
          <w:jc w:val="center"/>
        </w:trPr>
        <w:tc>
          <w:tcPr>
            <w:tcW w:w="2606" w:type="dxa"/>
            <w:shd w:val="clear" w:color="auto" w:fill="231F20"/>
          </w:tcPr>
          <w:p w14:paraId="1B2D4427" w14:textId="77777777" w:rsidR="00D03C17" w:rsidRDefault="00D03C17">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■Cuadros</w:t>
            </w:r>
          </w:p>
        </w:tc>
        <w:tc>
          <w:tcPr>
            <w:tcW w:w="4315" w:type="dxa"/>
            <w:shd w:val="clear" w:color="auto" w:fill="231F20"/>
          </w:tcPr>
          <w:p w14:paraId="329C5A2B" w14:textId="77777777" w:rsidR="00D03C17" w:rsidRDefault="00D03C17">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260"/>
              <w:jc w:val="both"/>
              <w:rPr>
                <w:sz w:val="24"/>
                <w:szCs w:val="24"/>
              </w:rPr>
            </w:pPr>
            <w:r>
              <w:rPr>
                <w:rFonts w:ascii="Arial" w:eastAsia="Arial" w:hAnsi="Arial" w:cs="Arial"/>
                <w:b/>
                <w:bCs/>
                <w:color w:val="FFFFFF"/>
                <w:w w:val="70"/>
                <w:sz w:val="24"/>
                <w:szCs w:val="24"/>
              </w:rPr>
              <w:t>Hospedadores usuales</w:t>
            </w:r>
          </w:p>
        </w:tc>
      </w:tr>
      <w:tr w:rsidR="00D03C17" w14:paraId="0DEBE797" w14:textId="77777777">
        <w:tblPrEx>
          <w:tblCellMar>
            <w:top w:w="0" w:type="dxa"/>
            <w:bottom w:w="0" w:type="dxa"/>
          </w:tblCellMar>
        </w:tblPrEx>
        <w:trPr>
          <w:trHeight w:hRule="exact" w:val="1896"/>
          <w:jc w:val="center"/>
        </w:trPr>
        <w:tc>
          <w:tcPr>
            <w:tcW w:w="2606" w:type="dxa"/>
            <w:tcBorders>
              <w:bottom w:val="single" w:sz="4" w:space="0" w:color="auto"/>
            </w:tcBorders>
            <w:shd w:val="clear" w:color="auto" w:fill="FFFFFF"/>
            <w:vAlign w:val="center"/>
          </w:tcPr>
          <w:p w14:paraId="1FF8C3B9" w14:textId="77777777" w:rsidR="00D03C17" w:rsidRDefault="00D03C17">
            <w:pPr>
              <w:pStyle w:val="Other0"/>
              <w:spacing w:line="283" w:lineRule="auto"/>
              <w:ind w:firstLine="0"/>
              <w:rPr>
                <w:sz w:val="16"/>
                <w:szCs w:val="16"/>
              </w:rPr>
            </w:pPr>
            <w:r>
              <w:rPr>
                <w:rFonts w:ascii="Times New Roman" w:eastAsia="Times New Roman" w:hAnsi="Times New Roman" w:cs="Times New Roman"/>
                <w:sz w:val="16"/>
                <w:szCs w:val="16"/>
              </w:rPr>
              <w:t>Eritema infeccioso</w:t>
            </w:r>
          </w:p>
          <w:p w14:paraId="2579499B" w14:textId="77777777" w:rsidR="00D03C17" w:rsidRDefault="00D03C17">
            <w:pPr>
              <w:pStyle w:val="Other0"/>
              <w:spacing w:line="283" w:lineRule="auto"/>
              <w:ind w:firstLine="200"/>
              <w:rPr>
                <w:sz w:val="16"/>
                <w:szCs w:val="16"/>
              </w:rPr>
            </w:pPr>
            <w:r>
              <w:rPr>
                <w:rFonts w:ascii="Times New Roman" w:eastAsia="Times New Roman" w:hAnsi="Times New Roman" w:cs="Times New Roman"/>
                <w:sz w:val="16"/>
                <w:szCs w:val="16"/>
              </w:rPr>
              <w:t>(quinta enfermedad) Síndrome de poliartropatía Anemia crónica/aplasia</w:t>
            </w:r>
          </w:p>
          <w:p w14:paraId="39097808" w14:textId="77777777" w:rsidR="00D03C17" w:rsidRDefault="00D03C17">
            <w:pPr>
              <w:pStyle w:val="Other0"/>
              <w:spacing w:line="283" w:lineRule="auto"/>
              <w:ind w:firstLine="200"/>
              <w:rPr>
                <w:sz w:val="16"/>
                <w:szCs w:val="16"/>
              </w:rPr>
            </w:pPr>
            <w:r>
              <w:rPr>
                <w:rFonts w:ascii="Times New Roman" w:eastAsia="Times New Roman" w:hAnsi="Times New Roman" w:cs="Times New Roman"/>
                <w:sz w:val="16"/>
                <w:szCs w:val="16"/>
              </w:rPr>
              <w:t>eritrocítica pura</w:t>
            </w:r>
          </w:p>
          <w:p w14:paraId="3B4E91A4" w14:textId="77777777" w:rsidR="00D03C17" w:rsidRDefault="00D03C17">
            <w:pPr>
              <w:pStyle w:val="Other0"/>
              <w:spacing w:after="200" w:line="283" w:lineRule="auto"/>
              <w:ind w:firstLine="0"/>
              <w:rPr>
                <w:sz w:val="16"/>
                <w:szCs w:val="16"/>
              </w:rPr>
            </w:pPr>
            <w:r>
              <w:rPr>
                <w:rFonts w:ascii="Times New Roman" w:eastAsia="Times New Roman" w:hAnsi="Times New Roman" w:cs="Times New Roman"/>
                <w:sz w:val="16"/>
                <w:szCs w:val="16"/>
              </w:rPr>
              <w:t>Crisis aplástica transitoria</w:t>
            </w:r>
          </w:p>
          <w:p w14:paraId="50360609" w14:textId="77777777" w:rsidR="00D03C17" w:rsidRDefault="00D03C17">
            <w:pPr>
              <w:pStyle w:val="Other0"/>
              <w:spacing w:line="283" w:lineRule="auto"/>
              <w:ind w:firstLine="0"/>
              <w:rPr>
                <w:sz w:val="16"/>
                <w:szCs w:val="16"/>
              </w:rPr>
            </w:pPr>
            <w:r>
              <w:rPr>
                <w:rFonts w:ascii="Times New Roman" w:eastAsia="Times New Roman" w:hAnsi="Times New Roman" w:cs="Times New Roman"/>
                <w:sz w:val="16"/>
                <w:szCs w:val="16"/>
              </w:rPr>
              <w:t>Anasarca fetal/anemia congénita</w:t>
            </w:r>
          </w:p>
        </w:tc>
        <w:tc>
          <w:tcPr>
            <w:tcW w:w="4315" w:type="dxa"/>
            <w:tcBorders>
              <w:bottom w:val="single" w:sz="4" w:space="0" w:color="auto"/>
            </w:tcBorders>
            <w:shd w:val="clear" w:color="auto" w:fill="FFFFFF"/>
            <w:vAlign w:val="center"/>
          </w:tcPr>
          <w:p w14:paraId="43926FB8" w14:textId="77777777" w:rsidR="00D03C17" w:rsidRDefault="00D03C17">
            <w:pPr>
              <w:pStyle w:val="Other0"/>
              <w:spacing w:after="200" w:line="283" w:lineRule="auto"/>
              <w:ind w:firstLine="260"/>
              <w:jc w:val="both"/>
              <w:rPr>
                <w:sz w:val="16"/>
                <w:szCs w:val="16"/>
              </w:rPr>
            </w:pPr>
            <w:r>
              <w:rPr>
                <w:rFonts w:ascii="Times New Roman" w:eastAsia="Times New Roman" w:hAnsi="Times New Roman" w:cs="Times New Roman"/>
                <w:sz w:val="16"/>
                <w:szCs w:val="16"/>
              </w:rPr>
              <w:t>Niños inmunocompetentes</w:t>
            </w:r>
          </w:p>
          <w:p w14:paraId="63D4C7A0" w14:textId="77777777" w:rsidR="00D03C17" w:rsidRDefault="00D03C17">
            <w:pPr>
              <w:pStyle w:val="Other0"/>
              <w:spacing w:after="200" w:line="283" w:lineRule="auto"/>
              <w:ind w:left="260"/>
              <w:rPr>
                <w:sz w:val="16"/>
                <w:szCs w:val="16"/>
              </w:rPr>
            </w:pPr>
            <w:r>
              <w:rPr>
                <w:rFonts w:ascii="Times New Roman" w:eastAsia="Times New Roman" w:hAnsi="Times New Roman" w:cs="Times New Roman"/>
                <w:sz w:val="16"/>
                <w:szCs w:val="16"/>
              </w:rPr>
              <w:t>Adultos inmunocompetentes (más común en mujeres) Hospedadores inmunodeficientes</w:t>
            </w:r>
          </w:p>
          <w:p w14:paraId="74FB2089" w14:textId="77777777" w:rsidR="00D03C17" w:rsidRDefault="00D03C17">
            <w:pPr>
              <w:pStyle w:val="Other0"/>
              <w:spacing w:line="283" w:lineRule="auto"/>
              <w:ind w:left="360" w:hanging="80"/>
              <w:rPr>
                <w:sz w:val="16"/>
                <w:szCs w:val="16"/>
              </w:rPr>
            </w:pPr>
            <w:r>
              <w:rPr>
                <w:rFonts w:ascii="Times New Roman" w:eastAsia="Times New Roman" w:hAnsi="Times New Roman" w:cs="Times New Roman"/>
                <w:sz w:val="16"/>
                <w:szCs w:val="16"/>
              </w:rPr>
              <w:t>Niños con anemia hemolítica (como la anemia drepanocítica)</w:t>
            </w:r>
          </w:p>
          <w:p w14:paraId="611C18AF" w14:textId="77777777" w:rsidR="00D03C17" w:rsidRDefault="00D03C17">
            <w:pPr>
              <w:pStyle w:val="Other0"/>
              <w:spacing w:after="200" w:line="283" w:lineRule="auto"/>
              <w:ind w:firstLine="260"/>
              <w:rPr>
                <w:sz w:val="16"/>
                <w:szCs w:val="16"/>
              </w:rPr>
            </w:pPr>
            <w:r>
              <w:rPr>
                <w:rFonts w:ascii="Times New Roman" w:eastAsia="Times New Roman" w:hAnsi="Times New Roman" w:cs="Times New Roman"/>
                <w:sz w:val="16"/>
                <w:szCs w:val="16"/>
              </w:rPr>
              <w:t>Feto (en las primeras 20 semanas de la gestación)</w:t>
            </w:r>
          </w:p>
        </w:tc>
      </w:tr>
    </w:tbl>
    <w:p w14:paraId="2E20428E" w14:textId="77777777" w:rsidR="00D03C17" w:rsidRDefault="00D03C17">
      <w:pPr>
        <w:spacing w:after="379" w:line="1" w:lineRule="exact"/>
      </w:pPr>
    </w:p>
    <w:p w14:paraId="26A60BFE" w14:textId="77777777" w:rsidR="00D03C17" w:rsidRDefault="00D03C17">
      <w:pPr>
        <w:pStyle w:val="BodyText"/>
        <w:ind w:firstLine="0"/>
      </w:pPr>
      <w:r>
        <w:t>de siete a 10 días un cuadro inespecífico leve y breve que comprende fiebre, malestar general, mialgias y cefalea. Las artralgias y la artritis rara vez surgen en niños infectados, pero afectan comúnmente a adultos y en particular a mujeres.</w:t>
      </w:r>
    </w:p>
    <w:p w14:paraId="4B26D0E9" w14:textId="77777777" w:rsidR="00D03C17" w:rsidRDefault="00D03C17">
      <w:pPr>
        <w:pStyle w:val="BodyText"/>
        <w:ind w:firstLine="380"/>
      </w:pPr>
      <w:r>
        <w:t>El parvovirus humano B19 también origina otras manifestaciones (cuadro 3-53) que incluyen infección asintomática, ataque leve de vías respiratorias y erupción, una erupción atípica de eritema infeccioso que pudiera ser rubeliforme o petequial, un síndrome de poliartropatía (artralgia y artritis en adultos sin que surjan las demás manifestaciones de EI); hipoplasia eritroide crónica en pacientes inmunodeficientes, así como una crisis aplástica transitoria que dura siete a 10 días en sujetos con anemias hemolíticas (como serían la enfermedad drepanocítica y la anemia hemolítica autoinmunitaria), y otros cuadros que se acompañan de disminución de las concentraciones de hemoglobina y que incluyen hemorragia, anemia profunda y talasemia. La infección crónica por parvovirus puede originar anemia intensa en niños infectados por virus de inmunodeficiencia humana (VIH). Además, en ocasiones la infección por el parvovirus B19 se ha acompañado de trombocitopenia y neutropenia. Los niños con crisis aplásticas pueden tener un cuadro prodrómico con fiebre, malestar y mialgias, pero sin erupción. La aplasia eritrocítica depende de la infección lítica en los precursores eritrocíticos.</w:t>
      </w:r>
    </w:p>
    <w:p w14:paraId="2B2958FB" w14:textId="77777777" w:rsidR="00D03C17" w:rsidRDefault="00D03C17">
      <w:pPr>
        <w:pStyle w:val="BodyText"/>
        <w:ind w:firstLine="380"/>
      </w:pPr>
      <w:r>
        <w:t>La infección por parvovirus B19, si surge en el embarazo, puede originar anasarca y muerte fetales, pero no constituye una causa probada de anormalidades congénitas. El riesgo de muerte fetal va de 2 a 6%, y el máximo peligro surge en la primera mitad del embarazo.</w:t>
      </w:r>
    </w:p>
    <w:p w14:paraId="6C4762F5" w14:textId="77777777" w:rsidR="00D03C17" w:rsidRDefault="00D03C17">
      <w:pPr>
        <w:pStyle w:val="BodyText"/>
        <w:ind w:firstLine="0"/>
      </w:pPr>
      <w:r>
        <w:rPr>
          <w:b/>
          <w:bCs/>
        </w:rPr>
        <w:t>C</w:t>
      </w:r>
      <w:r>
        <w:rPr>
          <w:b/>
          <w:bCs/>
          <w:sz w:val="13"/>
          <w:szCs w:val="13"/>
        </w:rPr>
        <w:t>AUSAS</w:t>
      </w:r>
      <w:r>
        <w:rPr>
          <w:b/>
          <w:bCs/>
        </w:rPr>
        <w:t xml:space="preserve">: </w:t>
      </w:r>
      <w:r>
        <w:t>El parvovirus humano B19 es una partícula de DNA de un solo filamento sin cubierta que muestra réplicas sólo en eritroblastos de personas.</w:t>
      </w:r>
    </w:p>
    <w:p w14:paraId="09AC3FAD" w14:textId="77777777" w:rsidR="00D03C17" w:rsidRDefault="00D03C17">
      <w:pPr>
        <w:pStyle w:val="BodyText"/>
        <w:ind w:firstLine="0"/>
      </w:pPr>
      <w:r>
        <w:rPr>
          <w:b/>
          <w:bCs/>
        </w:rPr>
        <w:t>A</w:t>
      </w:r>
      <w:r>
        <w:rPr>
          <w:b/>
          <w:bCs/>
          <w:sz w:val="13"/>
          <w:szCs w:val="13"/>
        </w:rPr>
        <w:t>SPECTOS EPIDEMIOLÓGICOS</w:t>
      </w:r>
      <w:r>
        <w:rPr>
          <w:b/>
          <w:bCs/>
        </w:rPr>
        <w:t xml:space="preserve">: </w:t>
      </w:r>
      <w:r>
        <w:t>El parvovirus B19 está distribuido a nivel mundial y es causa común de infección en seres humanos, que son los únicos hospedadores conocidos. Entre los mecanismos de transmisión están el contacto con secreciones de vías respiratorias, exposición percutánea a la sangre o hemoderivados y transmisión vertical de la madre al feto. Las infecciones por esta partícula están muy extendidas y a veces surgen esporádicamente casos de EI o en brotes en escuelas primarias o secundarias a finales del invierno y comienzos de la primavera. La propagación secundaria a miembros susceptibles del círculo familiar es frecuente y ocurre en cerca de la mitad de ellos. La cifra de transmisión en escuelas es menor, pero la infección puede ser un riesgo ocupacional del personal que atiende a escolares y niños, y 20%, en promedio, de las personas susceptibles terminan por mostrar la infección. En niños de corta edad, la seroprevalencia de anticuerpos por lo común es de 5 a 10%. En casi todas las comunidades, cerca de la mitad de los adultos jóvenes y más de 90% de los ancianos son seropositivos. La tasa de seroconversión anual en mujeres en edad de procreación, según algunas publicaciones, es de 1.5%, aproximadamente. El desglose cronológico de la presencia del DNA del parvovirus B19 en suero y secreciones de vías respiratorias indica que los niños con EI son muy infectantes antes de que aparezca la erupción y que disminuye la posibilidad de que lo sean después de que surge tal signo cutáneo. A diferencia de ellos, los niños con crisis aplástica son contagiosos desde antes que comiencen los síntomas hasta la semana ulterior al comienzo, como mínimo. A veces hay transmisión desde el paciente con crisis aplásticas al personal del hospital.</w:t>
      </w:r>
    </w:p>
    <w:p w14:paraId="30138E44" w14:textId="77777777" w:rsidR="00D03C17" w:rsidRDefault="00D03C17">
      <w:pPr>
        <w:pStyle w:val="BodyText"/>
        <w:ind w:firstLine="360"/>
        <w:sectPr w:rsidR="00D03C17" w:rsidSect="00D03C17">
          <w:headerReference w:type="even" r:id="rId139"/>
          <w:headerReference w:type="default" r:id="rId140"/>
          <w:footerReference w:type="even" r:id="rId141"/>
          <w:footerReference w:type="default" r:id="rId142"/>
          <w:footnotePr>
            <w:numFmt w:val="chicago"/>
          </w:footnotePr>
          <w:type w:val="continuous"/>
          <w:pgSz w:w="8501" w:h="13022"/>
          <w:pgMar w:top="704" w:right="812" w:bottom="457" w:left="766" w:header="0" w:footer="3" w:gutter="0"/>
          <w:cols w:space="720"/>
          <w:noEndnote/>
          <w:docGrid w:linePitch="360"/>
          <w15:footnoteColumns w:val="1"/>
        </w:sectPr>
      </w:pPr>
      <w:r>
        <w:t xml:space="preserve">El </w:t>
      </w:r>
      <w:r>
        <w:rPr>
          <w:b/>
          <w:bCs/>
        </w:rPr>
        <w:t xml:space="preserve">periodo de incubación </w:t>
      </w:r>
      <w:r>
        <w:t xml:space="preserve">que media entre el contagio con el parvovirus B19 y el comienzo de los primeros síntomas, suele ser de cuatro a 14 días y puede llegar a 21 días. Dos a tres semanas después de la infección aparecen la erupción y los síntomas articulares. </w:t>
      </w:r>
      <w:r>
        <w:rPr>
          <w:b/>
          <w:bCs/>
        </w:rPr>
        <w:t>M</w:t>
      </w:r>
      <w:r>
        <w:rPr>
          <w:b/>
          <w:bCs/>
          <w:sz w:val="13"/>
          <w:szCs w:val="13"/>
        </w:rPr>
        <w:t>ÉTODOS DIAGNÓSTICOS</w:t>
      </w:r>
      <w:r>
        <w:rPr>
          <w:b/>
          <w:bCs/>
        </w:rPr>
        <w:t xml:space="preserve">: </w:t>
      </w:r>
      <w:r>
        <w:t xml:space="preserve">En el hospedador inmunocompetente, el método diagnóstico preferido es la identificación del anticuerpo IgM específico del parvovirus B19. La positividad de la prueba, es decir, la identificación de IgM indica que la infección probablemente surgió en los dos a cuatro meses previos. Con base en los resultados de radioinmunoensayos o inmunoanálisis enzimáticos es posible detectar el anticuerpo en 90% o más de los pacientes para la fecha en que surge la erupción de EI, y para el tercer día de la enfermedad en niños con crisis aplásticas transitorias. La presencia del anticuerpo IgG en suero indica que hubo infección y que el niño es inmune. Los métodos anteriores los practican laboratorios comerciales y algunos departamentos de salud estatal y laboratorios de investigación. Sin embargo, son variables su sensibilidad y especificidad, particularmente para la detección de anticuerpo IgM. El método óptimo para detectar infección crónica en el paciente inmunodeficiente es demostrar la presencia del virus por los métodos de hibridación de ácido nucleico o reacción en cadena de polimerasa </w:t>
      </w:r>
      <w:r>
        <w:rPr>
          <w:i/>
          <w:iCs/>
        </w:rPr>
        <w:t>(</w:t>
      </w:r>
      <w:r>
        <w:rPr>
          <w:rFonts w:ascii="Times New Roman" w:eastAsia="Times New Roman" w:hAnsi="Times New Roman" w:cs="Times New Roman"/>
          <w:i/>
          <w:iCs/>
          <w:sz w:val="16"/>
          <w:szCs w:val="16"/>
        </w:rPr>
        <w:t>polymerase chain reaction</w:t>
      </w:r>
      <w:r>
        <w:rPr>
          <w:i/>
          <w:iCs/>
        </w:rPr>
        <w:t>,</w:t>
      </w:r>
      <w:r>
        <w:t xml:space="preserve"> PCR), porque hay variación en la presencia del anticuerpo contra dicha partícula en casos de infección persistente. El DNA del parvovirus B19 se detecta por la técnica de PCR en suero, incluso nueve meses después de la fase de viremia aguda, razón por la cual, la detección de dicho ácido nucleico de la partícula por medio de la técnica mencionada no indica obligadamente que existe infección aguda. Las técnicas de hibridación de ácido nucleico, menos sensibles, adquieren positividad sólo dos a cuatro días después del comienzo de la enfermedad. En el caso de pacientes infectados por VIH con anemia profunda que acompaña a la infección crónica, posiblemente se obtenga sensibilidad adecuada con la hibridación por inmunotransferencia de muestras de suero. No se ha obtenido el parvovirus B19 en el cultivo corriente celular pero sí en el cultivo experimental celular. </w:t>
      </w:r>
      <w:r>
        <w:rPr>
          <w:b/>
          <w:bCs/>
        </w:rPr>
        <w:t>T</w:t>
      </w:r>
      <w:r>
        <w:rPr>
          <w:b/>
          <w:bCs/>
          <w:sz w:val="13"/>
          <w:szCs w:val="13"/>
        </w:rPr>
        <w:t>RATAMIENTO</w:t>
      </w:r>
      <w:r>
        <w:rPr>
          <w:b/>
          <w:bCs/>
        </w:rPr>
        <w:t xml:space="preserve">: </w:t>
      </w:r>
      <w:r>
        <w:t xml:space="preserve">En el caso de la mayoría de los pacientes, sólo convienen medidas de sostén. Los niños con crisis aplásticas pueden necesitar transfusión. Para el tratamiento de infección crónica en pacientes inmunodeficientes casi siempre es eficaz la administración de concentrado inmunoglobulínico intravenoso y hay que pensar en su uso. Se han tratado adecuadamente con transfusiones sanguíneas intrauterinas algunos casos de infección por parvovirus B19 conjuntamente con anasarca fetal. </w:t>
      </w:r>
      <w:r>
        <w:rPr>
          <w:b/>
          <w:bCs/>
        </w:rPr>
        <w:t>A</w:t>
      </w:r>
      <w:r>
        <w:rPr>
          <w:b/>
          <w:bCs/>
          <w:sz w:val="13"/>
          <w:szCs w:val="13"/>
        </w:rPr>
        <w:t>ISLAMIENTO DEL PACIENTE HOSPITALIZADO</w:t>
      </w:r>
      <w:r>
        <w:rPr>
          <w:b/>
          <w:bCs/>
        </w:rPr>
        <w:t xml:space="preserve">: </w:t>
      </w:r>
      <w:r>
        <w:t>Además de las precauciones estándar se recomienda seguir las precauciones para evitar la transmisión por gotículas en niños hospitalizados, con crisis aplásticas o en sujetos inmunosuprimidos con infección crónica y anemia, durante todo el lapso de hospitalización. En el caso de niños con crisis aplásticas o eritrocíticas transitorias, habrá que cumplir tales precauciones durante siete días.</w:t>
      </w:r>
    </w:p>
    <w:p w14:paraId="794585F0" w14:textId="77777777" w:rsidR="00D03C17" w:rsidRDefault="00D03C17">
      <w:pPr>
        <w:pStyle w:val="BodyText"/>
        <w:ind w:firstLine="360"/>
      </w:pPr>
      <w:r>
        <w:t>Las profesionales asistenciales embarazadas deben saber los posibles riesgos para el feto, de las infecciones por parvovirus B19 y de las medidas preventivas que los disminuyen; por ejemplo, prestar atención a métodos estrictos de erradicación de infecciones y no atender a pacientes inmunodeficientes con infecciones crónicas por parvovirus o sujetos con crisis aplásticas vinculadas con el parvovirus B19, porque existe gran posibilidad de que los pacientes en ambos grupos sean contagiosos.</w:t>
      </w:r>
    </w:p>
    <w:p w14:paraId="7B305413" w14:textId="77777777" w:rsidR="00D03C17" w:rsidRDefault="00D03C17">
      <w:pPr>
        <w:pStyle w:val="Other0"/>
        <w:spacing w:line="257" w:lineRule="auto"/>
        <w:ind w:firstLine="0"/>
        <w:rPr>
          <w:sz w:val="20"/>
          <w:szCs w:val="20"/>
        </w:rPr>
      </w:pPr>
      <w:r>
        <w:rPr>
          <w:b/>
          <w:bCs/>
          <w:smallCaps/>
          <w:sz w:val="20"/>
          <w:szCs w:val="20"/>
        </w:rPr>
        <w:t>M</w:t>
      </w:r>
      <w:r>
        <w:rPr>
          <w:b/>
          <w:bCs/>
          <w:smallCaps/>
          <w:sz w:val="16"/>
          <w:szCs w:val="16"/>
        </w:rPr>
        <w:t>edidas preventivas</w:t>
      </w:r>
      <w:r>
        <w:rPr>
          <w:b/>
          <w:bCs/>
          <w:smallCaps/>
          <w:sz w:val="20"/>
          <w:szCs w:val="20"/>
        </w:rPr>
        <w:t>:</w:t>
      </w:r>
    </w:p>
    <w:p w14:paraId="081661E7" w14:textId="77777777" w:rsidR="00D03C17" w:rsidRDefault="00D03C17">
      <w:pPr>
        <w:pStyle w:val="BodyText"/>
        <w:numPr>
          <w:ilvl w:val="0"/>
          <w:numId w:val="82"/>
        </w:numPr>
        <w:tabs>
          <w:tab w:val="left" w:pos="341"/>
        </w:tabs>
        <w:ind w:left="360" w:hanging="360"/>
      </w:pPr>
      <w:bookmarkStart w:id="63" w:name="bookmark1089"/>
      <w:bookmarkEnd w:id="63"/>
      <w:r>
        <w:t>Las mujeres expuestas a los niños en el círculo familiar o en el trabajo (como las maestras o trabajadoras puericultoras) tienen un mayor peligro de infección por parvovirus B19. Sin embargo, dado que algunos brotes en escuelas o centros de atención pediátrica suelen indicar una propagación más amplia en la comunidad que incluye infección no manifiesta, las mujeres están expuestas a un cierto grado de exposición de otros orígenes en el hogar o en la comunidad. Ante la alta prevalencia de infección por parvovirus B19, la escasa incidencia de efectos nocivos en el feto y el hecho de que evitar la atención del niño o la enseñanza en el salón de clases disminuyen pero no eliminan el riesgo de exposición, no se recomienda la exclusión sistemática de las embarazadas de su sitio de trabajo en que EI aparece. Las mujeres en etapa de procreación que muestran ansiedad al respecto pueden ser sometidas a estudios serológicos en busca del anticuerpo IgG al parvovirus B19 para conocer su susceptibilidad a la infección.</w:t>
      </w:r>
    </w:p>
    <w:p w14:paraId="5DB69E47" w14:textId="77777777" w:rsidR="00D03C17" w:rsidRDefault="00D03C17">
      <w:pPr>
        <w:pStyle w:val="BodyText"/>
        <w:numPr>
          <w:ilvl w:val="0"/>
          <w:numId w:val="82"/>
        </w:numPr>
        <w:tabs>
          <w:tab w:val="left" w:pos="341"/>
        </w:tabs>
        <w:ind w:left="360" w:hanging="360"/>
      </w:pPr>
      <w:bookmarkStart w:id="64" w:name="bookmark1090"/>
      <w:bookmarkEnd w:id="64"/>
      <w:r>
        <w:t>Se explicará a las embarazadas que a su parecer han estado en contacto con niños que estuvieron en el periodo de incubación de EI o con menores en una crisis aplástica, el riesgo relativamente pequeño de infección, y también se les planteará la opción de someterse a métodos serológicos. En tales situaciones puede ser útil la ultrasonografía fetal.</w:t>
      </w:r>
    </w:p>
    <w:p w14:paraId="41E2EEF2" w14:textId="77777777" w:rsidR="00D03C17" w:rsidRDefault="00D03C17">
      <w:pPr>
        <w:pStyle w:val="BodyText"/>
        <w:numPr>
          <w:ilvl w:val="0"/>
          <w:numId w:val="82"/>
        </w:numPr>
        <w:tabs>
          <w:tab w:val="left" w:pos="341"/>
        </w:tabs>
        <w:ind w:left="360" w:hanging="360"/>
      </w:pPr>
      <w:bookmarkStart w:id="65" w:name="bookmark1091"/>
      <w:bookmarkEnd w:id="65"/>
      <w:r>
        <w:t>Los niños con EI pueden acudir a los centros de atención infantil o la escuela porque ya no son contagiosos.</w:t>
      </w:r>
    </w:p>
    <w:p w14:paraId="39F59BFF" w14:textId="77777777" w:rsidR="00D03C17" w:rsidRDefault="00D03C17">
      <w:pPr>
        <w:pStyle w:val="BodyText"/>
        <w:numPr>
          <w:ilvl w:val="0"/>
          <w:numId w:val="82"/>
        </w:numPr>
        <w:tabs>
          <w:tab w:val="left" w:pos="341"/>
        </w:tabs>
        <w:spacing w:after="100"/>
        <w:ind w:left="360" w:hanging="360"/>
      </w:pPr>
      <w:bookmarkStart w:id="66" w:name="bookmark1092"/>
      <w:bookmarkEnd w:id="66"/>
      <w:r>
        <w:t>Es posible que disminuya la transmisión del parvovirus B19, gracias al empleo de prácticas sistemáticas de erradicación de infecciones, que incluyen higiene manual y la eliminación apropiada de pañuelitos sanitarios usados.</w:t>
      </w:r>
    </w:p>
    <w:p w14:paraId="1E6E5690" w14:textId="77777777" w:rsidR="00D03C17" w:rsidRDefault="00D03C17">
      <w:pPr>
        <w:pStyle w:val="Bodytext70"/>
        <w:spacing w:after="0"/>
      </w:pPr>
      <w:r>
        <w:rPr>
          <w:i/>
          <w:iCs/>
        </w:rPr>
        <w:t>Pasteurella</w:t>
      </w:r>
      <w:r>
        <w:rPr>
          <w:i/>
          <w:iCs/>
          <w:w w:val="100"/>
        </w:rPr>
        <w:t>,</w:t>
      </w:r>
      <w:r>
        <w:t xml:space="preserve"> infecciones</w:t>
      </w:r>
    </w:p>
    <w:p w14:paraId="09FB8C63" w14:textId="77777777" w:rsidR="00D03C17" w:rsidRDefault="00D03C17">
      <w:pPr>
        <w:pStyle w:val="BodyText"/>
        <w:ind w:firstLine="0"/>
      </w:pPr>
      <w:r>
        <w:rPr>
          <w:b/>
          <w:bCs/>
        </w:rPr>
        <w:t>M</w:t>
      </w:r>
      <w:r>
        <w:rPr>
          <w:b/>
          <w:bCs/>
          <w:sz w:val="13"/>
          <w:szCs w:val="13"/>
        </w:rPr>
        <w:t xml:space="preserve">ANIFESTACIONES </w:t>
      </w:r>
      <w:r>
        <w:rPr>
          <w:b/>
          <w:bCs/>
          <w:smallCaps/>
          <w:sz w:val="16"/>
          <w:szCs w:val="16"/>
        </w:rPr>
        <w:t>clínicas</w:t>
      </w:r>
      <w:r>
        <w:rPr>
          <w:b/>
          <w:bCs/>
          <w:smallCaps/>
          <w:sz w:val="20"/>
          <w:szCs w:val="20"/>
        </w:rPr>
        <w:t>:</w:t>
      </w:r>
      <w:r>
        <w:t xml:space="preserve"> La manifestación más frecuente en los niños es la celulitis en el sitio de un raspón o mordedura de gato, perro u otro animal; la celulitis suele surgir en término de 24 h e incluye hinchazón, eritema, dolor al tacto y secreción serosa o sanguinopurulenta en el punto preciso. A veces hay linfadenopatía regional, escalofríos y fiebre. Es frecuente que surjan complicaciones locales como artritis séptica, osteomielitis y tenosinovitis. Entre las manifestaciones menos frecuentes de la infección están septicemia, meningitis, ataque de vías respiratorias (como neumonía, abscesos en pulmones y empiema), apendicitis, absceso hepático, peritonitis, infección de vías urinarias y de los ojos, que incluyen conjuntivitis, úlcera corneal y endoftalmitis. Los niños con anormalidades primarias en sus defensas corporales, en particular hepatopatías, están predispuestos a bacteriemia atribuible a infección por </w:t>
      </w:r>
      <w:r>
        <w:rPr>
          <w:rFonts w:ascii="Times New Roman" w:eastAsia="Times New Roman" w:hAnsi="Times New Roman" w:cs="Times New Roman"/>
          <w:i/>
          <w:iCs/>
          <w:sz w:val="16"/>
          <w:szCs w:val="16"/>
        </w:rPr>
        <w:t>Pasteurella multocida</w:t>
      </w:r>
      <w:r>
        <w:rPr>
          <w:i/>
          <w:iCs/>
        </w:rPr>
        <w:t xml:space="preserve">. </w:t>
      </w:r>
      <w:r>
        <w:rPr>
          <w:b/>
          <w:bCs/>
        </w:rPr>
        <w:t>C</w:t>
      </w:r>
      <w:r>
        <w:rPr>
          <w:b/>
          <w:bCs/>
          <w:sz w:val="13"/>
          <w:szCs w:val="13"/>
        </w:rPr>
        <w:t>AUSA</w:t>
      </w:r>
      <w:r>
        <w:rPr>
          <w:b/>
          <w:bCs/>
        </w:rPr>
        <w:t xml:space="preserve">: </w:t>
      </w:r>
      <w:r>
        <w:t xml:space="preserve">Las especies del género </w:t>
      </w:r>
      <w:r>
        <w:rPr>
          <w:rFonts w:ascii="Times New Roman" w:eastAsia="Times New Roman" w:hAnsi="Times New Roman" w:cs="Times New Roman"/>
          <w:i/>
          <w:iCs/>
          <w:sz w:val="16"/>
          <w:szCs w:val="16"/>
        </w:rPr>
        <w:t>Pasteurella</w:t>
      </w:r>
      <w:r>
        <w:t xml:space="preserve"> son cocobacilos o bacilos gramnegativos, sacarolíticos y anaerobios facultativos, que en los animales son patógenos primarios.</w:t>
      </w:r>
    </w:p>
    <w:p w14:paraId="12455CAD" w14:textId="77777777" w:rsidR="00D03C17" w:rsidRDefault="00D03C17">
      <w:pPr>
        <w:pStyle w:val="BodyText"/>
        <w:spacing w:after="40" w:line="290" w:lineRule="auto"/>
        <w:ind w:firstLine="0"/>
        <w:rPr>
          <w:sz w:val="16"/>
          <w:szCs w:val="16"/>
        </w:rPr>
      </w:pPr>
      <w:r>
        <w:t xml:space="preserve">El patógeno más común de los seres humanos es </w:t>
      </w:r>
      <w:r>
        <w:rPr>
          <w:rFonts w:ascii="Times New Roman" w:eastAsia="Times New Roman" w:hAnsi="Times New Roman" w:cs="Times New Roman"/>
          <w:i/>
          <w:iCs/>
          <w:sz w:val="16"/>
          <w:szCs w:val="16"/>
        </w:rPr>
        <w:t>P multocida</w:t>
      </w:r>
      <w:r>
        <w:rPr>
          <w:i/>
          <w:iCs/>
        </w:rPr>
        <w:t>,</w:t>
      </w:r>
      <w:r>
        <w:t xml:space="preserve"> y muchas infecciones clínicas son causadas por las especies o subespecies siguientes: </w:t>
      </w:r>
      <w:r>
        <w:rPr>
          <w:rFonts w:ascii="Times New Roman" w:eastAsia="Times New Roman" w:hAnsi="Times New Roman" w:cs="Times New Roman"/>
          <w:i/>
          <w:iCs/>
          <w:sz w:val="16"/>
          <w:szCs w:val="16"/>
        </w:rPr>
        <w:t>P multocida</w:t>
      </w:r>
      <w:r>
        <w:rPr>
          <w:i/>
          <w:iCs/>
        </w:rPr>
        <w:t>,</w:t>
      </w:r>
      <w:r>
        <w:t xml:space="preserve"> subespecie multocida, </w:t>
      </w:r>
      <w:r>
        <w:rPr>
          <w:rFonts w:ascii="Times New Roman" w:eastAsia="Times New Roman" w:hAnsi="Times New Roman" w:cs="Times New Roman"/>
          <w:i/>
          <w:iCs/>
          <w:sz w:val="16"/>
          <w:szCs w:val="16"/>
        </w:rPr>
        <w:t>P multocida</w:t>
      </w:r>
      <w:r>
        <w:rPr>
          <w:i/>
          <w:iCs/>
        </w:rPr>
        <w:t>,</w:t>
      </w:r>
      <w:r>
        <w:t xml:space="preserve"> subespecie séptica; </w:t>
      </w:r>
      <w:r>
        <w:rPr>
          <w:rFonts w:ascii="Times New Roman" w:eastAsia="Times New Roman" w:hAnsi="Times New Roman" w:cs="Times New Roman"/>
          <w:i/>
          <w:iCs/>
          <w:sz w:val="16"/>
          <w:szCs w:val="16"/>
        </w:rPr>
        <w:t>Pasteurella canis, Pasteurella stomatis</w:t>
      </w:r>
      <w:r>
        <w:rPr>
          <w:i/>
          <w:iCs/>
        </w:rPr>
        <w:t xml:space="preserve">, </w:t>
      </w:r>
      <w:r>
        <w:rPr>
          <w:rFonts w:ascii="Times New Roman" w:eastAsia="Times New Roman" w:hAnsi="Times New Roman" w:cs="Times New Roman"/>
          <w:i/>
          <w:iCs/>
          <w:sz w:val="16"/>
          <w:szCs w:val="16"/>
        </w:rPr>
        <w:t>Pasteurella dagmatis</w:t>
      </w:r>
      <w:r>
        <w:t xml:space="preserve"> y </w:t>
      </w:r>
      <w:r>
        <w:rPr>
          <w:rFonts w:ascii="Times New Roman" w:eastAsia="Times New Roman" w:hAnsi="Times New Roman" w:cs="Times New Roman"/>
          <w:i/>
          <w:iCs/>
          <w:sz w:val="16"/>
          <w:szCs w:val="16"/>
        </w:rPr>
        <w:t>Pasteurella haemolytica.</w:t>
      </w:r>
    </w:p>
    <w:p w14:paraId="0A0120DB" w14:textId="77777777" w:rsidR="00D03C17" w:rsidRDefault="00D03C17">
      <w:pPr>
        <w:pStyle w:val="BodyText"/>
        <w:ind w:firstLine="360"/>
      </w:pPr>
      <w:r>
        <w:t>Las profesionales asistenciales embarazadas deben saber los posibles riesgos para el feto, de las infecciones por parvovirus B19 y de las medidas preventivas que los disminuyen; por ejemplo, prestar atención a métodos estrictos de erradicación de infecciones y no atender a pacientes inmunodeficientes con infecciones crónicas por parvovirus o sujetos con crisis aplásticas vinculadas con el parvovirus B19, porque existe gran posibilidad de que los pacientes en ambos grupos sean contagiosos.</w:t>
      </w:r>
    </w:p>
    <w:p w14:paraId="68563A63" w14:textId="77777777" w:rsidR="00D03C17" w:rsidRDefault="00D03C17">
      <w:pPr>
        <w:pStyle w:val="Other0"/>
        <w:spacing w:line="257" w:lineRule="auto"/>
        <w:ind w:firstLine="0"/>
        <w:rPr>
          <w:sz w:val="20"/>
          <w:szCs w:val="20"/>
        </w:rPr>
      </w:pPr>
      <w:r>
        <w:rPr>
          <w:b/>
          <w:bCs/>
          <w:smallCaps/>
          <w:sz w:val="20"/>
          <w:szCs w:val="20"/>
        </w:rPr>
        <w:t>M</w:t>
      </w:r>
      <w:r>
        <w:rPr>
          <w:b/>
          <w:bCs/>
          <w:smallCaps/>
          <w:sz w:val="16"/>
          <w:szCs w:val="16"/>
        </w:rPr>
        <w:t>edidas preventivas</w:t>
      </w:r>
      <w:r>
        <w:rPr>
          <w:b/>
          <w:bCs/>
          <w:smallCaps/>
          <w:sz w:val="20"/>
          <w:szCs w:val="20"/>
        </w:rPr>
        <w:t>:</w:t>
      </w:r>
    </w:p>
    <w:p w14:paraId="4F0AD715" w14:textId="77777777" w:rsidR="00D03C17" w:rsidRDefault="00D03C17">
      <w:pPr>
        <w:pStyle w:val="BodyText"/>
        <w:numPr>
          <w:ilvl w:val="0"/>
          <w:numId w:val="82"/>
        </w:numPr>
        <w:tabs>
          <w:tab w:val="left" w:pos="341"/>
        </w:tabs>
        <w:ind w:left="360" w:hanging="360"/>
      </w:pPr>
      <w:bookmarkStart w:id="67" w:name="bookmark1093"/>
      <w:bookmarkEnd w:id="67"/>
      <w:r>
        <w:t>Las mujeres expuestas a los niños en el círculo familiar o en el trabajo (como las maestras o trabajadoras puericultoras) tienen un mayor peligro de infección por parvovirus B19. Sin embargo, dado que algunos brotes en escuelas o centros de atención pediátrica suelen indicar una propagación más amplia en la comunidad que incluye infección no manifiesta, las mujeres están expuestas a un cierto grado de exposición de otros orígenes en el hogar o en la comunidad. Ante la alta prevalencia de infección por parvovirus B19, la escasa incidencia de efectos nocivos en el feto y el hecho de que evitar la atención del niño o la enseñanza en el salón de clases disminuyen pero no eliminan el riesgo de exposición, no se recomienda la exclusión sistemática de las embarazadas de su sitio de trabajo en que EI aparece. Las mujeres en etapa de procreación que muestran ansiedad al respecto pueden ser sometidas a estudios serológicos en busca del anticuerpo IgG al parvovirus B19 para conocer su susceptibilidad a la infección.</w:t>
      </w:r>
    </w:p>
    <w:p w14:paraId="6DEA28C7" w14:textId="77777777" w:rsidR="00D03C17" w:rsidRDefault="00D03C17">
      <w:pPr>
        <w:pStyle w:val="BodyText"/>
        <w:numPr>
          <w:ilvl w:val="0"/>
          <w:numId w:val="82"/>
        </w:numPr>
        <w:tabs>
          <w:tab w:val="left" w:pos="341"/>
        </w:tabs>
        <w:ind w:left="360" w:hanging="360"/>
      </w:pPr>
      <w:bookmarkStart w:id="68" w:name="bookmark1094"/>
      <w:bookmarkEnd w:id="68"/>
      <w:r>
        <w:t>Se explicará a las embarazadas que a su parecer han estado en contacto con niños que estuvieron en el periodo de incubación de EI o con menores en una crisis aplástica, el riesgo relativamente pequeño de infección, y también se les planteará la opción de someterse a métodos serológicos. En tales situaciones puede ser útil la ultrasonografía fetal.</w:t>
      </w:r>
    </w:p>
    <w:p w14:paraId="4B2B4690" w14:textId="77777777" w:rsidR="00D03C17" w:rsidRDefault="00D03C17">
      <w:pPr>
        <w:pStyle w:val="BodyText"/>
        <w:numPr>
          <w:ilvl w:val="0"/>
          <w:numId w:val="82"/>
        </w:numPr>
        <w:tabs>
          <w:tab w:val="left" w:pos="341"/>
        </w:tabs>
        <w:ind w:left="360" w:hanging="360"/>
      </w:pPr>
      <w:bookmarkStart w:id="69" w:name="bookmark1095"/>
      <w:bookmarkEnd w:id="69"/>
      <w:r>
        <w:t>Los niños con EI pueden acudir a los centros de atención infantil o la escuela porque ya no son contagiosos.</w:t>
      </w:r>
    </w:p>
    <w:p w14:paraId="563EEE48" w14:textId="77777777" w:rsidR="00D03C17" w:rsidRDefault="00D03C17">
      <w:pPr>
        <w:pStyle w:val="BodyText"/>
        <w:numPr>
          <w:ilvl w:val="0"/>
          <w:numId w:val="82"/>
        </w:numPr>
        <w:tabs>
          <w:tab w:val="left" w:pos="341"/>
        </w:tabs>
        <w:spacing w:after="100"/>
        <w:ind w:left="360" w:hanging="360"/>
      </w:pPr>
      <w:bookmarkStart w:id="70" w:name="bookmark1096"/>
      <w:bookmarkEnd w:id="70"/>
      <w:r>
        <w:t>Es posible que disminuya la transmisión del parvovirus B19, gracias al empleo de prácticas sistemáticas de erradicación de infecciones, que incluyen higiene manual y la eliminación apropiada de pañuelitos sanitarios usados.</w:t>
      </w:r>
    </w:p>
    <w:p w14:paraId="4748368B" w14:textId="77777777" w:rsidR="00D03C17" w:rsidRDefault="00D03C17">
      <w:pPr>
        <w:pStyle w:val="Bodytext70"/>
        <w:spacing w:after="0"/>
      </w:pPr>
      <w:r>
        <w:rPr>
          <w:i/>
          <w:iCs/>
        </w:rPr>
        <w:t>Pasteurella</w:t>
      </w:r>
      <w:r>
        <w:rPr>
          <w:i/>
          <w:iCs/>
          <w:w w:val="100"/>
        </w:rPr>
        <w:t>,</w:t>
      </w:r>
      <w:r>
        <w:t xml:space="preserve"> infecciones</w:t>
      </w:r>
    </w:p>
    <w:p w14:paraId="38614C09" w14:textId="77777777" w:rsidR="00D03C17" w:rsidRDefault="00D03C17">
      <w:pPr>
        <w:pStyle w:val="BodyText"/>
        <w:ind w:firstLine="0"/>
      </w:pPr>
      <w:r>
        <w:rPr>
          <w:b/>
          <w:bCs/>
        </w:rPr>
        <w:t>M</w:t>
      </w:r>
      <w:r>
        <w:rPr>
          <w:b/>
          <w:bCs/>
          <w:sz w:val="13"/>
          <w:szCs w:val="13"/>
        </w:rPr>
        <w:t xml:space="preserve">ANIFESTACIONES </w:t>
      </w:r>
      <w:r>
        <w:rPr>
          <w:b/>
          <w:bCs/>
          <w:smallCaps/>
          <w:sz w:val="16"/>
          <w:szCs w:val="16"/>
        </w:rPr>
        <w:t>clínicas</w:t>
      </w:r>
      <w:r>
        <w:rPr>
          <w:b/>
          <w:bCs/>
          <w:smallCaps/>
          <w:sz w:val="20"/>
          <w:szCs w:val="20"/>
        </w:rPr>
        <w:t>:</w:t>
      </w:r>
      <w:r>
        <w:t xml:space="preserve"> La manifestación más frecuente en los niños es la celulitis en el sitio de un raspón o mordedura de gato, perro u otro animal; la celulitis suele surgir en término de 24 h e incluye hinchazón, eritema, dolor al tacto y secreción serosa o sanguinopurulenta en el punto preciso. A veces hay linfadenopatía regional, escalofríos y fiebre. Es frecuente que surjan complicaciones locales como artritis séptica, osteomielitis y tenosinovitis. Entre las manifestaciones menos frecuentes de la infección están septicemia, meningitis, ataque de vías respiratorias (como neumonía, abscesos en pulmones y empiema), apendicitis, absceso hepático, peritonitis, infección de vías urinarias y de los ojos, que incluyen conjuntivitis, úlcera corneal y endoftalmitis. Los niños con anormalidades primarias en sus defensas corporales, en particular hepatopatías, están predispuestos a bacteriemia atribuible a infección por </w:t>
      </w:r>
      <w:r>
        <w:rPr>
          <w:rFonts w:ascii="Times New Roman" w:eastAsia="Times New Roman" w:hAnsi="Times New Roman" w:cs="Times New Roman"/>
          <w:i/>
          <w:iCs/>
          <w:sz w:val="16"/>
          <w:szCs w:val="16"/>
        </w:rPr>
        <w:t>Pasteurella multocida</w:t>
      </w:r>
      <w:r>
        <w:rPr>
          <w:i/>
          <w:iCs/>
        </w:rPr>
        <w:t xml:space="preserve">. </w:t>
      </w:r>
      <w:r>
        <w:rPr>
          <w:b/>
          <w:bCs/>
        </w:rPr>
        <w:t>C</w:t>
      </w:r>
      <w:r>
        <w:rPr>
          <w:b/>
          <w:bCs/>
          <w:sz w:val="13"/>
          <w:szCs w:val="13"/>
        </w:rPr>
        <w:t>AUSA</w:t>
      </w:r>
      <w:r>
        <w:rPr>
          <w:b/>
          <w:bCs/>
        </w:rPr>
        <w:t xml:space="preserve">: </w:t>
      </w:r>
      <w:r>
        <w:t xml:space="preserve">Las especies del género </w:t>
      </w:r>
      <w:r>
        <w:rPr>
          <w:rFonts w:ascii="Times New Roman" w:eastAsia="Times New Roman" w:hAnsi="Times New Roman" w:cs="Times New Roman"/>
          <w:i/>
          <w:iCs/>
          <w:sz w:val="16"/>
          <w:szCs w:val="16"/>
        </w:rPr>
        <w:t>Pasteurella</w:t>
      </w:r>
      <w:r>
        <w:t xml:space="preserve"> son cocobacilos o bacilos gramnegativos, sacarolíticos y anaerobios facultativos, que en los animales son patógenos primarios.</w:t>
      </w:r>
    </w:p>
    <w:p w14:paraId="07AED16F" w14:textId="77777777" w:rsidR="00D03C17" w:rsidRDefault="00D03C17">
      <w:pPr>
        <w:pStyle w:val="BodyText"/>
        <w:spacing w:after="40" w:line="290" w:lineRule="auto"/>
        <w:ind w:firstLine="0"/>
        <w:rPr>
          <w:sz w:val="16"/>
          <w:szCs w:val="16"/>
        </w:rPr>
        <w:sectPr w:rsidR="00D03C17" w:rsidSect="00D03C17">
          <w:headerReference w:type="even" r:id="rId143"/>
          <w:headerReference w:type="default" r:id="rId144"/>
          <w:footerReference w:type="even" r:id="rId145"/>
          <w:footerReference w:type="default" r:id="rId146"/>
          <w:footnotePr>
            <w:numFmt w:val="chicago"/>
          </w:footnotePr>
          <w:type w:val="continuous"/>
          <w:pgSz w:w="8501" w:h="13022"/>
          <w:pgMar w:top="704" w:right="812" w:bottom="457" w:left="766" w:header="0" w:footer="29" w:gutter="0"/>
          <w:cols w:space="720"/>
          <w:noEndnote/>
          <w:docGrid w:linePitch="360"/>
          <w15:footnoteColumns w:val="1"/>
        </w:sectPr>
      </w:pPr>
      <w:r>
        <w:t xml:space="preserve">El patógeno más común de los seres humanos es </w:t>
      </w:r>
      <w:r>
        <w:rPr>
          <w:rFonts w:ascii="Times New Roman" w:eastAsia="Times New Roman" w:hAnsi="Times New Roman" w:cs="Times New Roman"/>
          <w:i/>
          <w:iCs/>
          <w:sz w:val="16"/>
          <w:szCs w:val="16"/>
        </w:rPr>
        <w:t>P multocida</w:t>
      </w:r>
      <w:r>
        <w:rPr>
          <w:i/>
          <w:iCs/>
        </w:rPr>
        <w:t>,</w:t>
      </w:r>
      <w:r>
        <w:t xml:space="preserve"> y muchas infecciones clínicas son causadas por las especies o subespecies siguientes: </w:t>
      </w:r>
      <w:r>
        <w:rPr>
          <w:rFonts w:ascii="Times New Roman" w:eastAsia="Times New Roman" w:hAnsi="Times New Roman" w:cs="Times New Roman"/>
          <w:i/>
          <w:iCs/>
          <w:sz w:val="16"/>
          <w:szCs w:val="16"/>
        </w:rPr>
        <w:t>P multocida</w:t>
      </w:r>
      <w:r>
        <w:rPr>
          <w:i/>
          <w:iCs/>
        </w:rPr>
        <w:t>,</w:t>
      </w:r>
      <w:r>
        <w:t xml:space="preserve"> subespecie multocida, </w:t>
      </w:r>
      <w:r>
        <w:rPr>
          <w:rFonts w:ascii="Times New Roman" w:eastAsia="Times New Roman" w:hAnsi="Times New Roman" w:cs="Times New Roman"/>
          <w:i/>
          <w:iCs/>
          <w:sz w:val="16"/>
          <w:szCs w:val="16"/>
        </w:rPr>
        <w:t>P multocida</w:t>
      </w:r>
      <w:r>
        <w:rPr>
          <w:i/>
          <w:iCs/>
        </w:rPr>
        <w:t>,</w:t>
      </w:r>
      <w:r>
        <w:t xml:space="preserve"> subespecie séptica; </w:t>
      </w:r>
      <w:r>
        <w:rPr>
          <w:rFonts w:ascii="Times New Roman" w:eastAsia="Times New Roman" w:hAnsi="Times New Roman" w:cs="Times New Roman"/>
          <w:i/>
          <w:iCs/>
          <w:sz w:val="16"/>
          <w:szCs w:val="16"/>
        </w:rPr>
        <w:t>Pasteurella canis, Pasteurella stomatis</w:t>
      </w:r>
      <w:r>
        <w:rPr>
          <w:i/>
          <w:iCs/>
        </w:rPr>
        <w:t xml:space="preserve">, </w:t>
      </w:r>
      <w:r>
        <w:rPr>
          <w:rFonts w:ascii="Times New Roman" w:eastAsia="Times New Roman" w:hAnsi="Times New Roman" w:cs="Times New Roman"/>
          <w:i/>
          <w:iCs/>
          <w:sz w:val="16"/>
          <w:szCs w:val="16"/>
        </w:rPr>
        <w:t>Pasteurella dagmatis</w:t>
      </w:r>
      <w:r>
        <w:t xml:space="preserve"> y </w:t>
      </w:r>
      <w:r>
        <w:rPr>
          <w:rFonts w:ascii="Times New Roman" w:eastAsia="Times New Roman" w:hAnsi="Times New Roman" w:cs="Times New Roman"/>
          <w:i/>
          <w:iCs/>
          <w:sz w:val="16"/>
          <w:szCs w:val="16"/>
        </w:rPr>
        <w:t>Pasteurella haemolytica.</w:t>
      </w:r>
    </w:p>
    <w:p w14:paraId="58A552D5" w14:textId="77777777" w:rsidR="00D03C17" w:rsidRDefault="00D03C17">
      <w:pPr>
        <w:pStyle w:val="BodyText"/>
        <w:ind w:firstLine="0"/>
      </w:pPr>
      <w:r>
        <w:rPr>
          <w:b/>
          <w:bCs/>
        </w:rPr>
        <w:t>A</w:t>
      </w:r>
      <w:r>
        <w:rPr>
          <w:b/>
          <w:bCs/>
          <w:sz w:val="13"/>
          <w:szCs w:val="13"/>
        </w:rPr>
        <w:t>SPECTOS EPIDEMIOLÓGICOS</w:t>
      </w:r>
      <w:r>
        <w:rPr>
          <w:b/>
          <w:bCs/>
        </w:rPr>
        <w:t xml:space="preserve">: </w:t>
      </w:r>
      <w:r>
        <w:t xml:space="preserve">En 70 a 90% de los gatos, 25 a 50% de los perros y en otros animales se detectan en la flora de la boca especies de </w:t>
      </w:r>
      <w:r>
        <w:rPr>
          <w:rFonts w:ascii="Times New Roman" w:eastAsia="Times New Roman" w:hAnsi="Times New Roman" w:cs="Times New Roman"/>
          <w:i/>
          <w:iCs/>
          <w:sz w:val="16"/>
          <w:szCs w:val="16"/>
        </w:rPr>
        <w:t>Pasteurella</w:t>
      </w:r>
      <w:r>
        <w:rPr>
          <w:i/>
          <w:iCs/>
        </w:rPr>
        <w:t>.</w:t>
      </w:r>
      <w:r>
        <w:t xml:space="preserve"> La transmisión se produce por la mordedura o arañazo del gato o del perro, o con menor frecuencia, de otros animales. También se ha sabido de contagio de las vías respiratorias, de animales a seres humanos. En una proporción significativa de casos no se identificó exposición a animales. No se ha corroborado que haya contagio directo de un ser humano a otro.</w:t>
      </w:r>
    </w:p>
    <w:p w14:paraId="5967A878" w14:textId="77777777" w:rsidR="00D03C17" w:rsidRDefault="00D03C17">
      <w:pPr>
        <w:pStyle w:val="BodyText"/>
        <w:ind w:firstLine="360"/>
      </w:pPr>
      <w:r>
        <w:t xml:space="preserve">El </w:t>
      </w:r>
      <w:r>
        <w:rPr>
          <w:b/>
          <w:bCs/>
        </w:rPr>
        <w:t xml:space="preserve">periodo de incubación </w:t>
      </w:r>
      <w:r>
        <w:t>suele ser menor de 24 horas.</w:t>
      </w:r>
    </w:p>
    <w:p w14:paraId="78B6DD6E" w14:textId="77777777" w:rsidR="00D03C17" w:rsidRDefault="00D03C17">
      <w:pPr>
        <w:pStyle w:val="BodyText"/>
        <w:ind w:firstLine="0"/>
      </w:pPr>
      <w:r>
        <w:rPr>
          <w:b/>
          <w:bCs/>
        </w:rPr>
        <w:t>M</w:t>
      </w:r>
      <w:r>
        <w:rPr>
          <w:b/>
          <w:bCs/>
          <w:sz w:val="13"/>
          <w:szCs w:val="13"/>
        </w:rPr>
        <w:t>ÉTODOS DIAGNÓSTICOS</w:t>
      </w:r>
      <w:r>
        <w:rPr>
          <w:b/>
          <w:bCs/>
        </w:rPr>
        <w:t xml:space="preserve">: </w:t>
      </w:r>
      <w:r>
        <w:t xml:space="preserve">Tiene valor diagnóstico aislar alguna especie de </w:t>
      </w:r>
      <w:r>
        <w:rPr>
          <w:rFonts w:ascii="Times New Roman" w:eastAsia="Times New Roman" w:hAnsi="Times New Roman" w:cs="Times New Roman"/>
          <w:i/>
          <w:iCs/>
          <w:sz w:val="16"/>
          <w:szCs w:val="16"/>
        </w:rPr>
        <w:t xml:space="preserve">Pasteurella </w:t>
      </w:r>
      <w:r>
        <w:t xml:space="preserve">de la secreción o líquido de drenaje de alguna lesión cutánea o de otros sitios de infección (como el líquido sinovial, encefalorraquídeo, el esputo, el líquido pleural o la supuración de ganglios linfáticos). La morfología de las especies de </w:t>
      </w:r>
      <w:r>
        <w:rPr>
          <w:rFonts w:ascii="Times New Roman" w:eastAsia="Times New Roman" w:hAnsi="Times New Roman" w:cs="Times New Roman"/>
          <w:i/>
          <w:iCs/>
          <w:sz w:val="16"/>
          <w:szCs w:val="16"/>
        </w:rPr>
        <w:t>Pasteurella</w:t>
      </w:r>
      <w:r>
        <w:t xml:space="preserve"> es similar a la de otros microorganismos y proliferan en muchos medios de cultivo a 37°C, pero no es difícil la diferenciación por técnicas de laboratorio.</w:t>
      </w:r>
    </w:p>
    <w:p w14:paraId="1A59BD00" w14:textId="77777777" w:rsidR="00D03C17" w:rsidRDefault="00D03C17">
      <w:pPr>
        <w:pStyle w:val="BodyText"/>
        <w:ind w:firstLine="0"/>
      </w:pPr>
      <w:r>
        <w:rPr>
          <w:b/>
          <w:bCs/>
        </w:rPr>
        <w:t>T</w:t>
      </w:r>
      <w:r>
        <w:rPr>
          <w:b/>
          <w:bCs/>
          <w:sz w:val="13"/>
          <w:szCs w:val="13"/>
        </w:rPr>
        <w:t>RATAMIENTO</w:t>
      </w:r>
      <w:r>
        <w:rPr>
          <w:b/>
          <w:bCs/>
        </w:rPr>
        <w:t xml:space="preserve">: </w:t>
      </w:r>
      <w:r>
        <w:t xml:space="preserve">El medicamento más indicado es la penicilina. Otros agentes ingeribles eficaces incluyen ampicilina, amoxicilina-clavulanato potásico, cefuroxima, cefpodoxima proxetilo, trimetoprim-sulfametoxazol, doxiciclina y quinolonas. La eritromicina, la clindamicina, la cefalexina, el cefadroxil, el cefaclor y la dicloxacilina no tienen tanta actividad y será mejor no usarlos. En el caso de sujetos alérgicos a lactámicos beta, otros fármacos a los que puede recurrirse son la azitromicina dihidratada o el trimetoprim- sulfametoxazol, pero es escasa la experiencia clínica con ellos, y con los macrólidos ha habido señalamientos clínicos de ineficacia terapéutica. La doxiciclina es eficaz, pero se administrará a niños menores de ocho años sólo después de un análisis cuidadoso de la relación entre el riesgo y el beneficio. No se recomienda administrar quinolonas a personas menores de 18 años. En el caso de infección polimicrobiana, que a menudo incluye </w:t>
      </w:r>
      <w:r>
        <w:rPr>
          <w:rFonts w:ascii="Times New Roman" w:eastAsia="Times New Roman" w:hAnsi="Times New Roman" w:cs="Times New Roman"/>
          <w:i/>
          <w:iCs/>
          <w:sz w:val="16"/>
          <w:szCs w:val="16"/>
        </w:rPr>
        <w:t>Staphylococcus aureus</w:t>
      </w:r>
      <w:r>
        <w:rPr>
          <w:i/>
          <w:iCs/>
        </w:rPr>
        <w:t>,</w:t>
      </w:r>
      <w:r>
        <w:t xml:space="preserve"> cabe recurrir a la amoxicilina-clavulanato oral o, en infección grave, las formas intravenosas de ampicilina-sulbactam sódico o ticarcilina sódica-clavulanato. Por vía parenteral, las cefalosporinas de amplio espectro, como la cefotaxima o la cefoxitina sódicas, son activas contra especies de </w:t>
      </w:r>
      <w:r>
        <w:rPr>
          <w:rFonts w:ascii="Times New Roman" w:eastAsia="Times New Roman" w:hAnsi="Times New Roman" w:cs="Times New Roman"/>
          <w:i/>
          <w:iCs/>
          <w:sz w:val="16"/>
          <w:szCs w:val="16"/>
        </w:rPr>
        <w:t>Pasteurella in vitro</w:t>
      </w:r>
      <w:r>
        <w:rPr>
          <w:i/>
          <w:iCs/>
        </w:rPr>
        <w:t>,</w:t>
      </w:r>
      <w:r>
        <w:t xml:space="preserve"> pero es escasa la experiencia acumulada con tales fármacos para fines terapéuticos. La terapia suele durar siete a 10 días en el caso de infecciones locales, y 10 a 14 días si la infección es más grave. Se necesita a veces drenaje o desbridamiento de la herida.</w:t>
      </w:r>
    </w:p>
    <w:p w14:paraId="7FB45C2C" w14:textId="77777777" w:rsidR="00D03C17" w:rsidRDefault="00D03C17">
      <w:pPr>
        <w:pStyle w:val="BodyText"/>
        <w:spacing w:after="100"/>
        <w:ind w:firstLine="0"/>
      </w:pPr>
      <w:r>
        <w:rPr>
          <w:b/>
          <w:bCs/>
        </w:rPr>
        <w:t>A</w:t>
      </w:r>
      <w:r>
        <w:rPr>
          <w:b/>
          <w:bCs/>
          <w:sz w:val="13"/>
          <w:szCs w:val="13"/>
        </w:rPr>
        <w:t>ISLAMIENTO DEL PACIENTE HOSPITALIZADO</w:t>
      </w:r>
      <w:r>
        <w:rPr>
          <w:b/>
          <w:bCs/>
        </w:rPr>
        <w:t xml:space="preserve">: </w:t>
      </w:r>
      <w:r>
        <w:t xml:space="preserve">Se recomienda seguir las precauciones estándar. </w:t>
      </w:r>
      <w:r>
        <w:rPr>
          <w:b/>
          <w:bCs/>
        </w:rPr>
        <w:t>M</w:t>
      </w:r>
      <w:r>
        <w:rPr>
          <w:b/>
          <w:bCs/>
          <w:sz w:val="13"/>
          <w:szCs w:val="13"/>
        </w:rPr>
        <w:t>EDIDAS PREVENTIVAS</w:t>
      </w:r>
      <w:r>
        <w:rPr>
          <w:b/>
          <w:bCs/>
        </w:rPr>
        <w:t xml:space="preserve">: </w:t>
      </w:r>
      <w:r>
        <w:t xml:space="preserve">Entre las medidas que ayudan a evitar las infecciones por </w:t>
      </w:r>
      <w:r>
        <w:rPr>
          <w:rFonts w:ascii="Times New Roman" w:eastAsia="Times New Roman" w:hAnsi="Times New Roman" w:cs="Times New Roman"/>
          <w:i/>
          <w:iCs/>
          <w:sz w:val="16"/>
          <w:szCs w:val="16"/>
        </w:rPr>
        <w:t>Pasteurella</w:t>
      </w:r>
      <w:r>
        <w:t xml:space="preserve"> están la enseñanza y la limitación del contacto con animales salvajes y domésticos (véase “Mordeduras”, sección 2). Las mordeduras y arañazos de animales deben ser lavados, limpiados y desbridados lo antes posible. Existen muy pocos datos sobre la conveniencia del cierre quirúrgico de las lesiones. Puede emprenderse el uso profiláctico de penicilina o amoxicilina-clavulanato, pero son escasos los datos que corroboran su eficacia (véase cuadro 2-19, sección 2).</w:t>
      </w:r>
    </w:p>
    <w:p w14:paraId="45410682" w14:textId="77777777" w:rsidR="00D03C17" w:rsidRDefault="00D03C17">
      <w:pPr>
        <w:pStyle w:val="Bodytext70"/>
        <w:spacing w:after="0"/>
      </w:pPr>
      <w:r>
        <w:t>Pediculosis de la cabeza</w:t>
      </w:r>
      <w:r>
        <w:footnoteReference w:id="11"/>
      </w:r>
    </w:p>
    <w:p w14:paraId="6AA3933F" w14:textId="77777777" w:rsidR="00D03C17" w:rsidRDefault="00D03C17">
      <w:pPr>
        <w:pStyle w:val="Other0"/>
        <w:spacing w:line="252" w:lineRule="auto"/>
        <w:ind w:firstLine="0"/>
        <w:rPr>
          <w:sz w:val="20"/>
          <w:szCs w:val="20"/>
        </w:rPr>
      </w:pPr>
      <w:r>
        <w:rPr>
          <w:rFonts w:ascii="Arial" w:eastAsia="Arial" w:hAnsi="Arial" w:cs="Arial"/>
          <w:b/>
          <w:bCs/>
          <w:w w:val="70"/>
          <w:sz w:val="20"/>
          <w:szCs w:val="20"/>
        </w:rPr>
        <w:t>(Piojos de la cabeza)</w:t>
      </w:r>
    </w:p>
    <w:p w14:paraId="2054D8EA" w14:textId="77777777" w:rsidR="00D03C17" w:rsidRDefault="00D03C17">
      <w:pPr>
        <w:pStyle w:val="BodyText"/>
        <w:spacing w:after="60"/>
        <w:ind w:firstLine="0"/>
      </w:pPr>
      <w:r>
        <w:rPr>
          <w:b/>
          <w:bCs/>
        </w:rPr>
        <w:t>M</w:t>
      </w:r>
      <w:r>
        <w:rPr>
          <w:b/>
          <w:bCs/>
          <w:sz w:val="13"/>
          <w:szCs w:val="13"/>
        </w:rPr>
        <w:t>ANIFESTACIONES CLÍNICAS</w:t>
      </w:r>
      <w:r>
        <w:rPr>
          <w:b/>
          <w:bCs/>
        </w:rPr>
        <w:t xml:space="preserve">: </w:t>
      </w:r>
      <w:r>
        <w:t>La infestación por piojos de la cabeza genera un síntoma común que es el prurito, pero muchos niños están asintomáticos. En los cabellos se detectan piojos adultos o sus huevecillos (liendres), por lo común detrás de las orejas y</w:t>
      </w:r>
    </w:p>
    <w:p w14:paraId="72125A9A" w14:textId="77777777" w:rsidR="00D03C17" w:rsidRDefault="00D03C17">
      <w:pPr>
        <w:pStyle w:val="BodyText"/>
        <w:ind w:firstLine="0"/>
      </w:pPr>
      <w:r>
        <w:rPr>
          <w:b/>
          <w:bCs/>
        </w:rPr>
        <w:t>A</w:t>
      </w:r>
      <w:r>
        <w:rPr>
          <w:b/>
          <w:bCs/>
          <w:sz w:val="13"/>
          <w:szCs w:val="13"/>
        </w:rPr>
        <w:t>SPECTOS EPIDEMIOLÓGICOS</w:t>
      </w:r>
      <w:r>
        <w:rPr>
          <w:b/>
          <w:bCs/>
        </w:rPr>
        <w:t xml:space="preserve">: </w:t>
      </w:r>
      <w:r>
        <w:t xml:space="preserve">En 70 a 90% de los gatos, 25 a 50% de los perros y en otros animales se detectan en la flora de la boca especies de </w:t>
      </w:r>
      <w:r>
        <w:rPr>
          <w:rFonts w:ascii="Times New Roman" w:eastAsia="Times New Roman" w:hAnsi="Times New Roman" w:cs="Times New Roman"/>
          <w:i/>
          <w:iCs/>
          <w:sz w:val="16"/>
          <w:szCs w:val="16"/>
        </w:rPr>
        <w:t>Pasteurella</w:t>
      </w:r>
      <w:r>
        <w:rPr>
          <w:i/>
          <w:iCs/>
        </w:rPr>
        <w:t>.</w:t>
      </w:r>
      <w:r>
        <w:t xml:space="preserve"> La transmisión se produce por la mordedura o arañazo del gato o del perro, o con menor frecuencia, de otros animales. También se ha sabido de contagio de las vías respiratorias, de animales a seres humanos. En una proporción significativa de casos no se identificó exposición a animales. No se ha corroborado que haya contagio directo de un ser humano a otro.</w:t>
      </w:r>
    </w:p>
    <w:p w14:paraId="452ABEBB" w14:textId="77777777" w:rsidR="00D03C17" w:rsidRDefault="00D03C17">
      <w:pPr>
        <w:pStyle w:val="BodyText"/>
        <w:ind w:firstLine="360"/>
      </w:pPr>
      <w:r>
        <w:t xml:space="preserve">El </w:t>
      </w:r>
      <w:r>
        <w:rPr>
          <w:b/>
          <w:bCs/>
        </w:rPr>
        <w:t xml:space="preserve">periodo de incubación </w:t>
      </w:r>
      <w:r>
        <w:t>suele ser menor de 24 horas.</w:t>
      </w:r>
    </w:p>
    <w:p w14:paraId="13E3DE48" w14:textId="77777777" w:rsidR="00D03C17" w:rsidRDefault="00D03C17">
      <w:pPr>
        <w:pStyle w:val="BodyText"/>
        <w:ind w:firstLine="0"/>
      </w:pPr>
      <w:r>
        <w:rPr>
          <w:b/>
          <w:bCs/>
        </w:rPr>
        <w:t>M</w:t>
      </w:r>
      <w:r>
        <w:rPr>
          <w:b/>
          <w:bCs/>
          <w:sz w:val="13"/>
          <w:szCs w:val="13"/>
        </w:rPr>
        <w:t>ÉTODOS DIAGNÓSTICOS</w:t>
      </w:r>
      <w:r>
        <w:rPr>
          <w:b/>
          <w:bCs/>
        </w:rPr>
        <w:t xml:space="preserve">: </w:t>
      </w:r>
      <w:r>
        <w:t xml:space="preserve">Tiene valor diagnóstico aislar alguna especie de </w:t>
      </w:r>
      <w:r>
        <w:rPr>
          <w:rFonts w:ascii="Times New Roman" w:eastAsia="Times New Roman" w:hAnsi="Times New Roman" w:cs="Times New Roman"/>
          <w:i/>
          <w:iCs/>
          <w:sz w:val="16"/>
          <w:szCs w:val="16"/>
        </w:rPr>
        <w:t xml:space="preserve">Pasteurella </w:t>
      </w:r>
      <w:r>
        <w:t xml:space="preserve">de la secreción o líquido de drenaje de alguna lesión cutánea o de otros sitios de infección (como el líquido sinovial, encefalorraquídeo, el esputo, el líquido pleural o la supuración de ganglios linfáticos). La morfología de las especies de </w:t>
      </w:r>
      <w:r>
        <w:rPr>
          <w:rFonts w:ascii="Times New Roman" w:eastAsia="Times New Roman" w:hAnsi="Times New Roman" w:cs="Times New Roman"/>
          <w:i/>
          <w:iCs/>
          <w:sz w:val="16"/>
          <w:szCs w:val="16"/>
        </w:rPr>
        <w:t>Pasteurella</w:t>
      </w:r>
      <w:r>
        <w:t xml:space="preserve"> es similar a la de otros microorganismos y proliferan en muchos medios de cultivo a 37°C, pero no es difícil la diferenciación por técnicas de laboratorio.</w:t>
      </w:r>
    </w:p>
    <w:p w14:paraId="27D33B89" w14:textId="77777777" w:rsidR="00D03C17" w:rsidRDefault="00D03C17">
      <w:pPr>
        <w:pStyle w:val="BodyText"/>
        <w:ind w:firstLine="0"/>
      </w:pPr>
      <w:r>
        <w:rPr>
          <w:b/>
          <w:bCs/>
        </w:rPr>
        <w:t>T</w:t>
      </w:r>
      <w:r>
        <w:rPr>
          <w:b/>
          <w:bCs/>
          <w:sz w:val="13"/>
          <w:szCs w:val="13"/>
        </w:rPr>
        <w:t>RATAMIENTO</w:t>
      </w:r>
      <w:r>
        <w:rPr>
          <w:b/>
          <w:bCs/>
        </w:rPr>
        <w:t xml:space="preserve">: </w:t>
      </w:r>
      <w:r>
        <w:t xml:space="preserve">El medicamento más indicado es la penicilina. Otros agentes ingeribles eficaces incluyen ampicilina, amoxicilina-clavulanato potásico, cefuroxima, cefpodoxima proxetilo, trimetoprim-sulfametoxazol, doxiciclina y quinolonas. La eritromicina, la clindamicina, la cefalexina, el cefadroxil, el cefaclor y la dicloxacilina no tienen tanta actividad y será mejor no usarlos. En el caso de sujetos alérgicos a lactámicos beta, otros fármacos a los que puede recurrirse son la azitromicina dihidratada o el trimetoprim- sulfametoxazol, pero es escasa la experiencia clínica con ellos, y con los macrólidos ha habido señalamientos clínicos de ineficacia terapéutica. La doxiciclina es eficaz, pero se administrará a niños menores de ocho años sólo después de un análisis cuidadoso de la relación entre el riesgo y el beneficio. No se recomienda administrar quinolonas a personas menores de 18 años. En el caso de infección polimicrobiana, que a menudo incluye </w:t>
      </w:r>
      <w:r>
        <w:rPr>
          <w:rFonts w:ascii="Times New Roman" w:eastAsia="Times New Roman" w:hAnsi="Times New Roman" w:cs="Times New Roman"/>
          <w:i/>
          <w:iCs/>
          <w:sz w:val="16"/>
          <w:szCs w:val="16"/>
        </w:rPr>
        <w:t>Staphylococcus aureus</w:t>
      </w:r>
      <w:r>
        <w:rPr>
          <w:i/>
          <w:iCs/>
        </w:rPr>
        <w:t>,</w:t>
      </w:r>
      <w:r>
        <w:t xml:space="preserve"> cabe recurrir a la amoxicilina-clavulanato oral o, en infección grave, las formas intravenosas de ampicilina-sulbactam sódico o ticarcilina sódica-clavulanato. Por vía parenteral, las cefalosporinas de amplio espectro, como la cefotaxima o la cefoxitina sódicas, son activas contra especies de </w:t>
      </w:r>
      <w:r>
        <w:rPr>
          <w:rFonts w:ascii="Times New Roman" w:eastAsia="Times New Roman" w:hAnsi="Times New Roman" w:cs="Times New Roman"/>
          <w:i/>
          <w:iCs/>
          <w:sz w:val="16"/>
          <w:szCs w:val="16"/>
        </w:rPr>
        <w:t>Pasteurella in vitro</w:t>
      </w:r>
      <w:r>
        <w:rPr>
          <w:i/>
          <w:iCs/>
        </w:rPr>
        <w:t>,</w:t>
      </w:r>
      <w:r>
        <w:t xml:space="preserve"> pero es escasa la experiencia acumulada con tales fármacos para fines terapéuticos. La terapia suele durar siete a 10 días en el caso de infecciones locales, y 10 a 14 días si la infección es más grave. Se necesita a veces drenaje o desbridamiento de la herida.</w:t>
      </w:r>
    </w:p>
    <w:p w14:paraId="6D9FC644" w14:textId="77777777" w:rsidR="00D03C17" w:rsidRDefault="00D03C17">
      <w:pPr>
        <w:pStyle w:val="BodyText"/>
        <w:spacing w:after="100"/>
        <w:ind w:firstLine="0"/>
      </w:pPr>
      <w:r>
        <w:rPr>
          <w:b/>
          <w:bCs/>
        </w:rPr>
        <w:t>A</w:t>
      </w:r>
      <w:r>
        <w:rPr>
          <w:b/>
          <w:bCs/>
          <w:sz w:val="13"/>
          <w:szCs w:val="13"/>
        </w:rPr>
        <w:t>ISLAMIENTO DEL PACIENTE HOSPITALIZADO</w:t>
      </w:r>
      <w:r>
        <w:rPr>
          <w:b/>
          <w:bCs/>
        </w:rPr>
        <w:t xml:space="preserve">: </w:t>
      </w:r>
      <w:r>
        <w:t xml:space="preserve">Se recomienda seguir las precauciones estándar. </w:t>
      </w:r>
      <w:r>
        <w:rPr>
          <w:b/>
          <w:bCs/>
        </w:rPr>
        <w:t>M</w:t>
      </w:r>
      <w:r>
        <w:rPr>
          <w:b/>
          <w:bCs/>
          <w:sz w:val="13"/>
          <w:szCs w:val="13"/>
        </w:rPr>
        <w:t>EDIDAS PREVENTIVAS</w:t>
      </w:r>
      <w:r>
        <w:rPr>
          <w:b/>
          <w:bCs/>
        </w:rPr>
        <w:t xml:space="preserve">: </w:t>
      </w:r>
      <w:r>
        <w:t xml:space="preserve">Entre las medidas que ayudan a evitar las infecciones por </w:t>
      </w:r>
      <w:r>
        <w:rPr>
          <w:rFonts w:ascii="Times New Roman" w:eastAsia="Times New Roman" w:hAnsi="Times New Roman" w:cs="Times New Roman"/>
          <w:i/>
          <w:iCs/>
          <w:sz w:val="16"/>
          <w:szCs w:val="16"/>
        </w:rPr>
        <w:t>Pasteurella</w:t>
      </w:r>
      <w:r>
        <w:t xml:space="preserve"> están la enseñanza y la limitación del contacto con animales salvajes y domésticos (véase “Mordeduras”, sección 2). Las mordeduras y arañazos de animales deben ser lavados, limpiados y desbridados lo antes posible. Existen muy pocos datos sobre la conveniencia del cierre quirúrgico de las lesiones. Puede emprenderse el uso profiláctico de penicilina o amoxicilina-clavulanato, pero son escasos los datos que corroboran su eficacia (véase cuadro 2-19, sección 2).</w:t>
      </w:r>
    </w:p>
    <w:p w14:paraId="25861431" w14:textId="77777777" w:rsidR="00D03C17" w:rsidRDefault="00D03C17">
      <w:pPr>
        <w:pStyle w:val="Bodytext70"/>
        <w:spacing w:after="0"/>
      </w:pPr>
      <w:r>
        <w:t>Pediculosis de la cabeza</w:t>
      </w:r>
      <w:r>
        <w:footnoteReference w:id="12"/>
      </w:r>
    </w:p>
    <w:p w14:paraId="23C16E73" w14:textId="77777777" w:rsidR="00D03C17" w:rsidRDefault="00D03C17">
      <w:pPr>
        <w:pStyle w:val="Other0"/>
        <w:spacing w:line="252" w:lineRule="auto"/>
        <w:ind w:firstLine="0"/>
        <w:rPr>
          <w:sz w:val="20"/>
          <w:szCs w:val="20"/>
        </w:rPr>
      </w:pPr>
      <w:r>
        <w:rPr>
          <w:rFonts w:ascii="Arial" w:eastAsia="Arial" w:hAnsi="Arial" w:cs="Arial"/>
          <w:b/>
          <w:bCs/>
          <w:w w:val="70"/>
          <w:sz w:val="20"/>
          <w:szCs w:val="20"/>
        </w:rPr>
        <w:t>(Piojos de la cabeza)</w:t>
      </w:r>
    </w:p>
    <w:p w14:paraId="4EB6F2AA" w14:textId="77777777" w:rsidR="00D03C17" w:rsidRDefault="00D03C17">
      <w:pPr>
        <w:pStyle w:val="BodyText"/>
        <w:ind w:firstLine="0"/>
        <w:sectPr w:rsidR="00D03C17" w:rsidSect="00D03C17">
          <w:headerReference w:type="even" r:id="rId147"/>
          <w:headerReference w:type="default" r:id="rId148"/>
          <w:footerReference w:type="even" r:id="rId149"/>
          <w:footerReference w:type="default" r:id="rId150"/>
          <w:footnotePr>
            <w:numFmt w:val="chicago"/>
          </w:footnotePr>
          <w:type w:val="continuous"/>
          <w:pgSz w:w="8501" w:h="13022"/>
          <w:pgMar w:top="704" w:right="812" w:bottom="457" w:left="766" w:header="0" w:footer="29" w:gutter="0"/>
          <w:cols w:space="720"/>
          <w:noEndnote/>
          <w:docGrid w:linePitch="360"/>
          <w15:footnoteColumns w:val="1"/>
        </w:sectPr>
      </w:pPr>
      <w:r>
        <w:rPr>
          <w:b/>
          <w:bCs/>
        </w:rPr>
        <w:t>M</w:t>
      </w:r>
      <w:r>
        <w:rPr>
          <w:b/>
          <w:bCs/>
          <w:sz w:val="13"/>
          <w:szCs w:val="13"/>
        </w:rPr>
        <w:t>ANIFESTACIONES CLÍNICAS</w:t>
      </w:r>
      <w:r>
        <w:rPr>
          <w:b/>
          <w:bCs/>
        </w:rPr>
        <w:t xml:space="preserve">: </w:t>
      </w:r>
      <w:r>
        <w:t xml:space="preserve">La infestación por piojos de la cabeza genera un síntoma común que es el prurito, pero muchos niños están asintomáticos. En los cabellos se detectan piojos adultos o sus huevecillos (liendres), por lo común detrás de las orejas y </w:t>
      </w:r>
    </w:p>
    <w:p w14:paraId="5B884922" w14:textId="77777777" w:rsidR="00D03C17" w:rsidRDefault="00D03C17">
      <w:pPr>
        <w:pStyle w:val="BodyText"/>
        <w:ind w:firstLine="0"/>
      </w:pPr>
      <w:r>
        <w:t>cerca de la nuca. A veces se observan excoriaciones y costras causadas por infección bacteriana secundaria, y en ocasiones se acompañan de linfadenopatía regional. En climas templados, los piojos de la cabeza depositan sus huevos en un tallo piloso, a 3 a 4 mm del nivel del cuero cabelludo. El cabello crece con un ritmo aproximado de 1 cm por mes, y por ello es posible calcular la duración de la infestación por la distancia que media entre la liendre y dicha capa cutánea.</w:t>
      </w:r>
    </w:p>
    <w:p w14:paraId="166A9457" w14:textId="77777777" w:rsidR="00D03C17" w:rsidRDefault="00D03C17">
      <w:pPr>
        <w:pStyle w:val="BodyText"/>
        <w:ind w:firstLine="0"/>
      </w:pPr>
      <w:r>
        <w:rPr>
          <w:b/>
          <w:bCs/>
        </w:rPr>
        <w:t>C</w:t>
      </w:r>
      <w:r>
        <w:rPr>
          <w:b/>
          <w:bCs/>
          <w:sz w:val="13"/>
          <w:szCs w:val="13"/>
        </w:rPr>
        <w:t>AUSAS</w:t>
      </w:r>
      <w:r>
        <w:rPr>
          <w:b/>
          <w:bCs/>
        </w:rPr>
        <w:t xml:space="preserve">: </w:t>
      </w:r>
      <w:r>
        <w:t xml:space="preserve">El piojo de la cabeza es </w:t>
      </w:r>
      <w:r>
        <w:rPr>
          <w:rFonts w:ascii="Times New Roman" w:eastAsia="Times New Roman" w:hAnsi="Times New Roman" w:cs="Times New Roman"/>
          <w:i/>
          <w:iCs/>
          <w:sz w:val="16"/>
          <w:szCs w:val="16"/>
        </w:rPr>
        <w:t>Pediculus humanus capitis</w:t>
      </w:r>
      <w:r>
        <w:rPr>
          <w:i/>
          <w:iCs/>
        </w:rPr>
        <w:t>.</w:t>
      </w:r>
      <w:r>
        <w:t xml:space="preserve"> Las ninfas y los piojos adultos se alimentan de sangre humana.</w:t>
      </w:r>
    </w:p>
    <w:p w14:paraId="11C9922B" w14:textId="77777777" w:rsidR="00D03C17" w:rsidRDefault="00D03C17">
      <w:pPr>
        <w:pStyle w:val="BodyText"/>
        <w:ind w:firstLine="0"/>
      </w:pPr>
      <w:r>
        <w:rPr>
          <w:b/>
          <w:bCs/>
        </w:rPr>
        <w:t>A</w:t>
      </w:r>
      <w:r>
        <w:rPr>
          <w:b/>
          <w:bCs/>
          <w:sz w:val="13"/>
          <w:szCs w:val="13"/>
        </w:rPr>
        <w:t>SPECTOS EPIDEMIOLÓGICOS</w:t>
      </w:r>
      <w:r>
        <w:rPr>
          <w:b/>
          <w:bCs/>
        </w:rPr>
        <w:t xml:space="preserve">: </w:t>
      </w:r>
      <w:r>
        <w:t>La infestación por piojos de la cabeza en niños que acuden a centros de atención de escuelas es frecuente en Estados Unidos. No es signo de desaseo porque afecta a todos los grupos socioeconómicos. Las infestaciones son menos frecuentes en niños de raza negra que en los de otras razas. El ataque por tales parásitos no depende de la longitud del cabello ni de la frecuencia con que la persona lo lava con champú o lo cepilla. Los piojos de la cabeza no constituyen un peligro sanitario porque no causan ninguna enfermedad que se propague. La transmisión se hace por contacto directo con el cabello de personas infestadas y, con menor frecuencia, contacto con pertenencias personales como peines, cepillos de pelo y sombreros. Los piojos en cuestión pueden vivir sólo uno a dos días alejados del cuero cabelludo y los huevos no “eclosionan” a una temperatura ambiente menor que la que priva cerca de la piel cabelluda.</w:t>
      </w:r>
    </w:p>
    <w:p w14:paraId="7CF936D0" w14:textId="77777777" w:rsidR="00D03C17" w:rsidRDefault="00D03C17">
      <w:pPr>
        <w:pStyle w:val="BodyText"/>
        <w:ind w:firstLine="360"/>
      </w:pPr>
      <w:r>
        <w:t xml:space="preserve">El </w:t>
      </w:r>
      <w:r>
        <w:rPr>
          <w:b/>
          <w:bCs/>
        </w:rPr>
        <w:t xml:space="preserve">periodo de incubación </w:t>
      </w:r>
      <w:r>
        <w:t>desde que son depositados los huevos hasta que sale la primera ninfa es de seis a 10 días. Sólo dos a tres semanas más tarde aparecen los piojos adultos y maduros capaces de reproducirse.</w:t>
      </w:r>
    </w:p>
    <w:p w14:paraId="7FB8B66E" w14:textId="77777777" w:rsidR="00D03C17" w:rsidRDefault="00D03C17">
      <w:pPr>
        <w:pStyle w:val="BodyText"/>
        <w:ind w:firstLine="0"/>
      </w:pPr>
      <w:r>
        <w:rPr>
          <w:b/>
          <w:bCs/>
        </w:rPr>
        <w:t>M</w:t>
      </w:r>
      <w:r>
        <w:rPr>
          <w:b/>
          <w:bCs/>
          <w:sz w:val="13"/>
          <w:szCs w:val="13"/>
        </w:rPr>
        <w:t>ÉTODOS DIAGNÓSTICOS</w:t>
      </w:r>
      <w:r>
        <w:rPr>
          <w:b/>
          <w:bCs/>
        </w:rPr>
        <w:t xml:space="preserve">: </w:t>
      </w:r>
      <w:r>
        <w:t xml:space="preserve">Es posible identificar a simple vista huevos, ninfas y piojos; el diagnóstico se confirma por amplificación con una lupa o un microscopio. Pocas veces se detectan piojos adultos porque se desplazan con rapidez y se ocultan eficazmente. </w:t>
      </w:r>
      <w:r>
        <w:rPr>
          <w:b/>
          <w:bCs/>
        </w:rPr>
        <w:t>T</w:t>
      </w:r>
      <w:r>
        <w:rPr>
          <w:b/>
          <w:bCs/>
          <w:sz w:val="13"/>
          <w:szCs w:val="13"/>
        </w:rPr>
        <w:t>RATAMIENTO</w:t>
      </w:r>
      <w:r>
        <w:rPr>
          <w:b/>
          <w:bCs/>
        </w:rPr>
        <w:t xml:space="preserve">: </w:t>
      </w:r>
      <w:r>
        <w:t>Los agentes siguientes son eficaces para combatir la pediculosis de la cabeza (véase “Fármacos antiparasitarios”, sección 4). La inocuidad de los pediculicidas es un aspecto de suma importancia porque la infestación por sí sola no constituye un peligro para el hospedador. Los productos en cuestión deben utilizarse sólo como lo señalan los fabricantes y con enorme cuidado. Habrá que explicar con todo detenimiento a los pacientes las instrucciones sobre el uso adecuado de cualquier fármaco.</w:t>
      </w:r>
    </w:p>
    <w:p w14:paraId="6C3B9750" w14:textId="77777777" w:rsidR="00D03C17" w:rsidRDefault="00D03C17">
      <w:pPr>
        <w:pStyle w:val="BodyText"/>
        <w:numPr>
          <w:ilvl w:val="0"/>
          <w:numId w:val="82"/>
        </w:numPr>
        <w:tabs>
          <w:tab w:val="left" w:pos="682"/>
        </w:tabs>
        <w:ind w:left="700" w:hanging="340"/>
      </w:pPr>
      <w:bookmarkStart w:id="71" w:name="bookmark1097"/>
      <w:bookmarkEnd w:id="71"/>
      <w:r>
        <w:rPr>
          <w:rFonts w:ascii="Times New Roman" w:eastAsia="Times New Roman" w:hAnsi="Times New Roman" w:cs="Times New Roman"/>
          <w:b/>
          <w:bCs/>
          <w:i/>
          <w:iCs/>
          <w:sz w:val="16"/>
          <w:szCs w:val="16"/>
        </w:rPr>
        <w:t>Permetrina (1%).</w:t>
      </w:r>
      <w:r>
        <w:t xml:space="preserve"> La permetrina se puede obtener sin receta en la forma de enjuague en crema al 1% que se aplica al cuero cabelludo y al cabello durante 10 min. Tiene algunas ventajas respecto a otros pediculicidas: es poca su capacidad de producir efectos tóxicos; la tasa de cura es alta y posiblemente tiene actividad ovicida. La actividad del fármaco persiste durante dos semanas o más después de aplicado, pero muchos expertos recomiendan hacer un segundo tratamiento siete a 10 días después del primero. En otros países se ha señalado resistencia muy amplia a la permetrina; a pesar de que este problema ha sido corroborado en Estados Unidos se desconoce su prevalencia.</w:t>
      </w:r>
    </w:p>
    <w:p w14:paraId="4528D3EB" w14:textId="77777777" w:rsidR="00D03C17" w:rsidRDefault="00D03C17">
      <w:pPr>
        <w:pStyle w:val="BodyText"/>
        <w:numPr>
          <w:ilvl w:val="0"/>
          <w:numId w:val="82"/>
        </w:numPr>
        <w:tabs>
          <w:tab w:val="left" w:pos="682"/>
        </w:tabs>
        <w:spacing w:line="276" w:lineRule="auto"/>
        <w:ind w:left="700" w:hanging="340"/>
      </w:pPr>
      <w:bookmarkStart w:id="72" w:name="bookmark1098"/>
      <w:bookmarkEnd w:id="72"/>
      <w:r>
        <w:rPr>
          <w:rFonts w:ascii="Times New Roman" w:eastAsia="Times New Roman" w:hAnsi="Times New Roman" w:cs="Times New Roman"/>
          <w:b/>
          <w:bCs/>
          <w:i/>
          <w:iCs/>
          <w:sz w:val="16"/>
          <w:szCs w:val="16"/>
        </w:rPr>
        <w:t>Productos a base depiretrinas.</w:t>
      </w:r>
      <w:r>
        <w:t xml:space="preserve"> Se pueden obtener sin receta champús que actúan durante 10 min. Su actividad ovicida es reducida, no poseen actividad residual y es necesario repetir la aplicación siete a 10 días después para destruir los piojos de aparición reciente. No se ha corroborado en Estados Unidos, pero sí en otros países, la aparición de resistencia a dichos fármacos. Los productos mencionados están contraindicados en personas alérgicas a los crisantemos.</w:t>
      </w:r>
    </w:p>
    <w:p w14:paraId="4A56C1F3" w14:textId="77777777" w:rsidR="00D03C17" w:rsidRDefault="00D03C17">
      <w:pPr>
        <w:pStyle w:val="BodyText"/>
        <w:numPr>
          <w:ilvl w:val="0"/>
          <w:numId w:val="82"/>
        </w:numPr>
        <w:tabs>
          <w:tab w:val="left" w:pos="682"/>
        </w:tabs>
        <w:spacing w:line="290" w:lineRule="auto"/>
        <w:ind w:left="700" w:hanging="340"/>
      </w:pPr>
      <w:bookmarkStart w:id="73" w:name="bookmark1099"/>
      <w:bookmarkEnd w:id="73"/>
      <w:r>
        <w:rPr>
          <w:rFonts w:ascii="Times New Roman" w:eastAsia="Times New Roman" w:hAnsi="Times New Roman" w:cs="Times New Roman"/>
          <w:b/>
          <w:bCs/>
          <w:i/>
          <w:iCs/>
          <w:sz w:val="16"/>
          <w:szCs w:val="16"/>
        </w:rPr>
        <w:t>Lindano (1%).</w:t>
      </w:r>
      <w:r>
        <w:t xml:space="preserve"> Este champú, que actúa en 4 min, se consigue en Estados Unidos sólo con receta, y su uso está indicado más bien para personas que no han mejorado con otras terapias aprobadas. Su actividad ovicida es reducida y se recomienda aplicar de nuevo el pediculicida siete a 10 días después. En algunos países se ha señalado resistencia al lindano. El fármaco está contraindicado en prematuros, en personas con cuadros convulsivos diagnosticados y sujetos con hipersensibilidad a dicho producto; habrá que utilizar con cautela el lindano en personas con piel inflamada o traumatizada, en niños menores de dos años de edad y en embarazadas o mujeres que amamantan a su hijo. Entre todos los pediculicidas el lindano tiene la mayor posibilidad de ocasionar efectos tóxicos, pero rara vez se han señalado efectos graves de tipo adverso cuando se utilizó el producto con base en las instrucciones del fabricante. Los efectos tóxicos con el lindano por lo común provienen de empleo erróneo, como sería ingestión, dosis excesivas o administración prolongada o repetida.</w:t>
      </w:r>
    </w:p>
    <w:p w14:paraId="7D5B7079" w14:textId="77777777" w:rsidR="00D03C17" w:rsidRDefault="00D03C17">
      <w:pPr>
        <w:pStyle w:val="BodyText"/>
        <w:tabs>
          <w:tab w:val="left" w:pos="643"/>
        </w:tabs>
        <w:spacing w:line="314" w:lineRule="auto"/>
        <w:ind w:firstLine="360"/>
      </w:pPr>
      <w:r>
        <w:rPr>
          <w:rFonts w:ascii="Times New Roman" w:eastAsia="Times New Roman" w:hAnsi="Times New Roman" w:cs="Times New Roman"/>
          <w:b/>
          <w:bCs/>
          <w:i/>
          <w:iCs/>
          <w:sz w:val="16"/>
          <w:szCs w:val="16"/>
        </w:rPr>
        <w:t>•</w:t>
      </w:r>
      <w:r>
        <w:rPr>
          <w:rFonts w:ascii="Times New Roman" w:eastAsia="Times New Roman" w:hAnsi="Times New Roman" w:cs="Times New Roman"/>
          <w:b/>
          <w:bCs/>
          <w:i/>
          <w:iCs/>
          <w:sz w:val="16"/>
          <w:szCs w:val="16"/>
        </w:rPr>
        <w:tab/>
        <w:t>Malatión (0.5%).</w:t>
      </w:r>
      <w:r>
        <w:t xml:space="preserve"> En Estados Unidos se necesita receta para obtener este</w:t>
      </w:r>
    </w:p>
    <w:p w14:paraId="37F6D30F" w14:textId="77777777" w:rsidR="00D03C17" w:rsidRDefault="00D03C17">
      <w:pPr>
        <w:pStyle w:val="BodyText"/>
        <w:ind w:left="700" w:firstLine="0"/>
      </w:pPr>
      <w:r>
        <w:t>plaguicida, que es muy eficaz para combatir los piojos de la cabeza y es inocuo si se cumplen las instrucciones del fabricante. La única presentación que se consigue en Estados Unidos es la loción al 0.5%, y se recomienda aplicarlo y dejarlo durante 8 a 12 h, aplicación que se repetirá en siete a nueve días si persisten los piojos para esa fecha. La loción de malatión es inflamable y si se ingiere puede ocasionar grave disfunción respiratoria. El fármaco está contraindicado en neonatos lactantes porque ellos tienen mayor permeabilidad de su piel cabelluda y, como consecuencia, se absorbe con mayor intensidad el malatión.</w:t>
      </w:r>
    </w:p>
    <w:p w14:paraId="130BBF18" w14:textId="77777777" w:rsidR="00D03C17" w:rsidRDefault="00D03C17">
      <w:pPr>
        <w:pStyle w:val="BodyText"/>
        <w:ind w:firstLine="360"/>
      </w:pPr>
      <w:r>
        <w:t>Los pediculicidas matan los piojos poco después de ser aplicados, pero la detección de piojos vivos al revisar el cuero cabelludo 24 h o más después del tratamiento sugiere que se usó inadecuadamente el fármaco, o que hay una infestación muy abundante, reinfestación o resistencia al medicamento. En tales situaciones, después de descartar que se usó en forma inadecuada, se recomienda repetir el tratamiento inmediatamente con otro pediculicida distinto seguido de una segunda aplicación siete días más tarde. El prurito o el ardor leve del cuero cabelludo causado por inflamación de la piel en respuesta a agentes terapéuticos tópicos puede persistir durante días después de destruidos los piojos y no constituye una razón para repetir el tratamiento. Los corticosteroides tópicos y los antihistamínicos ingeribles pueden ser beneficiosos para aliviar los signos y síntomas mencionados.</w:t>
      </w:r>
    </w:p>
    <w:p w14:paraId="44AEAAA0" w14:textId="77777777" w:rsidR="00D03C17" w:rsidRDefault="00D03C17">
      <w:pPr>
        <w:pStyle w:val="BodyText"/>
        <w:ind w:firstLine="360"/>
      </w:pPr>
      <w:r>
        <w:t xml:space="preserve">No es necesario eliminar las liendres después de la aplicación del pediculicida para evitar su propagación. La eliminación de las ninfas se puede lograr por razones estéticas o para disminuir la confusión diagnóstica, aunque el proceso es tedioso. Se ha demostrado que son eficaces trimetoprim-sulfametoxazol e ivermectina, pero ninguno de los dos ha sido aprobado por la </w:t>
      </w:r>
      <w:r>
        <w:rPr>
          <w:rFonts w:ascii="Times New Roman" w:eastAsia="Times New Roman" w:hAnsi="Times New Roman" w:cs="Times New Roman"/>
          <w:i/>
          <w:iCs/>
          <w:sz w:val="16"/>
          <w:szCs w:val="16"/>
        </w:rPr>
        <w:t>Food and Drug Administration</w:t>
      </w:r>
      <w:r>
        <w:t xml:space="preserve"> para utilizar como pediculicida. Se necesitan más datos para saber si “el ahogamiento” de los piojos al aplicar agentes oclusivos como la vaselina, el aceite de oliva o la mayonesa, constituye un método de tratamiento eficaz. </w:t>
      </w:r>
      <w:r>
        <w:rPr>
          <w:b/>
          <w:bCs/>
        </w:rPr>
        <w:t>A</w:t>
      </w:r>
      <w:r>
        <w:rPr>
          <w:b/>
          <w:bCs/>
          <w:sz w:val="13"/>
          <w:szCs w:val="13"/>
        </w:rPr>
        <w:t xml:space="preserve">ISLAMIENTO </w:t>
      </w:r>
      <w:r>
        <w:rPr>
          <w:b/>
          <w:bCs/>
          <w:smallCaps/>
          <w:sz w:val="16"/>
          <w:szCs w:val="16"/>
        </w:rPr>
        <w:t>del</w:t>
      </w:r>
      <w:r>
        <w:rPr>
          <w:b/>
          <w:bCs/>
          <w:sz w:val="13"/>
          <w:szCs w:val="13"/>
        </w:rPr>
        <w:t xml:space="preserve"> PACIENTE HOSPITALIZADO</w:t>
      </w:r>
      <w:r>
        <w:rPr>
          <w:b/>
          <w:bCs/>
        </w:rPr>
        <w:t xml:space="preserve">: </w:t>
      </w:r>
      <w:r>
        <w:t>Además de las precauciones estándar se recomienda seguir las precauciones para evitar la transmisión por contacto hasta que el paciente ha sido tratado con un pediculicida apropiado.</w:t>
      </w:r>
    </w:p>
    <w:p w14:paraId="7BD48AB9" w14:textId="77777777" w:rsidR="00D03C17" w:rsidRDefault="00D03C17">
      <w:pPr>
        <w:pStyle w:val="BodyText"/>
        <w:ind w:firstLine="0"/>
        <w:sectPr w:rsidR="00D03C17" w:rsidSect="00D03C17">
          <w:headerReference w:type="even" r:id="rId151"/>
          <w:headerReference w:type="default" r:id="rId152"/>
          <w:footerReference w:type="even" r:id="rId153"/>
          <w:footerReference w:type="default" r:id="rId154"/>
          <w:headerReference w:type="first" r:id="rId155"/>
          <w:footerReference w:type="first" r:id="rId156"/>
          <w:footnotePr>
            <w:numFmt w:val="chicago"/>
          </w:footnotePr>
          <w:pgSz w:w="8501" w:h="13022"/>
          <w:pgMar w:top="704" w:right="812" w:bottom="457" w:left="766" w:header="0" w:footer="3" w:gutter="0"/>
          <w:cols w:space="720"/>
          <w:noEndnote/>
          <w:titlePg/>
          <w:docGrid w:linePitch="360"/>
          <w15:footnoteColumns w:val="1"/>
        </w:sectPr>
      </w:pPr>
      <w:r>
        <w:rPr>
          <w:b/>
          <w:bCs/>
        </w:rPr>
        <w:t>M</w:t>
      </w:r>
      <w:r>
        <w:rPr>
          <w:b/>
          <w:bCs/>
          <w:sz w:val="13"/>
          <w:szCs w:val="13"/>
        </w:rPr>
        <w:t>EDIDAS PREVENTIVAS</w:t>
      </w:r>
      <w:r>
        <w:rPr>
          <w:b/>
          <w:bCs/>
        </w:rPr>
        <w:t xml:space="preserve">: </w:t>
      </w:r>
      <w:r>
        <w:t xml:space="preserve">Es importante revisar los contactos del círculo familiar y a otros de tipo cercano y, si están infestados, administrar el tratamiento. Es difícil a veces distinguir entre las liendres y los “moldes” capilares benignos (una capa de células foliculares que fácilmente se separa del tallo piloso), tapones de células epiteliales descamadas y restos celulares externos. Conviene usar medidas profilácticas en los compañeros de lecho. Es importante no excluir a los niños o enviarlos tempranamente </w:t>
      </w:r>
    </w:p>
    <w:p w14:paraId="23DAC9CE" w14:textId="77777777" w:rsidR="00D03C17" w:rsidRDefault="00D03C17">
      <w:pPr>
        <w:pStyle w:val="BodyText"/>
        <w:ind w:firstLine="0"/>
      </w:pPr>
      <w:r>
        <w:t>de la escuela al hogar por la infestación de piojos de la cabeza. Será mejor notificar e informar a los padres que su hijo debe ser tratado de la manera más apropiada antes de retornar a la escuela el día siguiente del tratamiento. Después de la aplicación correcta del pediculicida apropiado, es más probable que la reinfestación de los niños se deba a un contacto infestado no tratado que a la ineficacia terapéutica.</w:t>
      </w:r>
    </w:p>
    <w:p w14:paraId="1B7C9B36" w14:textId="77777777" w:rsidR="00D03C17" w:rsidRDefault="00D03C17">
      <w:pPr>
        <w:pStyle w:val="BodyText"/>
        <w:ind w:firstLine="360"/>
      </w:pPr>
      <w:r>
        <w:t>Las normas de “erradicación de liendres” que exigen que los niños no tengan ninfa alguna antes de reincorporarse a la unidad de cuidados infantiles o la escuela no han sido eficaces para controlar la transmisión de los piojos de la cabeza y no son recomendables. Los piojos en fase de incubación en las liendres están tan cerca del cuero cabelludo que es difícil eliminarlos con peines de diente fino. Las que están más alejadas de la piel cabelluda son más fáciles de eliminar, pero están vacías y por consiguiente no tienen consecuencias.</w:t>
      </w:r>
    </w:p>
    <w:p w14:paraId="165B2303" w14:textId="77777777" w:rsidR="00D03C17" w:rsidRDefault="00D03C17">
      <w:pPr>
        <w:pStyle w:val="BodyText"/>
        <w:spacing w:after="100"/>
        <w:ind w:firstLine="360"/>
      </w:pPr>
      <w:r>
        <w:t>Casi todos los niños pueden ser tratados de manera eficaz sin necesidad de tratamiento adicional para sus ropas personales o de cama. Los objetos inanimados no intervienen en la transmisión de los piojos de la cabeza, pero algunos padres tal vez prefieran desinfectar cascos, fundas de almohadas y toallas, para lo cual es necesario lavarlos en agua caliente y secarlos en secadora con un ciclo caliente. Es posible lavar con un champú pediculicida o remojar en agua caliente los peines y cepillos de pelo. Las liendres y los piojos mueren con temperaturas mayores a 53.5°C durante 5 min. El lavado en seco de las ropas personales o simplemente almacenar los artículos contaminados en bolsas de plástico perfectamente sellado durante 10 días también es una medida eficaz, aunque rara vez se le necesita. No es necesario desinfectar muebles como sillas y sofás. Los insecticidas de ambiente en nebulizador incrementan la exposición química de los miembros del núcleo familiar y no han sido útiles para controlar los piojos de la cabeza. En vez del aerosol, otra posibilidad segura y eficaz es la aspiración al vacío. No está indicado el tratamiento de perros, gatos u otras mascotas.</w:t>
      </w:r>
    </w:p>
    <w:p w14:paraId="415AED00" w14:textId="77777777" w:rsidR="00D03C17" w:rsidRDefault="00D03C17">
      <w:pPr>
        <w:pStyle w:val="Bodytext70"/>
        <w:spacing w:after="0"/>
      </w:pPr>
      <w:r>
        <w:t>Pediculosis del cuerpo</w:t>
      </w:r>
    </w:p>
    <w:p w14:paraId="5842FAB5" w14:textId="77777777" w:rsidR="00D03C17" w:rsidRDefault="00D03C17">
      <w:pPr>
        <w:pStyle w:val="Other0"/>
        <w:spacing w:line="252" w:lineRule="auto"/>
        <w:ind w:firstLine="0"/>
        <w:rPr>
          <w:sz w:val="20"/>
          <w:szCs w:val="20"/>
        </w:rPr>
      </w:pPr>
      <w:r>
        <w:rPr>
          <w:rFonts w:ascii="Arial" w:eastAsia="Arial" w:hAnsi="Arial" w:cs="Arial"/>
          <w:b/>
          <w:bCs/>
          <w:w w:val="70"/>
          <w:sz w:val="20"/>
          <w:szCs w:val="20"/>
        </w:rPr>
        <w:t>(Piojos del cuerpo)</w:t>
      </w:r>
    </w:p>
    <w:p w14:paraId="1C98C633" w14:textId="77777777" w:rsidR="00D03C17" w:rsidRDefault="00D03C17">
      <w:pPr>
        <w:pStyle w:val="BodyText"/>
        <w:ind w:firstLine="0"/>
      </w:pPr>
      <w:r>
        <w:rPr>
          <w:b/>
          <w:bCs/>
        </w:rPr>
        <w:t>M</w:t>
      </w:r>
      <w:r>
        <w:rPr>
          <w:b/>
          <w:bCs/>
          <w:sz w:val="13"/>
          <w:szCs w:val="13"/>
        </w:rPr>
        <w:t>ANIFESTACIONES CLÍNICAS</w:t>
      </w:r>
      <w:r>
        <w:rPr>
          <w:b/>
          <w:bCs/>
        </w:rPr>
        <w:t xml:space="preserve">: </w:t>
      </w:r>
      <w:r>
        <w:t xml:space="preserve">Con este tipo de pediculosis es frecuente que surja prurito intenso, particularmente en la noche. Los piojos y sus huevos viven en las costuras de ropas personales; rara vez se advierte un piojo en el momento de succionar su alimento en la piel. La infección bacteriana secundaria de la piel causada por rascado es un signo frecuente. </w:t>
      </w:r>
      <w:r>
        <w:rPr>
          <w:b/>
          <w:bCs/>
        </w:rPr>
        <w:t>C</w:t>
      </w:r>
      <w:r>
        <w:rPr>
          <w:b/>
          <w:bCs/>
          <w:sz w:val="13"/>
          <w:szCs w:val="13"/>
        </w:rPr>
        <w:t>AUSAS</w:t>
      </w:r>
      <w:r>
        <w:rPr>
          <w:b/>
          <w:bCs/>
        </w:rPr>
        <w:t xml:space="preserve">: </w:t>
      </w:r>
      <w:r>
        <w:rPr>
          <w:rFonts w:ascii="Times New Roman" w:eastAsia="Times New Roman" w:hAnsi="Times New Roman" w:cs="Times New Roman"/>
          <w:i/>
          <w:iCs/>
          <w:sz w:val="16"/>
          <w:szCs w:val="16"/>
        </w:rPr>
        <w:t>Pediculus humanus corporis</w:t>
      </w:r>
      <w:r>
        <w:t xml:space="preserve"> (o </w:t>
      </w:r>
      <w:r>
        <w:rPr>
          <w:rFonts w:ascii="Times New Roman" w:eastAsia="Times New Roman" w:hAnsi="Times New Roman" w:cs="Times New Roman"/>
          <w:i/>
          <w:iCs/>
          <w:sz w:val="16"/>
          <w:szCs w:val="16"/>
        </w:rPr>
        <w:t>humanus</w:t>
      </w:r>
      <w:r>
        <w:rPr>
          <w:i/>
          <w:iCs/>
        </w:rPr>
        <w:t>)</w:t>
      </w:r>
      <w:r>
        <w:t xml:space="preserve"> es el piojo del cuerpo. Las ninfas y los piojos adultos se alimentan de sangre humana.</w:t>
      </w:r>
    </w:p>
    <w:p w14:paraId="2BF86134" w14:textId="77777777" w:rsidR="00D03C17" w:rsidRDefault="00D03C17">
      <w:pPr>
        <w:pStyle w:val="BodyText"/>
        <w:ind w:firstLine="0"/>
      </w:pPr>
      <w:r>
        <w:rPr>
          <w:b/>
          <w:bCs/>
        </w:rPr>
        <w:t>A</w:t>
      </w:r>
      <w:r>
        <w:rPr>
          <w:b/>
          <w:bCs/>
          <w:sz w:val="13"/>
          <w:szCs w:val="13"/>
        </w:rPr>
        <w:t>SPECTOS EPIDEMIOLÓGICOS</w:t>
      </w:r>
      <w:r>
        <w:rPr>
          <w:b/>
          <w:bCs/>
        </w:rPr>
        <w:t xml:space="preserve">: </w:t>
      </w:r>
      <w:r>
        <w:t>Los piojos del cuerpo por lo común infestan a personas desaseadas. Los objetos inanimados a veces intervienen en la transmisión. Este tipo de artrópodos no vive lejos de la sangre que constituye su alimento, por más de 10 días. A diferencia del piojo de la cabeza, el del cuerpo es un vector perfectamente identificado de enfermedades (como el tifus epidémico, la fiebre quintana o de las trincheras o fiebre recurrente).</w:t>
      </w:r>
    </w:p>
    <w:p w14:paraId="72B5D716" w14:textId="77777777" w:rsidR="00D03C17" w:rsidRDefault="00D03C17">
      <w:pPr>
        <w:pStyle w:val="BodyText"/>
        <w:ind w:firstLine="360"/>
      </w:pPr>
      <w:r>
        <w:t xml:space="preserve">El </w:t>
      </w:r>
      <w:r>
        <w:rPr>
          <w:b/>
          <w:bCs/>
        </w:rPr>
        <w:t xml:space="preserve">periodo de incubación </w:t>
      </w:r>
      <w:r>
        <w:t>que va desde la puesta de los huevos hasta que sale la primera ninfa de ellos es de seis a 10 días. Los piojos maduros capaces de reproducirse aparecen dos a tres semanas después.</w:t>
      </w:r>
    </w:p>
    <w:p w14:paraId="450966F8" w14:textId="77777777" w:rsidR="00D03C17" w:rsidRDefault="00D03C17">
      <w:pPr>
        <w:pStyle w:val="BodyText"/>
        <w:spacing w:after="40"/>
        <w:ind w:firstLine="0"/>
      </w:pPr>
      <w:r>
        <w:rPr>
          <w:b/>
          <w:bCs/>
        </w:rPr>
        <w:t>M</w:t>
      </w:r>
      <w:r>
        <w:rPr>
          <w:b/>
          <w:bCs/>
          <w:sz w:val="13"/>
          <w:szCs w:val="13"/>
        </w:rPr>
        <w:t>ÉTODOS DIAGNÓSTICOS</w:t>
      </w:r>
      <w:r>
        <w:rPr>
          <w:b/>
          <w:bCs/>
        </w:rPr>
        <w:t xml:space="preserve">: </w:t>
      </w:r>
      <w:r>
        <w:t>Es posible a simple vista identificar huevos, ninfas y piojos, aunque el diagnóstico se confirma más bien por medio de una lupa o un microscopio. Rara vez se detectan piojos adultos porque se desplazan de manera muy rápida y se esconden eficazmente.</w:t>
      </w:r>
    </w:p>
    <w:p w14:paraId="14C01B3A" w14:textId="77777777" w:rsidR="00D03C17" w:rsidRDefault="00D03C17">
      <w:pPr>
        <w:pStyle w:val="BodyText"/>
        <w:ind w:firstLine="0"/>
      </w:pPr>
      <w:r>
        <w:t>de la escuela al hogar por la infestación de piojos de la cabeza. Será mejor notificar e informar a los padres que su hijo debe ser tratado de la manera más apropiada antes de retornar a la escuela el día siguiente del tratamiento. Después de la aplicación correcta del pediculicida apropiado, es más probable que la reinfestación de los niños se deba a un contacto infestado no tratado que a la ineficacia terapéutica.</w:t>
      </w:r>
    </w:p>
    <w:p w14:paraId="28E13F76" w14:textId="77777777" w:rsidR="00D03C17" w:rsidRDefault="00D03C17">
      <w:pPr>
        <w:pStyle w:val="BodyText"/>
        <w:ind w:firstLine="360"/>
      </w:pPr>
      <w:r>
        <w:t>Las normas de “erradicación de liendres” que exigen que los niños no tengan ninfa alguna antes de reincorporarse a la unidad de cuidados infantiles o la escuela no han sido eficaces para controlar la transmisión de los piojos de la cabeza y no son recomendables. Los piojos en fase de incubación en las liendres están tan cerca del cuero cabelludo que es difícil eliminarlos con peines de diente fino. Las que están más alejadas de la piel cabelluda son más fáciles de eliminar, pero están vacías y por consiguiente no tienen consecuencias.</w:t>
      </w:r>
    </w:p>
    <w:p w14:paraId="644C5EF7" w14:textId="77777777" w:rsidR="00D03C17" w:rsidRDefault="00D03C17">
      <w:pPr>
        <w:pStyle w:val="BodyText"/>
        <w:spacing w:after="100"/>
        <w:ind w:firstLine="360"/>
      </w:pPr>
      <w:r>
        <w:t>Casi todos los niños pueden ser tratados de manera eficaz sin necesidad de tratamiento adicional para sus ropas personales o de cama. Los objetos inanimados no intervienen en la transmisión de los piojos de la cabeza, pero algunos padres tal vez prefieran desinfectar cascos, fundas de almohadas y toallas, para lo cual es necesario lavarlos en agua caliente y secarlos en secadora con un ciclo caliente. Es posible lavar con un champú pediculicida o remojar en agua caliente los peines y cepillos de pelo. Las liendres y los piojos mueren con temperaturas mayores a 53.5°C durante 5 min. El lavado en seco de las ropas personales o simplemente almacenar los artículos contaminados en bolsas de plástico perfectamente sellado durante 10 días también es una medida eficaz, aunque rara vez se le necesita. No es necesario desinfectar muebles como sillas y sofás. Los insecticidas de ambiente en nebulizador incrementan la exposición química de los miembros del núcleo familiar y no han sido útiles para controlar los piojos de la cabeza. En vez del aerosol, otra posibilidad segura y eficaz es la aspiración al vacío. No está indicado el tratamiento de perros, gatos u otras mascotas.</w:t>
      </w:r>
    </w:p>
    <w:p w14:paraId="60E42669" w14:textId="77777777" w:rsidR="00D03C17" w:rsidRDefault="00D03C17">
      <w:pPr>
        <w:pStyle w:val="Bodytext70"/>
        <w:spacing w:after="0"/>
      </w:pPr>
      <w:r>
        <w:t>Pediculosis del cuerpo</w:t>
      </w:r>
    </w:p>
    <w:p w14:paraId="2BA26D93" w14:textId="77777777" w:rsidR="00D03C17" w:rsidRDefault="00D03C17">
      <w:pPr>
        <w:pStyle w:val="Other0"/>
        <w:spacing w:line="252" w:lineRule="auto"/>
        <w:ind w:firstLine="0"/>
        <w:rPr>
          <w:sz w:val="20"/>
          <w:szCs w:val="20"/>
        </w:rPr>
      </w:pPr>
      <w:r>
        <w:rPr>
          <w:rFonts w:ascii="Arial" w:eastAsia="Arial" w:hAnsi="Arial" w:cs="Arial"/>
          <w:b/>
          <w:bCs/>
          <w:w w:val="70"/>
          <w:sz w:val="20"/>
          <w:szCs w:val="20"/>
        </w:rPr>
        <w:t>(Piojos del cuerpo)</w:t>
      </w:r>
    </w:p>
    <w:p w14:paraId="11527BAB" w14:textId="77777777" w:rsidR="00D03C17" w:rsidRDefault="00D03C17">
      <w:pPr>
        <w:pStyle w:val="BodyText"/>
        <w:ind w:firstLine="0"/>
      </w:pPr>
      <w:r>
        <w:rPr>
          <w:b/>
          <w:bCs/>
        </w:rPr>
        <w:t>M</w:t>
      </w:r>
      <w:r>
        <w:rPr>
          <w:b/>
          <w:bCs/>
          <w:sz w:val="13"/>
          <w:szCs w:val="13"/>
        </w:rPr>
        <w:t>ANIFESTACIONES CLÍNICAS</w:t>
      </w:r>
      <w:r>
        <w:rPr>
          <w:b/>
          <w:bCs/>
        </w:rPr>
        <w:t xml:space="preserve">: </w:t>
      </w:r>
      <w:r>
        <w:t xml:space="preserve">Con este tipo de pediculosis es frecuente que surja prurito intenso, particularmente en la noche. Los piojos y sus huevos viven en las costuras de ropas personales; rara vez se advierte un piojo en el momento de succionar su alimento en la piel. La infección bacteriana secundaria de la piel causada por rascado es un signo frecuente. </w:t>
      </w:r>
      <w:r>
        <w:rPr>
          <w:b/>
          <w:bCs/>
        </w:rPr>
        <w:t>C</w:t>
      </w:r>
      <w:r>
        <w:rPr>
          <w:b/>
          <w:bCs/>
          <w:sz w:val="13"/>
          <w:szCs w:val="13"/>
        </w:rPr>
        <w:t>AUSAS</w:t>
      </w:r>
      <w:r>
        <w:rPr>
          <w:b/>
          <w:bCs/>
        </w:rPr>
        <w:t xml:space="preserve">: </w:t>
      </w:r>
      <w:r>
        <w:rPr>
          <w:rFonts w:ascii="Times New Roman" w:eastAsia="Times New Roman" w:hAnsi="Times New Roman" w:cs="Times New Roman"/>
          <w:i/>
          <w:iCs/>
          <w:sz w:val="16"/>
          <w:szCs w:val="16"/>
        </w:rPr>
        <w:t>Pediculus humanus corporis</w:t>
      </w:r>
      <w:r>
        <w:t xml:space="preserve"> (o </w:t>
      </w:r>
      <w:r>
        <w:rPr>
          <w:rFonts w:ascii="Times New Roman" w:eastAsia="Times New Roman" w:hAnsi="Times New Roman" w:cs="Times New Roman"/>
          <w:i/>
          <w:iCs/>
          <w:sz w:val="16"/>
          <w:szCs w:val="16"/>
        </w:rPr>
        <w:t>humanus</w:t>
      </w:r>
      <w:r>
        <w:rPr>
          <w:i/>
          <w:iCs/>
        </w:rPr>
        <w:t>)</w:t>
      </w:r>
      <w:r>
        <w:t xml:space="preserve"> es el piojo del cuerpo. Las ninfas y los piojos adultos se alimentan de sangre humana.</w:t>
      </w:r>
    </w:p>
    <w:p w14:paraId="245F0BBD" w14:textId="77777777" w:rsidR="00D03C17" w:rsidRDefault="00D03C17">
      <w:pPr>
        <w:pStyle w:val="BodyText"/>
        <w:ind w:firstLine="0"/>
      </w:pPr>
      <w:r>
        <w:rPr>
          <w:b/>
          <w:bCs/>
        </w:rPr>
        <w:t>A</w:t>
      </w:r>
      <w:r>
        <w:rPr>
          <w:b/>
          <w:bCs/>
          <w:sz w:val="13"/>
          <w:szCs w:val="13"/>
        </w:rPr>
        <w:t>SPECTOS EPIDEMIOLÓGICOS</w:t>
      </w:r>
      <w:r>
        <w:rPr>
          <w:b/>
          <w:bCs/>
        </w:rPr>
        <w:t xml:space="preserve">: </w:t>
      </w:r>
      <w:r>
        <w:t>Los piojos del cuerpo por lo común infestan a personas desaseadas. Los objetos inanimados a veces intervienen en la transmisión. Este tipo de artrópodos no vive lejos de la sangre que constituye su alimento, por más de 10 días. A diferencia del piojo de la cabeza, el del cuerpo es un vector perfectamente identificado de enfermedades (como el tifus epidémico, la fiebre quintana o de las trincheras o fiebre recurrente).</w:t>
      </w:r>
    </w:p>
    <w:p w14:paraId="6D522979" w14:textId="77777777" w:rsidR="00D03C17" w:rsidRDefault="00D03C17">
      <w:pPr>
        <w:pStyle w:val="BodyText"/>
        <w:ind w:firstLine="360"/>
      </w:pPr>
      <w:r>
        <w:t xml:space="preserve">El </w:t>
      </w:r>
      <w:r>
        <w:rPr>
          <w:b/>
          <w:bCs/>
        </w:rPr>
        <w:t xml:space="preserve">periodo de incubación </w:t>
      </w:r>
      <w:r>
        <w:t>que va desde la puesta de los huevos hasta que sale la primera ninfa de ellos es de seis a 10 días. Los piojos maduros capaces de reproducirse aparecen dos a tres semanas después.</w:t>
      </w:r>
    </w:p>
    <w:p w14:paraId="040E02AB" w14:textId="77777777" w:rsidR="00D03C17" w:rsidRDefault="00D03C17">
      <w:pPr>
        <w:pStyle w:val="BodyText"/>
        <w:spacing w:after="40"/>
        <w:ind w:firstLine="0"/>
        <w:sectPr w:rsidR="00D03C17" w:rsidSect="00D03C17">
          <w:headerReference w:type="even" r:id="rId157"/>
          <w:headerReference w:type="default" r:id="rId158"/>
          <w:footerReference w:type="even" r:id="rId159"/>
          <w:footerReference w:type="default" r:id="rId160"/>
          <w:footnotePr>
            <w:numFmt w:val="chicago"/>
          </w:footnotePr>
          <w:type w:val="continuous"/>
          <w:pgSz w:w="8501" w:h="13022"/>
          <w:pgMar w:top="704" w:right="812" w:bottom="457" w:left="766" w:header="0" w:footer="29" w:gutter="0"/>
          <w:cols w:space="720"/>
          <w:noEndnote/>
          <w:docGrid w:linePitch="360"/>
          <w15:footnoteColumns w:val="1"/>
        </w:sectPr>
      </w:pPr>
      <w:r>
        <w:rPr>
          <w:b/>
          <w:bCs/>
        </w:rPr>
        <w:t>M</w:t>
      </w:r>
      <w:r>
        <w:rPr>
          <w:b/>
          <w:bCs/>
          <w:sz w:val="13"/>
          <w:szCs w:val="13"/>
        </w:rPr>
        <w:t>ÉTODOS DIAGNÓSTICOS</w:t>
      </w:r>
      <w:r>
        <w:rPr>
          <w:b/>
          <w:bCs/>
        </w:rPr>
        <w:t xml:space="preserve">: </w:t>
      </w:r>
      <w:r>
        <w:t>Es posible a simple vista identificar huevos, ninfas y piojos, aunque el diagnóstico se confirma más bien por medio de una lupa o un microscopio. Rara vez se detectan piojos adultos porque se desplazan de manera muy rápida y se esconden eficazmente.</w:t>
      </w:r>
    </w:p>
    <w:p w14:paraId="28890967" w14:textId="77777777" w:rsidR="00D03C17" w:rsidRDefault="00D03C17">
      <w:pPr>
        <w:pStyle w:val="BodyText"/>
        <w:ind w:firstLine="0"/>
      </w:pPr>
      <w:r>
        <w:rPr>
          <w:b/>
          <w:bCs/>
        </w:rPr>
        <w:t>T</w:t>
      </w:r>
      <w:r>
        <w:rPr>
          <w:b/>
          <w:bCs/>
          <w:sz w:val="13"/>
          <w:szCs w:val="13"/>
        </w:rPr>
        <w:t>RATAMIENTO</w:t>
      </w:r>
      <w:r>
        <w:rPr>
          <w:b/>
          <w:bCs/>
        </w:rPr>
        <w:t xml:space="preserve">: </w:t>
      </w:r>
      <w:r>
        <w:t>Consiste en mejorar la higiene y limpiar las ropas personales y de cama. Los materiales infestados pueden lavarse y secarse a temperaturas altas para destruir los artrópodos. Los pediculicidas no son necesarios si los materiales se lavan como mínimo cada semana.</w:t>
      </w:r>
    </w:p>
    <w:p w14:paraId="2C3A7F7F" w14:textId="77777777" w:rsidR="00D03C17" w:rsidRDefault="00D03C17">
      <w:pPr>
        <w:pStyle w:val="BodyText"/>
        <w:ind w:firstLine="0"/>
      </w:pPr>
      <w:r>
        <w:rPr>
          <w:b/>
          <w:bCs/>
        </w:rPr>
        <w:t>A</w:t>
      </w:r>
      <w:r>
        <w:rPr>
          <w:b/>
          <w:bCs/>
          <w:sz w:val="13"/>
          <w:szCs w:val="13"/>
        </w:rPr>
        <w:t xml:space="preserve">ISLAMIENTO </w:t>
      </w:r>
      <w:r>
        <w:rPr>
          <w:b/>
          <w:bCs/>
          <w:smallCaps/>
          <w:sz w:val="16"/>
          <w:szCs w:val="16"/>
        </w:rPr>
        <w:t>del</w:t>
      </w:r>
      <w:r>
        <w:rPr>
          <w:b/>
          <w:bCs/>
          <w:sz w:val="13"/>
          <w:szCs w:val="13"/>
        </w:rPr>
        <w:t xml:space="preserve"> PACIENTE HOSPITALIZADO</w:t>
      </w:r>
      <w:r>
        <w:rPr>
          <w:b/>
          <w:bCs/>
        </w:rPr>
        <w:t xml:space="preserve">: </w:t>
      </w:r>
      <w:r>
        <w:t>Además de las precauciones estándar se recomiendan precauciones para evitar la transmisión por contacto hasta que se haya tratado al enfermo.</w:t>
      </w:r>
    </w:p>
    <w:p w14:paraId="5B3A0520" w14:textId="77777777" w:rsidR="00D03C17" w:rsidRDefault="00D03C17">
      <w:pPr>
        <w:pStyle w:val="BodyText"/>
        <w:spacing w:after="100"/>
        <w:ind w:firstLine="0"/>
      </w:pPr>
      <w:r>
        <w:rPr>
          <w:b/>
          <w:bCs/>
        </w:rPr>
        <w:t>M</w:t>
      </w:r>
      <w:r>
        <w:rPr>
          <w:b/>
          <w:bCs/>
          <w:sz w:val="13"/>
          <w:szCs w:val="13"/>
        </w:rPr>
        <w:t>EDIDAS PREVENTIVAS</w:t>
      </w:r>
      <w:r>
        <w:rPr>
          <w:b/>
          <w:bCs/>
        </w:rPr>
        <w:t xml:space="preserve">: </w:t>
      </w:r>
      <w:r>
        <w:t>El factor más importante en la erradicación de la infestación por piojos del cuerpo es la posibilidad de cambiarse de ropas personales y lavarlas. Hay que revisar a los contactos cercanos y tratarlos adecuadamente; también habrá que lavar sus ropas personales y de cama.</w:t>
      </w:r>
    </w:p>
    <w:p w14:paraId="5BE37C3B" w14:textId="77777777" w:rsidR="00D03C17" w:rsidRDefault="00D03C17">
      <w:pPr>
        <w:pStyle w:val="Bodytext70"/>
        <w:spacing w:after="0"/>
      </w:pPr>
      <w:r>
        <w:t>Pediculosis del pubis</w:t>
      </w:r>
    </w:p>
    <w:p w14:paraId="4121DAF2" w14:textId="77777777" w:rsidR="00D03C17" w:rsidRDefault="00D03C17">
      <w:pPr>
        <w:pStyle w:val="Other0"/>
        <w:spacing w:line="252" w:lineRule="auto"/>
        <w:ind w:firstLine="0"/>
        <w:rPr>
          <w:sz w:val="20"/>
          <w:szCs w:val="20"/>
        </w:rPr>
      </w:pPr>
      <w:r>
        <w:rPr>
          <w:rFonts w:ascii="Arial" w:eastAsia="Arial" w:hAnsi="Arial" w:cs="Arial"/>
          <w:b/>
          <w:bCs/>
          <w:w w:val="70"/>
          <w:sz w:val="20"/>
          <w:szCs w:val="20"/>
        </w:rPr>
        <w:t>(Piojos del pubis o ladillas)</w:t>
      </w:r>
    </w:p>
    <w:p w14:paraId="4AD944E3" w14:textId="77777777" w:rsidR="00D03C17" w:rsidRDefault="00D03C17">
      <w:pPr>
        <w:pStyle w:val="BodyText"/>
        <w:ind w:firstLine="0"/>
      </w:pPr>
      <w:r>
        <w:rPr>
          <w:b/>
          <w:bCs/>
        </w:rPr>
        <w:t>M</w:t>
      </w:r>
      <w:r>
        <w:rPr>
          <w:b/>
          <w:bCs/>
          <w:sz w:val="13"/>
          <w:szCs w:val="13"/>
        </w:rPr>
        <w:t>ANIFESTACIONES CLÍNICAS</w:t>
      </w:r>
      <w:r>
        <w:rPr>
          <w:b/>
          <w:bCs/>
        </w:rPr>
        <w:t xml:space="preserve">: </w:t>
      </w:r>
      <w:r>
        <w:t>Un síntoma frecuente en las infestaciones por piojos del pubis (“ladillas”) es el prurito del área anogenital. Los parásitos pueden infestar muchas zonas pilosas del cuerpo, que incluyen pestañas y cejas, la barba, la axila, el área perianal y en ocasiones el cuero cabelludo. Un signo característico de la infestación con abundantes parásitos es la presencia de máculas azulosas o color pizarra en el tórax, el abdomen o los muslos, conocidas como manchas azules.</w:t>
      </w:r>
    </w:p>
    <w:p w14:paraId="0C34A38A" w14:textId="77777777" w:rsidR="00D03C17" w:rsidRDefault="00D03C17">
      <w:pPr>
        <w:pStyle w:val="BodyText"/>
        <w:ind w:firstLine="0"/>
      </w:pPr>
      <w:r>
        <w:rPr>
          <w:b/>
          <w:bCs/>
        </w:rPr>
        <w:t>C</w:t>
      </w:r>
      <w:r>
        <w:rPr>
          <w:b/>
          <w:bCs/>
          <w:sz w:val="13"/>
          <w:szCs w:val="13"/>
        </w:rPr>
        <w:t>AUSAS</w:t>
      </w:r>
      <w:r>
        <w:rPr>
          <w:b/>
          <w:bCs/>
        </w:rPr>
        <w:t xml:space="preserve">: </w:t>
      </w:r>
      <w:r>
        <w:rPr>
          <w:rFonts w:ascii="Times New Roman" w:eastAsia="Times New Roman" w:hAnsi="Times New Roman" w:cs="Times New Roman"/>
          <w:i/>
          <w:iCs/>
          <w:sz w:val="16"/>
          <w:szCs w:val="16"/>
        </w:rPr>
        <w:t>Phthiruspubis</w:t>
      </w:r>
      <w:r>
        <w:t xml:space="preserve"> es el piojo púbico o ladilla. Ninfas y piojos adultos se alimentan de sangre humana.</w:t>
      </w:r>
    </w:p>
    <w:p w14:paraId="5A72AE43" w14:textId="77777777" w:rsidR="00D03C17" w:rsidRDefault="00D03C17">
      <w:pPr>
        <w:pStyle w:val="BodyText"/>
        <w:spacing w:line="276" w:lineRule="auto"/>
        <w:ind w:firstLine="0"/>
      </w:pPr>
      <w:r>
        <w:rPr>
          <w:b/>
          <w:bCs/>
        </w:rPr>
        <w:t>A</w:t>
      </w:r>
      <w:r>
        <w:rPr>
          <w:b/>
          <w:bCs/>
          <w:sz w:val="13"/>
          <w:szCs w:val="13"/>
        </w:rPr>
        <w:t>SPECTOS EPIDEMIOLÓGICOS</w:t>
      </w:r>
      <w:r>
        <w:rPr>
          <w:b/>
          <w:bCs/>
        </w:rPr>
        <w:t xml:space="preserve">: </w:t>
      </w:r>
      <w:r>
        <w:t xml:space="preserve">Las infestaciones por este tipo de parásitos son frecuentes en adolescentes y adultos jóvenes, y por lo común se transmiten en el contacto sexual. La transferencia del piojo púbico también puede hacerse por objetos contaminados como las toallas. Las ladillas también aparecen en las pestañas de niños de menor edad, y aunque son posibles otros mecanismos de transmisión pudieran ser signo de abuso sexual. Hay que revisar a las personas infestadas en busca de otras enfermedades de transmisión sexual como sífilis, infección por </w:t>
      </w:r>
      <w:r>
        <w:rPr>
          <w:rFonts w:ascii="Times New Roman" w:eastAsia="Times New Roman" w:hAnsi="Times New Roman" w:cs="Times New Roman"/>
          <w:i/>
          <w:iCs/>
          <w:sz w:val="16"/>
          <w:szCs w:val="16"/>
        </w:rPr>
        <w:t>Neisseria gonorrhoeae</w:t>
      </w:r>
      <w:r>
        <w:rPr>
          <w:i/>
          <w:iCs/>
        </w:rPr>
        <w:t xml:space="preserve">, </w:t>
      </w:r>
      <w:r>
        <w:rPr>
          <w:rFonts w:ascii="Times New Roman" w:eastAsia="Times New Roman" w:hAnsi="Times New Roman" w:cs="Times New Roman"/>
          <w:i/>
          <w:iCs/>
          <w:sz w:val="16"/>
          <w:szCs w:val="16"/>
        </w:rPr>
        <w:t>Chlamydia trachomatis</w:t>
      </w:r>
      <w:r>
        <w:rPr>
          <w:i/>
          <w:iCs/>
        </w:rPr>
        <w:t>,</w:t>
      </w:r>
      <w:r>
        <w:t xml:space="preserve"> hepatitis B e infección por virus de inmunodeficiencia humana.</w:t>
      </w:r>
    </w:p>
    <w:p w14:paraId="7C9424F7" w14:textId="77777777" w:rsidR="00D03C17" w:rsidRDefault="00D03C17">
      <w:pPr>
        <w:pStyle w:val="BodyText"/>
        <w:ind w:firstLine="360"/>
      </w:pPr>
      <w:r>
        <w:t xml:space="preserve">El </w:t>
      </w:r>
      <w:r>
        <w:rPr>
          <w:b/>
          <w:bCs/>
        </w:rPr>
        <w:t xml:space="preserve">periodo de incubación </w:t>
      </w:r>
      <w:r>
        <w:t>desde la puesta de los huevos hasta que salen las primeras ninfas de ellos, es de seis a 10 días. Dos a tres semanas más tarde se identifican ya los piojos maduros capaces de reproducirse.</w:t>
      </w:r>
    </w:p>
    <w:p w14:paraId="5A5B15C2" w14:textId="77777777" w:rsidR="00D03C17" w:rsidRDefault="00D03C17">
      <w:pPr>
        <w:pStyle w:val="BodyText"/>
        <w:ind w:firstLine="0"/>
      </w:pPr>
      <w:r>
        <w:rPr>
          <w:b/>
          <w:bCs/>
        </w:rPr>
        <w:t>M</w:t>
      </w:r>
      <w:r>
        <w:rPr>
          <w:b/>
          <w:bCs/>
          <w:sz w:val="13"/>
          <w:szCs w:val="13"/>
        </w:rPr>
        <w:t>ÉTODOS DIAGNÓSTICOS</w:t>
      </w:r>
      <w:r>
        <w:rPr>
          <w:b/>
          <w:bCs/>
        </w:rPr>
        <w:t xml:space="preserve">: </w:t>
      </w:r>
      <w:r>
        <w:t xml:space="preserve">Es posible identificar a simple vista huevos, ninfas y piojos, y el diagnóstico se confirma por medio de una lupa o un microscopio. Pocas veces se detectan piojos adultos porque se desplazan con gran rapidez y se ocultan de manera eficaz. </w:t>
      </w:r>
      <w:r>
        <w:rPr>
          <w:b/>
          <w:bCs/>
        </w:rPr>
        <w:t>T</w:t>
      </w:r>
      <w:r>
        <w:rPr>
          <w:b/>
          <w:bCs/>
          <w:sz w:val="13"/>
          <w:szCs w:val="13"/>
        </w:rPr>
        <w:t>RATAMIENTO</w:t>
      </w:r>
      <w:r>
        <w:rPr>
          <w:b/>
          <w:bCs/>
        </w:rPr>
        <w:t xml:space="preserve">: </w:t>
      </w:r>
      <w:r>
        <w:t>Los pediculicidas utilizados para tratar la pediculosis de la cabeza son eficaces para tratar la infestación por ladillas (véase “Pediculosis de la cabeza” en esta sección). Se recomienda repetir el tratamiento siete a 10 días después. En el caso de infestación de las pestañas por ladillas, es eficaz la aplicación de vaselina sólida tres a cuatro veces al día durante ocho a 10 días. Habrá que separar manualmente las liendres de las pestañas.</w:t>
      </w:r>
    </w:p>
    <w:p w14:paraId="735EA165" w14:textId="77777777" w:rsidR="00D03C17" w:rsidRDefault="00D03C17">
      <w:pPr>
        <w:pStyle w:val="BodyText"/>
        <w:ind w:firstLine="0"/>
      </w:pPr>
      <w:r>
        <w:rPr>
          <w:b/>
          <w:bCs/>
        </w:rPr>
        <w:t>A</w:t>
      </w:r>
      <w:r>
        <w:rPr>
          <w:b/>
          <w:bCs/>
          <w:sz w:val="13"/>
          <w:szCs w:val="13"/>
        </w:rPr>
        <w:t>ISLAMIENTO DEL PACIENTE HOSPITALIZADO</w:t>
      </w:r>
      <w:r>
        <w:rPr>
          <w:b/>
          <w:bCs/>
        </w:rPr>
        <w:t xml:space="preserve">: </w:t>
      </w:r>
      <w:r>
        <w:t>Además de las precauciones estándar se recomiendan las precauciones para evitar la transmisión por contacto hasta que la persona haya sido tratada con el pediculicida apropiado.</w:t>
      </w:r>
    </w:p>
    <w:p w14:paraId="10628B71" w14:textId="77777777" w:rsidR="00D03C17" w:rsidRDefault="00D03C17">
      <w:pPr>
        <w:pStyle w:val="BodyText"/>
        <w:spacing w:after="60"/>
        <w:ind w:firstLine="0"/>
        <w:sectPr w:rsidR="00D03C17" w:rsidSect="00D03C17">
          <w:headerReference w:type="even" r:id="rId161"/>
          <w:headerReference w:type="default" r:id="rId162"/>
          <w:footerReference w:type="even" r:id="rId163"/>
          <w:footerReference w:type="default" r:id="rId164"/>
          <w:footnotePr>
            <w:numFmt w:val="chicago"/>
          </w:footnotePr>
          <w:type w:val="continuous"/>
          <w:pgSz w:w="8501" w:h="13022"/>
          <w:pgMar w:top="704" w:right="812" w:bottom="457" w:left="766" w:header="0" w:footer="29" w:gutter="0"/>
          <w:cols w:space="720"/>
          <w:noEndnote/>
          <w:docGrid w:linePitch="360"/>
          <w15:footnoteColumns w:val="1"/>
        </w:sectPr>
      </w:pPr>
      <w:r>
        <w:rPr>
          <w:b/>
          <w:bCs/>
        </w:rPr>
        <w:t>M</w:t>
      </w:r>
      <w:r>
        <w:rPr>
          <w:b/>
          <w:bCs/>
          <w:sz w:val="13"/>
          <w:szCs w:val="13"/>
        </w:rPr>
        <w:t>EDIDAS PREVENTIVAS</w:t>
      </w:r>
      <w:r>
        <w:rPr>
          <w:b/>
          <w:bCs/>
        </w:rPr>
        <w:t xml:space="preserve">: </w:t>
      </w:r>
      <w:r>
        <w:t>Es importante tratar a todas las personas que intervengan en las relaciones sexuales.</w:t>
      </w:r>
    </w:p>
    <w:p w14:paraId="2F8C2952" w14:textId="77777777" w:rsidR="00D03C17" w:rsidRDefault="00D03C17">
      <w:pPr>
        <w:pStyle w:val="BodyText"/>
        <w:ind w:firstLine="0"/>
      </w:pPr>
      <w:r>
        <w:rPr>
          <w:b/>
          <w:bCs/>
        </w:rPr>
        <w:t>T</w:t>
      </w:r>
      <w:r>
        <w:rPr>
          <w:b/>
          <w:bCs/>
          <w:sz w:val="13"/>
          <w:szCs w:val="13"/>
        </w:rPr>
        <w:t>RATAMIENTO</w:t>
      </w:r>
      <w:r>
        <w:rPr>
          <w:b/>
          <w:bCs/>
        </w:rPr>
        <w:t xml:space="preserve">: </w:t>
      </w:r>
      <w:r>
        <w:t>Consiste en mejorar la higiene y limpiar las ropas personales y de cama. Los materiales infestados pueden lavarse y secarse a temperaturas altas para destruir los artrópodos. Los pediculicidas no son necesarios si los materiales se lavan como mínimo cada semana.</w:t>
      </w:r>
    </w:p>
    <w:p w14:paraId="2F19FC44" w14:textId="77777777" w:rsidR="00D03C17" w:rsidRDefault="00D03C17">
      <w:pPr>
        <w:pStyle w:val="BodyText"/>
        <w:ind w:firstLine="0"/>
      </w:pPr>
      <w:r>
        <w:rPr>
          <w:b/>
          <w:bCs/>
        </w:rPr>
        <w:t>A</w:t>
      </w:r>
      <w:r>
        <w:rPr>
          <w:b/>
          <w:bCs/>
          <w:sz w:val="13"/>
          <w:szCs w:val="13"/>
        </w:rPr>
        <w:t xml:space="preserve">ISLAMIENTO </w:t>
      </w:r>
      <w:r>
        <w:rPr>
          <w:b/>
          <w:bCs/>
          <w:smallCaps/>
          <w:sz w:val="16"/>
          <w:szCs w:val="16"/>
        </w:rPr>
        <w:t>del</w:t>
      </w:r>
      <w:r>
        <w:rPr>
          <w:b/>
          <w:bCs/>
          <w:sz w:val="13"/>
          <w:szCs w:val="13"/>
        </w:rPr>
        <w:t xml:space="preserve"> PACIENTE HOSPITALIZADO</w:t>
      </w:r>
      <w:r>
        <w:rPr>
          <w:b/>
          <w:bCs/>
        </w:rPr>
        <w:t xml:space="preserve">: </w:t>
      </w:r>
      <w:r>
        <w:t>Además de las precauciones estándar se recomiendan precauciones para evitar la transmisión por contacto hasta que se haya tratado al enfermo.</w:t>
      </w:r>
    </w:p>
    <w:p w14:paraId="12EF8F81" w14:textId="77777777" w:rsidR="00D03C17" w:rsidRDefault="00D03C17">
      <w:pPr>
        <w:pStyle w:val="BodyText"/>
        <w:spacing w:after="100"/>
        <w:ind w:firstLine="0"/>
      </w:pPr>
      <w:r>
        <w:rPr>
          <w:b/>
          <w:bCs/>
        </w:rPr>
        <w:t>M</w:t>
      </w:r>
      <w:r>
        <w:rPr>
          <w:b/>
          <w:bCs/>
          <w:sz w:val="13"/>
          <w:szCs w:val="13"/>
        </w:rPr>
        <w:t>EDIDAS PREVENTIVAS</w:t>
      </w:r>
      <w:r>
        <w:rPr>
          <w:b/>
          <w:bCs/>
        </w:rPr>
        <w:t xml:space="preserve">: </w:t>
      </w:r>
      <w:r>
        <w:t>El factor más importante en la erradicación de la infestación por piojos del cuerpo es la posibilidad de cambiarse de ropas personales y lavarlas. Hay que revisar a los contactos cercanos y tratarlos adecuadamente; también habrá que lavar sus ropas personales y de cama.</w:t>
      </w:r>
    </w:p>
    <w:p w14:paraId="0B60F054" w14:textId="77777777" w:rsidR="00D03C17" w:rsidRDefault="00D03C17">
      <w:pPr>
        <w:pStyle w:val="Bodytext70"/>
        <w:spacing w:after="0"/>
      </w:pPr>
      <w:r>
        <w:t>Pediculosis del pubis</w:t>
      </w:r>
    </w:p>
    <w:p w14:paraId="20F07D4A" w14:textId="77777777" w:rsidR="00D03C17" w:rsidRDefault="00D03C17">
      <w:pPr>
        <w:pStyle w:val="Other0"/>
        <w:spacing w:line="252" w:lineRule="auto"/>
        <w:ind w:firstLine="0"/>
        <w:rPr>
          <w:sz w:val="20"/>
          <w:szCs w:val="20"/>
        </w:rPr>
      </w:pPr>
      <w:r>
        <w:rPr>
          <w:rFonts w:ascii="Arial" w:eastAsia="Arial" w:hAnsi="Arial" w:cs="Arial"/>
          <w:b/>
          <w:bCs/>
          <w:w w:val="70"/>
          <w:sz w:val="20"/>
          <w:szCs w:val="20"/>
        </w:rPr>
        <w:t>(Piojos del pubis o ladillas)</w:t>
      </w:r>
    </w:p>
    <w:p w14:paraId="45035141" w14:textId="77777777" w:rsidR="00D03C17" w:rsidRDefault="00D03C17">
      <w:pPr>
        <w:pStyle w:val="BodyText"/>
        <w:ind w:firstLine="0"/>
      </w:pPr>
      <w:r>
        <w:rPr>
          <w:b/>
          <w:bCs/>
        </w:rPr>
        <w:t>M</w:t>
      </w:r>
      <w:r>
        <w:rPr>
          <w:b/>
          <w:bCs/>
          <w:sz w:val="13"/>
          <w:szCs w:val="13"/>
        </w:rPr>
        <w:t>ANIFESTACIONES CLÍNICAS</w:t>
      </w:r>
      <w:r>
        <w:rPr>
          <w:b/>
          <w:bCs/>
        </w:rPr>
        <w:t xml:space="preserve">: </w:t>
      </w:r>
      <w:r>
        <w:t>Un síntoma frecuente en las infestaciones por piojos del pubis (“ladillas”) es el prurito del área anogenital. Los parásitos pueden infestar muchas zonas pilosas del cuerpo, que incluyen pestañas y cejas, la barba, la axila, el área perianal y en ocasiones el cuero cabelludo. Un signo característico de la infestación con abundantes parásitos es la presencia de máculas azulosas o color pizarra en el tórax, el abdomen o los muslos, conocidas como manchas azules.</w:t>
      </w:r>
    </w:p>
    <w:p w14:paraId="2B510E7F" w14:textId="77777777" w:rsidR="00D03C17" w:rsidRDefault="00D03C17">
      <w:pPr>
        <w:pStyle w:val="BodyText"/>
        <w:ind w:firstLine="0"/>
      </w:pPr>
      <w:r>
        <w:rPr>
          <w:b/>
          <w:bCs/>
        </w:rPr>
        <w:t>C</w:t>
      </w:r>
      <w:r>
        <w:rPr>
          <w:b/>
          <w:bCs/>
          <w:sz w:val="13"/>
          <w:szCs w:val="13"/>
        </w:rPr>
        <w:t>AUSAS</w:t>
      </w:r>
      <w:r>
        <w:rPr>
          <w:b/>
          <w:bCs/>
        </w:rPr>
        <w:t xml:space="preserve">: </w:t>
      </w:r>
      <w:r>
        <w:rPr>
          <w:rFonts w:ascii="Times New Roman" w:eastAsia="Times New Roman" w:hAnsi="Times New Roman" w:cs="Times New Roman"/>
          <w:i/>
          <w:iCs/>
          <w:sz w:val="16"/>
          <w:szCs w:val="16"/>
        </w:rPr>
        <w:t>Phthiruspubis</w:t>
      </w:r>
      <w:r>
        <w:t xml:space="preserve"> es el piojo púbico o ladilla. Ninfas y piojos adultos se alimentan de sangre humana.</w:t>
      </w:r>
    </w:p>
    <w:p w14:paraId="5FA5D67B" w14:textId="77777777" w:rsidR="00D03C17" w:rsidRDefault="00D03C17">
      <w:pPr>
        <w:pStyle w:val="BodyText"/>
        <w:spacing w:line="276" w:lineRule="auto"/>
        <w:ind w:firstLine="0"/>
      </w:pPr>
      <w:r>
        <w:rPr>
          <w:b/>
          <w:bCs/>
        </w:rPr>
        <w:t>A</w:t>
      </w:r>
      <w:r>
        <w:rPr>
          <w:b/>
          <w:bCs/>
          <w:sz w:val="13"/>
          <w:szCs w:val="13"/>
        </w:rPr>
        <w:t>SPECTOS EPIDEMIOLÓGICOS</w:t>
      </w:r>
      <w:r>
        <w:rPr>
          <w:b/>
          <w:bCs/>
        </w:rPr>
        <w:t xml:space="preserve">: </w:t>
      </w:r>
      <w:r>
        <w:t xml:space="preserve">Las infestaciones por este tipo de parásitos son frecuentes en adolescentes y adultos jóvenes, y por lo común se transmiten en el contacto sexual. La transferencia del piojo púbico también puede hacerse por objetos contaminados como las toallas. Las ladillas también aparecen en las pestañas de niños de menor edad, y aunque son posibles otros mecanismos de transmisión pudieran ser signo de abuso sexual. Hay que revisar a las personas infestadas en busca de otras enfermedades de transmisión sexual como sífilis, infección por </w:t>
      </w:r>
      <w:r>
        <w:rPr>
          <w:rFonts w:ascii="Times New Roman" w:eastAsia="Times New Roman" w:hAnsi="Times New Roman" w:cs="Times New Roman"/>
          <w:i/>
          <w:iCs/>
          <w:sz w:val="16"/>
          <w:szCs w:val="16"/>
        </w:rPr>
        <w:t>Neisseria gonorrhoeae</w:t>
      </w:r>
      <w:r>
        <w:rPr>
          <w:i/>
          <w:iCs/>
        </w:rPr>
        <w:t xml:space="preserve">, </w:t>
      </w:r>
      <w:r>
        <w:rPr>
          <w:rFonts w:ascii="Times New Roman" w:eastAsia="Times New Roman" w:hAnsi="Times New Roman" w:cs="Times New Roman"/>
          <w:i/>
          <w:iCs/>
          <w:sz w:val="16"/>
          <w:szCs w:val="16"/>
        </w:rPr>
        <w:t>Chlamydia trachomatis</w:t>
      </w:r>
      <w:r>
        <w:rPr>
          <w:i/>
          <w:iCs/>
        </w:rPr>
        <w:t>,</w:t>
      </w:r>
      <w:r>
        <w:t xml:space="preserve"> hepatitis B e infección por virus de inmunodeficiencia humana.</w:t>
      </w:r>
    </w:p>
    <w:p w14:paraId="78221D4C" w14:textId="77777777" w:rsidR="00D03C17" w:rsidRDefault="00D03C17">
      <w:pPr>
        <w:pStyle w:val="BodyText"/>
        <w:ind w:firstLine="360"/>
      </w:pPr>
      <w:r>
        <w:t xml:space="preserve">El </w:t>
      </w:r>
      <w:r>
        <w:rPr>
          <w:b/>
          <w:bCs/>
        </w:rPr>
        <w:t xml:space="preserve">periodo de incubación </w:t>
      </w:r>
      <w:r>
        <w:t>desde la puesta de los huevos hasta que salen las primeras ninfas de ellos, es de seis a 10 días. Dos a tres semanas más tarde se identifican ya los piojos maduros capaces de reproducirse.</w:t>
      </w:r>
    </w:p>
    <w:p w14:paraId="4FCAED09" w14:textId="77777777" w:rsidR="00D03C17" w:rsidRDefault="00D03C17">
      <w:pPr>
        <w:pStyle w:val="BodyText"/>
        <w:ind w:firstLine="0"/>
      </w:pPr>
      <w:r>
        <w:rPr>
          <w:b/>
          <w:bCs/>
        </w:rPr>
        <w:t>M</w:t>
      </w:r>
      <w:r>
        <w:rPr>
          <w:b/>
          <w:bCs/>
          <w:sz w:val="13"/>
          <w:szCs w:val="13"/>
        </w:rPr>
        <w:t>ÉTODOS DIAGNÓSTICOS</w:t>
      </w:r>
      <w:r>
        <w:rPr>
          <w:b/>
          <w:bCs/>
        </w:rPr>
        <w:t xml:space="preserve">: </w:t>
      </w:r>
      <w:r>
        <w:t xml:space="preserve">Es posible identificar a simple vista huevos, ninfas y piojos, y el diagnóstico se confirma por medio de una lupa o un microscopio. Pocas veces se detectan piojos adultos porque se desplazan con gran rapidez y se ocultan de manera eficaz. </w:t>
      </w:r>
      <w:r>
        <w:rPr>
          <w:b/>
          <w:bCs/>
        </w:rPr>
        <w:t>T</w:t>
      </w:r>
      <w:r>
        <w:rPr>
          <w:b/>
          <w:bCs/>
          <w:sz w:val="13"/>
          <w:szCs w:val="13"/>
        </w:rPr>
        <w:t>RATAMIENTO</w:t>
      </w:r>
      <w:r>
        <w:rPr>
          <w:b/>
          <w:bCs/>
        </w:rPr>
        <w:t xml:space="preserve">: </w:t>
      </w:r>
      <w:r>
        <w:t>Los pediculicidas utilizados para tratar la pediculosis de la cabeza son eficaces para tratar la infestación por ladillas (véase “Pediculosis de la cabeza” en esta sección). Se recomienda repetir el tratamiento siete a 10 días después. En el caso de infestación de las pestañas por ladillas, es eficaz la aplicación de vaselina sólida tres a cuatro veces al día durante ocho a 10 días. Habrá que separar manualmente las liendres de las pestañas.</w:t>
      </w:r>
    </w:p>
    <w:p w14:paraId="36F458FF" w14:textId="77777777" w:rsidR="00D03C17" w:rsidRDefault="00D03C17">
      <w:pPr>
        <w:pStyle w:val="BodyText"/>
        <w:ind w:firstLine="0"/>
      </w:pPr>
      <w:r>
        <w:rPr>
          <w:b/>
          <w:bCs/>
        </w:rPr>
        <w:t>A</w:t>
      </w:r>
      <w:r>
        <w:rPr>
          <w:b/>
          <w:bCs/>
          <w:sz w:val="13"/>
          <w:szCs w:val="13"/>
        </w:rPr>
        <w:t>ISLAMIENTO DEL PACIENTE HOSPITALIZADO</w:t>
      </w:r>
      <w:r>
        <w:rPr>
          <w:b/>
          <w:bCs/>
        </w:rPr>
        <w:t xml:space="preserve">: </w:t>
      </w:r>
      <w:r>
        <w:t>Además de las precauciones estándar se recomiendan las precauciones para evitar la transmisión por contacto hasta que la persona haya sido tratada con el pediculicida apropiado.</w:t>
      </w:r>
    </w:p>
    <w:p w14:paraId="57070999" w14:textId="77777777" w:rsidR="00D03C17" w:rsidRDefault="00D03C17">
      <w:pPr>
        <w:pStyle w:val="BodyText"/>
        <w:spacing w:after="60"/>
        <w:ind w:firstLine="0"/>
      </w:pPr>
      <w:r>
        <w:rPr>
          <w:b/>
          <w:bCs/>
        </w:rPr>
        <w:t>M</w:t>
      </w:r>
      <w:r>
        <w:rPr>
          <w:b/>
          <w:bCs/>
          <w:sz w:val="13"/>
          <w:szCs w:val="13"/>
        </w:rPr>
        <w:t>EDIDAS PREVENTIVAS</w:t>
      </w:r>
      <w:r>
        <w:rPr>
          <w:b/>
          <w:bCs/>
        </w:rPr>
        <w:t xml:space="preserve">: </w:t>
      </w:r>
      <w:r>
        <w:t>Es importante tratar a todas las personas que intervengan en las relaciones sexuales.</w:t>
      </w:r>
    </w:p>
    <w:p w14:paraId="4408200D" w14:textId="77777777" w:rsidR="00D03C17" w:rsidRDefault="00D03C17">
      <w:pPr>
        <w:pStyle w:val="Bodytext70"/>
        <w:spacing w:after="0"/>
      </w:pPr>
      <w:r>
        <w:t>Pélvica, enfermedad inflamatoria</w:t>
      </w:r>
      <w:r>
        <w:footnoteReference w:id="13"/>
      </w:r>
    </w:p>
    <w:p w14:paraId="06C27B07" w14:textId="77777777" w:rsidR="00D03C17" w:rsidRDefault="00D03C17">
      <w:pPr>
        <w:pStyle w:val="BodyText"/>
        <w:ind w:firstLine="0"/>
      </w:pPr>
      <w:r>
        <w:rPr>
          <w:b/>
          <w:bCs/>
        </w:rPr>
        <w:t>M</w:t>
      </w:r>
      <w:r>
        <w:rPr>
          <w:b/>
          <w:bCs/>
          <w:sz w:val="13"/>
          <w:szCs w:val="13"/>
        </w:rPr>
        <w:t>ANIFESTACIONES CLÍNICAS</w:t>
      </w:r>
      <w:r>
        <w:rPr>
          <w:b/>
          <w:bCs/>
        </w:rPr>
        <w:t xml:space="preserve">: </w:t>
      </w:r>
      <w:r>
        <w:t xml:space="preserve">La enfermedad inflamatoria pélvica </w:t>
      </w:r>
      <w:r>
        <w:rPr>
          <w:i/>
          <w:iCs/>
        </w:rPr>
        <w:t>(</w:t>
      </w:r>
      <w:r>
        <w:rPr>
          <w:rFonts w:ascii="Times New Roman" w:eastAsia="Times New Roman" w:hAnsi="Times New Roman" w:cs="Times New Roman"/>
          <w:i/>
          <w:iCs/>
          <w:sz w:val="16"/>
          <w:szCs w:val="16"/>
        </w:rPr>
        <w:t>pelvic inflammatory disease</w:t>
      </w:r>
      <w:r>
        <w:rPr>
          <w:i/>
          <w:iCs/>
        </w:rPr>
        <w:t>,</w:t>
      </w:r>
      <w:r>
        <w:t xml:space="preserve"> PID) comprende diversos trastornos inflamatorios de la porción superior del aparato genital de la mujer, como sería cualquier combinación de endometritis, parametritis, salpingitis, oovaritis, abscesos tuboováricos y peritonitis pélvica. De manera típica, la entidad en cuestión se manifiesta por la aparición de dolor sordo, continuo, bilateral en la parte baja del vientre o en la pelvis, cuya intensidad varía de indolente a intenso. Otros signos pueden ser fiebre, vómitos, secreción o salida de material anormal por la vagina y pérdida irregular de sangre por la misma vía (expresión de endometritis). Algunas mujeres tienen dolor punzante en el cuadrante superior derecho del abdomen como resultado de perihepatitis. Los síntomas suelen comenzar en término de una semana de haber iniciado la menstruación según el agente causal.</w:t>
      </w:r>
    </w:p>
    <w:p w14:paraId="6DF66906" w14:textId="77777777" w:rsidR="00D03C17" w:rsidRDefault="00D03C17">
      <w:pPr>
        <w:pStyle w:val="BodyText"/>
        <w:ind w:firstLine="360"/>
      </w:pPr>
      <w:r>
        <w:t>Los datos en la exploración física son variables e incluyen fiebre, dolor a la palpación en la mitad inferior del vientre y el mismo tipo de dolor y desplazamiento del cuello uterino a su lado; dolor a la palpación en los anexos que por lo común es bilateral, aunque no siempre, y sensación de “plétora” en la zona recién mencionada. Los signos típicos son leucocitosis, velocidad de eritrosedimentación mayor de 15 mm/h y la masa en anexos demostrada por ultrasonografía abdominal o transvaginal.</w:t>
      </w:r>
    </w:p>
    <w:p w14:paraId="2127EED6" w14:textId="77777777" w:rsidR="00D03C17" w:rsidRDefault="00D03C17">
      <w:pPr>
        <w:pStyle w:val="BodyText"/>
        <w:ind w:firstLine="360"/>
      </w:pPr>
      <w:r>
        <w:t xml:space="preserve">Ningún síntoma, signo o dato de estudios de laboratorio de manera independiente es sensible y específico del diagnóstico de PID aguda. Muchos episodios de la enfermedad pasan inadvertidos, algunos porque la mujer está asintomática (“PID silenciosa”) y otros porque los síntomas son leves e inespecíficos de tal forma que no se piensa en la entidad diagnóstica. La combinación de datos que mejoran la sensibilidad (es decir, que detectan con exactitud a mujeres que tienen PID) logran su cometido sólo a costa de disminuir la especificidad (incluir impropiamente a mujeres que no tienen PID). En el cuadro 3-54 se exponen los criterios diagnósticos recomendados por los </w:t>
      </w:r>
      <w:r>
        <w:rPr>
          <w:rFonts w:ascii="Times New Roman" w:eastAsia="Times New Roman" w:hAnsi="Times New Roman" w:cs="Times New Roman"/>
          <w:i/>
          <w:iCs/>
          <w:sz w:val="16"/>
          <w:szCs w:val="16"/>
        </w:rPr>
        <w:t>Centers for Disease Control and Prevention</w:t>
      </w:r>
      <w:r>
        <w:t xml:space="preserve"> en Estados Unidos.</w:t>
      </w:r>
    </w:p>
    <w:p w14:paraId="140251B3" w14:textId="77777777" w:rsidR="00D03C17" w:rsidRDefault="00D03C17">
      <w:pPr>
        <w:pStyle w:val="BodyText"/>
        <w:ind w:firstLine="360"/>
      </w:pPr>
      <w:r>
        <w:t>Las complicaciones de PID pueden incluir perihepatitis (síndrome de Fitz-Hugh- Curtis) y abscesos tuboováricos. Entre las secuelas importantes a largo plazo están infección recurrente, dolor pélvico crónico, un incremento de seis tantos en la incidencia de embarazo ectópico e infecundidad derivada de oclusión de las trompas. Se ha calculado que el peligro de infecundidad de origen tubario es de 10% después de una sola crisis de PID y que llega a más de 50% después de tres episodios o más de ese tipo. Entre los factores que pueden incrementar la posibilidad de infecundidad están que la mujer sea añosa en la fecha de la infección, clamidiosis, PID que según el estudio laparoscópico es grave y retraso en el inicio del tratamiento con antimicrobianos.</w:t>
      </w:r>
    </w:p>
    <w:p w14:paraId="3804FE38" w14:textId="77777777" w:rsidR="00D03C17" w:rsidRDefault="00D03C17">
      <w:pPr>
        <w:pStyle w:val="BodyText"/>
        <w:ind w:firstLine="0"/>
      </w:pPr>
      <w:r>
        <w:rPr>
          <w:b/>
          <w:bCs/>
        </w:rPr>
        <w:t>C</w:t>
      </w:r>
      <w:r>
        <w:rPr>
          <w:b/>
          <w:bCs/>
          <w:sz w:val="13"/>
          <w:szCs w:val="13"/>
        </w:rPr>
        <w:t>AUSAS</w:t>
      </w:r>
      <w:r>
        <w:rPr>
          <w:b/>
          <w:bCs/>
        </w:rPr>
        <w:t xml:space="preserve">: </w:t>
      </w:r>
      <w:r>
        <w:t xml:space="preserve">Se ha dicho que en muchos casos de PID intervienen microorganismos de transmisión sexual, en particular </w:t>
      </w:r>
      <w:r>
        <w:rPr>
          <w:rFonts w:ascii="Times New Roman" w:eastAsia="Times New Roman" w:hAnsi="Times New Roman" w:cs="Times New Roman"/>
          <w:i/>
          <w:iCs/>
          <w:sz w:val="16"/>
          <w:szCs w:val="16"/>
        </w:rPr>
        <w:t>Neisseria gonorrhoeae</w:t>
      </w:r>
      <w:r>
        <w:t xml:space="preserve"> y </w:t>
      </w:r>
      <w:r>
        <w:rPr>
          <w:rFonts w:ascii="Times New Roman" w:eastAsia="Times New Roman" w:hAnsi="Times New Roman" w:cs="Times New Roman"/>
          <w:i/>
          <w:iCs/>
          <w:sz w:val="16"/>
          <w:szCs w:val="16"/>
        </w:rPr>
        <w:t>Chlamydia trachomatis.</w:t>
      </w:r>
      <w:r>
        <w:t xml:space="preserve"> Sin embargo, otros microorganismos como los anaerobios, que incluyen </w:t>
      </w:r>
      <w:r>
        <w:rPr>
          <w:rFonts w:ascii="Times New Roman" w:eastAsia="Times New Roman" w:hAnsi="Times New Roman" w:cs="Times New Roman"/>
          <w:i/>
          <w:iCs/>
          <w:sz w:val="16"/>
          <w:szCs w:val="16"/>
        </w:rPr>
        <w:t>Bacterioides</w:t>
      </w:r>
      <w:r>
        <w:t xml:space="preserve"> y especies de </w:t>
      </w:r>
      <w:r>
        <w:rPr>
          <w:rFonts w:ascii="Times New Roman" w:eastAsia="Times New Roman" w:hAnsi="Times New Roman" w:cs="Times New Roman"/>
          <w:i/>
          <w:iCs/>
          <w:sz w:val="16"/>
          <w:szCs w:val="16"/>
        </w:rPr>
        <w:t>Peptostreptococcus</w:t>
      </w:r>
      <w:r>
        <w:rPr>
          <w:i/>
          <w:iCs/>
        </w:rPr>
        <w:t>;</w:t>
      </w:r>
      <w:r>
        <w:t xml:space="preserve"> anaerobios facultativos, como </w:t>
      </w:r>
      <w:r>
        <w:rPr>
          <w:rFonts w:ascii="Times New Roman" w:eastAsia="Times New Roman" w:hAnsi="Times New Roman" w:cs="Times New Roman"/>
          <w:i/>
          <w:iCs/>
          <w:sz w:val="16"/>
          <w:szCs w:val="16"/>
        </w:rPr>
        <w:t>Gardnerella vaginalis</w:t>
      </w:r>
      <w:r>
        <w:rPr>
          <w:i/>
          <w:iCs/>
        </w:rPr>
        <w:t xml:space="preserve">, </w:t>
      </w:r>
      <w:r>
        <w:rPr>
          <w:rFonts w:ascii="Times New Roman" w:eastAsia="Times New Roman" w:hAnsi="Times New Roman" w:cs="Times New Roman"/>
          <w:i/>
          <w:iCs/>
          <w:sz w:val="16"/>
          <w:szCs w:val="16"/>
        </w:rPr>
        <w:t>Haemophilus influenzae</w:t>
      </w:r>
      <w:r>
        <w:rPr>
          <w:i/>
          <w:iCs/>
        </w:rPr>
        <w:t>,</w:t>
      </w:r>
      <w:r>
        <w:t xml:space="preserve"> especies de </w:t>
      </w:r>
      <w:r>
        <w:rPr>
          <w:rFonts w:ascii="Times New Roman" w:eastAsia="Times New Roman" w:hAnsi="Times New Roman" w:cs="Times New Roman"/>
          <w:i/>
          <w:iCs/>
          <w:sz w:val="16"/>
          <w:szCs w:val="16"/>
        </w:rPr>
        <w:t>Streptotoccus</w:t>
      </w:r>
      <w:r>
        <w:t xml:space="preserve"> y bacilos gramnegativos entéricos; micoplasmas de vías genitales, como </w:t>
      </w:r>
      <w:r>
        <w:rPr>
          <w:rFonts w:ascii="Times New Roman" w:eastAsia="Times New Roman" w:hAnsi="Times New Roman" w:cs="Times New Roman"/>
          <w:i/>
          <w:iCs/>
          <w:sz w:val="16"/>
          <w:szCs w:val="16"/>
        </w:rPr>
        <w:t>Mycoplasma hominis</w:t>
      </w:r>
      <w:r>
        <w:t xml:space="preserve"> y </w:t>
      </w:r>
      <w:r>
        <w:rPr>
          <w:rFonts w:ascii="Times New Roman" w:eastAsia="Times New Roman" w:hAnsi="Times New Roman" w:cs="Times New Roman"/>
          <w:i/>
          <w:iCs/>
          <w:sz w:val="16"/>
          <w:szCs w:val="16"/>
        </w:rPr>
        <w:t>Ureaplasma urealyticum</w:t>
      </w:r>
      <w:r>
        <w:t xml:space="preserve"> y virus citomegálico, se han vinculado con la aparición de enfermedad inflamatoria pélvica.</w:t>
      </w:r>
    </w:p>
    <w:p w14:paraId="32997B0B" w14:textId="77777777" w:rsidR="00D03C17" w:rsidRDefault="00D03C17">
      <w:pPr>
        <w:pStyle w:val="Heading31"/>
        <w:keepNext/>
        <w:keepLines/>
        <w:pBdr>
          <w:bottom w:val="single" w:sz="4" w:space="0" w:color="auto"/>
        </w:pBdr>
        <w:spacing w:after="400" w:line="211" w:lineRule="auto"/>
        <w:jc w:val="center"/>
      </w:pPr>
      <w:bookmarkStart w:id="74" w:name="bookmark1100"/>
      <w:bookmarkStart w:id="75" w:name="bookmark1101"/>
      <w:bookmarkStart w:id="76" w:name="bookmark1102"/>
      <w:r>
        <w:rPr>
          <w:b w:val="0"/>
          <w:bCs w:val="0"/>
        </w:rPr>
        <w:t xml:space="preserve">Cuadro 3-54. </w:t>
      </w:r>
      <w:r>
        <w:t>Criterios para el diagnóstico clínico de enfermedad</w:t>
      </w:r>
      <w:r>
        <w:br/>
        <w:t>inflamatoria pélvica (PID)</w:t>
      </w:r>
      <w:bookmarkEnd w:id="74"/>
      <w:bookmarkEnd w:id="75"/>
      <w:bookmarkEnd w:id="76"/>
    </w:p>
    <w:p w14:paraId="45122086" w14:textId="77777777" w:rsidR="00D03C17" w:rsidRDefault="00D03C17">
      <w:pPr>
        <w:pStyle w:val="Bodytext20"/>
      </w:pPr>
      <w:r>
        <w:rPr>
          <w:b/>
          <w:bCs/>
        </w:rPr>
        <w:t>Criterios mínimos</w:t>
      </w:r>
    </w:p>
    <w:p w14:paraId="6376921D" w14:textId="77777777" w:rsidR="00D03C17" w:rsidRDefault="00D03C17">
      <w:pPr>
        <w:pStyle w:val="Bodytext20"/>
        <w:spacing w:after="140"/>
      </w:pPr>
      <w:r>
        <w:t>En las jóvenes sexualmente activas y otras personas en peligro de mostrar STD se emprenderá el tratamiento empírico si se identifican los siguientes criterios mínimos y no se detecta otra causa o causas del cuadro clínico:</w:t>
      </w:r>
    </w:p>
    <w:p w14:paraId="56D04FC8" w14:textId="77777777" w:rsidR="00D03C17" w:rsidRDefault="00D03C17">
      <w:pPr>
        <w:pStyle w:val="Bodytext20"/>
        <w:numPr>
          <w:ilvl w:val="0"/>
          <w:numId w:val="82"/>
        </w:numPr>
        <w:tabs>
          <w:tab w:val="left" w:pos="280"/>
        </w:tabs>
        <w:spacing w:line="240" w:lineRule="auto"/>
      </w:pPr>
      <w:bookmarkStart w:id="77" w:name="bookmark1103"/>
      <w:bookmarkEnd w:id="77"/>
      <w:r>
        <w:t>Dolor a la palpación en útero o anexos</w:t>
      </w:r>
    </w:p>
    <w:p w14:paraId="10917F0E" w14:textId="77777777" w:rsidR="00D03C17" w:rsidRDefault="00D03C17">
      <w:pPr>
        <w:pStyle w:val="Bodytext20"/>
        <w:ind w:firstLine="360"/>
      </w:pPr>
      <w:r>
        <w:rPr>
          <w:b/>
          <w:bCs/>
        </w:rPr>
        <w:t>O</w:t>
      </w:r>
    </w:p>
    <w:p w14:paraId="38C3F5EE" w14:textId="77777777" w:rsidR="00D03C17" w:rsidRDefault="00D03C17">
      <w:pPr>
        <w:pStyle w:val="Bodytext20"/>
        <w:numPr>
          <w:ilvl w:val="0"/>
          <w:numId w:val="82"/>
        </w:numPr>
        <w:tabs>
          <w:tab w:val="left" w:pos="280"/>
        </w:tabs>
      </w:pPr>
      <w:bookmarkStart w:id="78" w:name="bookmark1104"/>
      <w:bookmarkEnd w:id="78"/>
      <w:r>
        <w:t>Dolor al desplazar hacia los lados el cuello uterino</w:t>
      </w:r>
    </w:p>
    <w:p w14:paraId="50BE8DFE" w14:textId="77777777" w:rsidR="00D03C17" w:rsidRDefault="00D03C17">
      <w:pPr>
        <w:pStyle w:val="Bodytext20"/>
      </w:pPr>
      <w:r>
        <w:rPr>
          <w:b/>
          <w:bCs/>
        </w:rPr>
        <w:t>Criterios adicionales</w:t>
      </w:r>
    </w:p>
    <w:p w14:paraId="395A1DA5" w14:textId="77777777" w:rsidR="00D03C17" w:rsidRDefault="00D03C17">
      <w:pPr>
        <w:pStyle w:val="Bodytext20"/>
      </w:pPr>
      <w:r>
        <w:t>Se necesita una valoración diagnóstica más elaborada porque el diagnóstico y el tratamiento inapropiados originarán complicaciones innecesarias. Los criterios adicionales se pueden utilizar para mejorar la especificidad de los criterios mínimos antes señalados; entre los elementos adicionales que refuerzan el diagnóstico de PID están:</w:t>
      </w:r>
    </w:p>
    <w:p w14:paraId="51300AA6" w14:textId="77777777" w:rsidR="00D03C17" w:rsidRDefault="00D03C17">
      <w:pPr>
        <w:pStyle w:val="Bodytext20"/>
        <w:numPr>
          <w:ilvl w:val="0"/>
          <w:numId w:val="82"/>
        </w:numPr>
        <w:tabs>
          <w:tab w:val="left" w:pos="280"/>
        </w:tabs>
      </w:pPr>
      <w:bookmarkStart w:id="79" w:name="bookmark1105"/>
      <w:bookmarkEnd w:id="79"/>
      <w:r>
        <w:t>Temperatura en la boca, &gt;38.3°C</w:t>
      </w:r>
    </w:p>
    <w:p w14:paraId="3B1555A0" w14:textId="77777777" w:rsidR="00D03C17" w:rsidRDefault="00D03C17">
      <w:pPr>
        <w:pStyle w:val="Bodytext20"/>
        <w:numPr>
          <w:ilvl w:val="0"/>
          <w:numId w:val="82"/>
        </w:numPr>
        <w:tabs>
          <w:tab w:val="left" w:pos="280"/>
        </w:tabs>
      </w:pPr>
      <w:bookmarkStart w:id="80" w:name="bookmark1106"/>
      <w:bookmarkEnd w:id="80"/>
      <w:r>
        <w:t>Secreción mucupurulenta anormal del cuello uterino o la vagina</w:t>
      </w:r>
    </w:p>
    <w:p w14:paraId="3C82B45D" w14:textId="77777777" w:rsidR="00D03C17" w:rsidRDefault="00D03C17">
      <w:pPr>
        <w:pStyle w:val="Bodytext20"/>
        <w:numPr>
          <w:ilvl w:val="0"/>
          <w:numId w:val="82"/>
        </w:numPr>
        <w:tabs>
          <w:tab w:val="left" w:pos="280"/>
        </w:tabs>
        <w:ind w:left="360" w:hanging="360"/>
      </w:pPr>
      <w:bookmarkStart w:id="81" w:name="bookmark1107"/>
      <w:bookmarkEnd w:id="81"/>
      <w:r>
        <w:t>Presencia de leucocitos en el preparado microscópico con solución salina de las secreciones vaginales</w:t>
      </w:r>
    </w:p>
    <w:p w14:paraId="7D4E3A6F" w14:textId="77777777" w:rsidR="00D03C17" w:rsidRDefault="00D03C17">
      <w:pPr>
        <w:pStyle w:val="Bodytext20"/>
        <w:numPr>
          <w:ilvl w:val="0"/>
          <w:numId w:val="82"/>
        </w:numPr>
        <w:tabs>
          <w:tab w:val="left" w:pos="280"/>
        </w:tabs>
      </w:pPr>
      <w:bookmarkStart w:id="82" w:name="bookmark1108"/>
      <w:bookmarkEnd w:id="82"/>
      <w:r>
        <w:t>Aceleración de la velocidad de eritrosedimentación</w:t>
      </w:r>
    </w:p>
    <w:p w14:paraId="3D24AEAF" w14:textId="77777777" w:rsidR="00D03C17" w:rsidRDefault="00D03C17">
      <w:pPr>
        <w:pStyle w:val="Bodytext20"/>
        <w:numPr>
          <w:ilvl w:val="0"/>
          <w:numId w:val="82"/>
        </w:numPr>
        <w:tabs>
          <w:tab w:val="left" w:pos="280"/>
        </w:tabs>
      </w:pPr>
      <w:bookmarkStart w:id="83" w:name="bookmark1109"/>
      <w:bookmarkEnd w:id="83"/>
      <w:r>
        <w:t>Incremento del nivel de proteína C reactiva</w:t>
      </w:r>
    </w:p>
    <w:p w14:paraId="434E3AE1" w14:textId="77777777" w:rsidR="00D03C17" w:rsidRDefault="00D03C17">
      <w:pPr>
        <w:pStyle w:val="Bodytext20"/>
        <w:numPr>
          <w:ilvl w:val="0"/>
          <w:numId w:val="82"/>
        </w:numPr>
        <w:tabs>
          <w:tab w:val="left" w:pos="280"/>
        </w:tabs>
        <w:ind w:left="360" w:hanging="360"/>
      </w:pPr>
      <w:bookmarkStart w:id="84" w:name="bookmark1110"/>
      <w:bookmarkEnd w:id="84"/>
      <w:r>
        <w:t xml:space="preserve">Corroboración por estudios de laboratorio, de infección cervicouterina con </w:t>
      </w:r>
      <w:r>
        <w:rPr>
          <w:i/>
          <w:iCs/>
        </w:rPr>
        <w:t>Neisseria gonorrhoeae</w:t>
      </w:r>
      <w:r>
        <w:t xml:space="preserve"> o </w:t>
      </w:r>
      <w:r>
        <w:rPr>
          <w:i/>
          <w:iCs/>
        </w:rPr>
        <w:t>Chlamydia trachomatis</w:t>
      </w:r>
    </w:p>
    <w:p w14:paraId="2B359245" w14:textId="77777777" w:rsidR="00D03C17" w:rsidRDefault="00D03C17">
      <w:pPr>
        <w:pStyle w:val="Bodytext20"/>
      </w:pPr>
      <w:r>
        <w:t>Muchas de las mujeres con PID tienen una secreción cervicouterina mucupurulenta O leucocitos en la evaluación microscópica de un preparado de líquido vaginal, hecho con solución salina. Si la secreción cervicouterina tiene aspecto normal Y no se detectan leucocitos en el preparado húmedo, es poco probable el diagnóstico de PID y habría que buscar otras causas que expliquen el dolor.</w:t>
      </w:r>
    </w:p>
    <w:p w14:paraId="41393450" w14:textId="77777777" w:rsidR="00D03C17" w:rsidRDefault="00D03C17">
      <w:pPr>
        <w:pStyle w:val="Bodytext20"/>
      </w:pPr>
      <w:r>
        <w:t xml:space="preserve">Los </w:t>
      </w:r>
      <w:r>
        <w:rPr>
          <w:b/>
          <w:bCs/>
        </w:rPr>
        <w:t xml:space="preserve">criterios más específicos </w:t>
      </w:r>
      <w:r>
        <w:t>para diagnosticar PID incluyen:</w:t>
      </w:r>
    </w:p>
    <w:p w14:paraId="4A98B355" w14:textId="77777777" w:rsidR="00D03C17" w:rsidRDefault="00D03C17">
      <w:pPr>
        <w:pStyle w:val="Bodytext20"/>
        <w:numPr>
          <w:ilvl w:val="0"/>
          <w:numId w:val="82"/>
        </w:numPr>
        <w:tabs>
          <w:tab w:val="left" w:pos="280"/>
        </w:tabs>
      </w:pPr>
      <w:bookmarkStart w:id="85" w:name="bookmark1111"/>
      <w:bookmarkEnd w:id="85"/>
      <w:r>
        <w:t>Biopsia de material endometrial con signos histopatológicos de endometritis;</w:t>
      </w:r>
    </w:p>
    <w:p w14:paraId="5F24AEA6" w14:textId="77777777" w:rsidR="00D03C17" w:rsidRDefault="00D03C17">
      <w:pPr>
        <w:pStyle w:val="Bodytext20"/>
        <w:numPr>
          <w:ilvl w:val="0"/>
          <w:numId w:val="82"/>
        </w:numPr>
        <w:tabs>
          <w:tab w:val="left" w:pos="280"/>
        </w:tabs>
        <w:ind w:left="360" w:hanging="360"/>
      </w:pPr>
      <w:bookmarkStart w:id="86" w:name="bookmark1112"/>
      <w:bookmarkEnd w:id="86"/>
      <w:r>
        <w:t>Ultrasonografía o resonancia magnética transvaginales que indican que las trompas de Falopio están engrosadas y llenas de líquido, con líquido libre en la pelvis o el complejo tuboovárico o sin él; y</w:t>
      </w:r>
    </w:p>
    <w:p w14:paraId="1D4D104A" w14:textId="77777777" w:rsidR="00D03C17" w:rsidRDefault="00D03C17">
      <w:pPr>
        <w:pStyle w:val="Bodytext20"/>
        <w:numPr>
          <w:ilvl w:val="0"/>
          <w:numId w:val="82"/>
        </w:numPr>
        <w:tabs>
          <w:tab w:val="left" w:pos="280"/>
        </w:tabs>
      </w:pPr>
      <w:bookmarkStart w:id="87" w:name="bookmark1113"/>
      <w:bookmarkEnd w:id="87"/>
      <w:r>
        <w:t>Anormalidades laparoscópicas compatibles con PID.</w:t>
      </w:r>
    </w:p>
    <w:p w14:paraId="3076B5A2" w14:textId="77777777" w:rsidR="00D03C17" w:rsidRDefault="00D03C17">
      <w:pPr>
        <w:pStyle w:val="Bodytext20"/>
        <w:pBdr>
          <w:bottom w:val="single" w:sz="4" w:space="0" w:color="auto"/>
        </w:pBdr>
        <w:spacing w:after="280"/>
      </w:pPr>
      <w:r>
        <w:t>En casos escogidos quizá esté justificada la valoración diagnóstica que incluya algunos de los estudios más extensos comentados.</w:t>
      </w:r>
    </w:p>
    <w:p w14:paraId="5522DE05" w14:textId="77777777" w:rsidR="00D03C17" w:rsidRDefault="00D03C17">
      <w:pPr>
        <w:pStyle w:val="BodyText"/>
        <w:ind w:firstLine="0"/>
      </w:pPr>
      <w:r>
        <w:t>enfermedad vinculada con el virus de papiloma humano. También han contribuido a evitar la transmisión de las STD otros métodos anticonceptivos de barrera como la esponja y el diafragma. Las píldoras anticonceptivas disminuyen la posibilidad de PID en caso de cervicitis por gonococos o clamidias. Una complicación rara de la vaginitis gonocócica en niñas prepúberes es la infección pélvica ascendente.</w:t>
      </w:r>
    </w:p>
    <w:p w14:paraId="35AC3B4F" w14:textId="77777777" w:rsidR="00D03C17" w:rsidRDefault="00D03C17">
      <w:pPr>
        <w:pStyle w:val="BodyText"/>
        <w:spacing w:line="276" w:lineRule="auto"/>
        <w:ind w:firstLine="360"/>
      </w:pPr>
      <w:r>
        <w:t xml:space="preserve">El </w:t>
      </w:r>
      <w:r>
        <w:rPr>
          <w:b/>
          <w:bCs/>
        </w:rPr>
        <w:t xml:space="preserve">periodo de incubación </w:t>
      </w:r>
      <w:r>
        <w:t xml:space="preserve">de PID es incierto. En mujeres con cervicitis gonocócica, los síntomas suelen aparecer en la primera mitad del ciclo menstrual. </w:t>
      </w:r>
      <w:r>
        <w:rPr>
          <w:b/>
          <w:bCs/>
        </w:rPr>
        <w:t>M</w:t>
      </w:r>
      <w:r>
        <w:rPr>
          <w:b/>
          <w:bCs/>
          <w:sz w:val="13"/>
          <w:szCs w:val="13"/>
        </w:rPr>
        <w:t>ÉTODOS DIAGNÓSTICOS</w:t>
      </w:r>
      <w:r>
        <w:rPr>
          <w:b/>
          <w:bCs/>
        </w:rPr>
        <w:t xml:space="preserve">: </w:t>
      </w:r>
      <w:r>
        <w:t xml:space="preserve">El diagnóstico de PID por lo común se hace con base en los hallazgos clínicos (cuadro 3-54), y es confirmado por los datos de preponderancia de leucocitos en las secreciones cervicouterinas, leucocitosis, una mayor concentración de proteína C reactiva o de la velocidad de eritrosedimentación, identificación de </w:t>
      </w:r>
      <w:r>
        <w:rPr>
          <w:rFonts w:ascii="Times New Roman" w:eastAsia="Times New Roman" w:hAnsi="Times New Roman" w:cs="Times New Roman"/>
          <w:i/>
          <w:iCs/>
          <w:sz w:val="16"/>
          <w:szCs w:val="16"/>
        </w:rPr>
        <w:t>N. gonorrhoeae</w:t>
      </w:r>
      <w:r>
        <w:t xml:space="preserve"> en un cultivo de material endocervical o la presencia de </w:t>
      </w:r>
      <w:r>
        <w:rPr>
          <w:rFonts w:ascii="Times New Roman" w:eastAsia="Times New Roman" w:hAnsi="Times New Roman" w:cs="Times New Roman"/>
          <w:i/>
          <w:iCs/>
          <w:sz w:val="16"/>
          <w:szCs w:val="16"/>
        </w:rPr>
        <w:t>C. trachomatis</w:t>
      </w:r>
      <w:r>
        <w:t xml:space="preserve"> en una prueba de detección rápida hecha en secreciones endocervicales (véase “ </w:t>
      </w:r>
      <w:r>
        <w:rPr>
          <w:rFonts w:ascii="Times New Roman" w:eastAsia="Times New Roman" w:hAnsi="Times New Roman" w:cs="Times New Roman"/>
          <w:i/>
          <w:iCs/>
          <w:sz w:val="16"/>
          <w:szCs w:val="16"/>
        </w:rPr>
        <w:t>Chlamydia trachomatis</w:t>
      </w:r>
      <w:r>
        <w:t xml:space="preserve"> y Gonococos, infecciones”, en esta sección). Es importante obtener material endocervical para cultivo en busca de </w:t>
      </w:r>
      <w:r>
        <w:rPr>
          <w:rFonts w:ascii="Times New Roman" w:eastAsia="Times New Roman" w:hAnsi="Times New Roman" w:cs="Times New Roman"/>
          <w:i/>
          <w:iCs/>
          <w:sz w:val="16"/>
          <w:szCs w:val="16"/>
        </w:rPr>
        <w:t>N. gonorrhoeae</w:t>
      </w:r>
      <w:r>
        <w:t xml:space="preserve"> y practicar una prueba para identificar </w:t>
      </w:r>
      <w:r>
        <w:rPr>
          <w:rFonts w:ascii="Times New Roman" w:eastAsia="Times New Roman" w:hAnsi="Times New Roman" w:cs="Times New Roman"/>
          <w:i/>
          <w:iCs/>
          <w:sz w:val="16"/>
          <w:szCs w:val="16"/>
        </w:rPr>
        <w:t>C. trachomatis.</w:t>
      </w:r>
      <w:r>
        <w:t xml:space="preserve"> Entre las posibles entidades en el diagnóstico diferencial están apendicitis, rotura de quiste ovárico o embarazo ectópico. Son útiles la ultrasonografía y la laparoscopia; este último estudio permite también la obtención de muestras bacteriológicas directamente del exudado tubario o del fondo de saco de Douglas. Sin embargo, por medio de tal endoscopia no se detecta endometritis y no está indicada en casi todos los casos. Los datos que recuerda una adolescente en cuanto a sus antecedentes menstruales no siempre son fiables, y PID y el embarazo ectópico pueden ocasionar dolor abdominal y expulsión irregular de sangre. Por estas dos razones, conviene practicar una prueba de embarazo en la valoración diagnóstica de la adolescente en quien se sospecha PID o que tiene dolor en la parte baja del vientre. </w:t>
      </w:r>
      <w:r>
        <w:rPr>
          <w:b/>
          <w:bCs/>
        </w:rPr>
        <w:t>T</w:t>
      </w:r>
      <w:r>
        <w:rPr>
          <w:b/>
          <w:bCs/>
          <w:sz w:val="13"/>
          <w:szCs w:val="13"/>
        </w:rPr>
        <w:t>RATAMIENTO</w:t>
      </w:r>
      <w:r>
        <w:rPr>
          <w:b/>
          <w:bCs/>
        </w:rPr>
        <w:t xml:space="preserve">: </w:t>
      </w:r>
      <w:r>
        <w:t>El diagnóstico clínico de PID, incluso con la participación del especialista más experto, es impreciso y las consecuencias de la infección no tratada son graves; por ambas razones casi todos los expertos emprenden la terapia con antimicrobianos a las mujeres que cumplan los criterios mínimos, y no limitan la terapia a aquellas que cumplen criterios adicionales para el diagnóstico (cuadro 3-54). Para llevar al mínimo los riesgos de infección progresiva e infecundidad ulterior, no debe postergarse el tratamiento para cuando se reciban los resultados de los cultivos, sino emprenderse una vez planteado el diagnóstico clínico.</w:t>
      </w:r>
    </w:p>
    <w:p w14:paraId="2B6C2935" w14:textId="77777777" w:rsidR="00D03C17" w:rsidRDefault="00D03C17">
      <w:pPr>
        <w:pStyle w:val="BodyText"/>
        <w:ind w:firstLine="360"/>
      </w:pPr>
      <w:r>
        <w:t>Se sugiere la observación y el tratamiento intrahospitalario en las circunstancias siguientes: 1) cuando es imposible descartar una urgencia quirúrgica como el embarazo ectópico o la apendicitis; 2) cuando es imposible tener certeza de que en término de 72 h la mujer cumplirá con las órdenes del régimen terapéutico extrahospitalario o lo tolerará y acudirá a las citas de vigilancia; 3) el cuadro es muy grave (náuseas, vómitos, dolor intenso, peritonitis franca o fiebre alta); 4) existe un absceso tuboovárico; 5) la mujer está embarazada o 6) la paciente no ha mejorado clínicamente con la terapia ambulatoria. A pesar de que en el pasado muchos expertos recomendaban la hospitalización de todas las adolescentes con PID, no hay datos que sustenten tal recomendación. La información actual no basta para saber si está indicada la hospitalización en mujeres con PID e infección por virus de inmunodeficiencia humana.</w:t>
      </w:r>
    </w:p>
    <w:p w14:paraId="6F75921E" w14:textId="77777777" w:rsidR="00D03C17" w:rsidRDefault="00D03C17">
      <w:pPr>
        <w:pStyle w:val="BodyText"/>
        <w:ind w:firstLine="360"/>
        <w:sectPr w:rsidR="00D03C17" w:rsidSect="00D03C17">
          <w:headerReference w:type="even" r:id="rId165"/>
          <w:headerReference w:type="default" r:id="rId166"/>
          <w:footerReference w:type="even" r:id="rId167"/>
          <w:footerReference w:type="default" r:id="rId168"/>
          <w:headerReference w:type="first" r:id="rId169"/>
          <w:footerReference w:type="first" r:id="rId170"/>
          <w:footnotePr>
            <w:numFmt w:val="chicago"/>
          </w:footnotePr>
          <w:pgSz w:w="8501" w:h="13022"/>
          <w:pgMar w:top="704" w:right="812" w:bottom="457" w:left="766" w:header="0" w:footer="3" w:gutter="0"/>
          <w:pgNumType w:start="543"/>
          <w:cols w:space="720"/>
          <w:noEndnote/>
          <w:titlePg/>
          <w:docGrid w:linePitch="360"/>
          <w15:footnoteColumns w:val="1"/>
        </w:sectPr>
      </w:pPr>
      <w:r>
        <w:t xml:space="preserve">La selección de un régimen antimicrobiano contra PID se basa en datos empíricos, con productos de amplio espectro y dirigido contra los agentes patógenos más comunes. En el cuadro 3-55 se incluyen los regímenes compatibles con los recomendados en Estados Unidos por los </w:t>
      </w:r>
      <w:r>
        <w:rPr>
          <w:rFonts w:ascii="Times New Roman" w:eastAsia="Times New Roman" w:hAnsi="Times New Roman" w:cs="Times New Roman"/>
          <w:i/>
          <w:iCs/>
          <w:sz w:val="16"/>
          <w:szCs w:val="16"/>
        </w:rPr>
        <w:t>Centers for Disease Control and Prevention</w:t>
      </w:r>
      <w:r>
        <w:t xml:space="preserve"> (2002). No se cuenta</w:t>
      </w:r>
    </w:p>
    <w:p w14:paraId="0C738E20" w14:textId="77777777" w:rsidR="00D03C17" w:rsidRDefault="00D03C17">
      <w:pPr>
        <w:pStyle w:val="Heading31"/>
        <w:keepNext/>
        <w:keepLines/>
        <w:spacing w:after="400"/>
        <w:jc w:val="center"/>
      </w:pPr>
      <w:bookmarkStart w:id="88" w:name="bookmark1114"/>
      <w:bookmarkStart w:id="89" w:name="bookmark1115"/>
      <w:bookmarkStart w:id="90" w:name="bookmark1116"/>
      <w:r>
        <w:rPr>
          <w:b w:val="0"/>
          <w:bCs w:val="0"/>
        </w:rPr>
        <w:t xml:space="preserve">Cuadro 3-55. </w:t>
      </w:r>
      <w:r>
        <w:t>Tratamiento recomendado de la enfermedad inflamatoria pélvica (PID)</w:t>
      </w:r>
      <w:r>
        <w:rPr>
          <w:vertAlign w:val="superscript"/>
        </w:rPr>
        <w:t>1</w:t>
      </w:r>
      <w:bookmarkEnd w:id="88"/>
      <w:bookmarkEnd w:id="89"/>
      <w:bookmarkEnd w:id="90"/>
    </w:p>
    <w:tbl>
      <w:tblPr>
        <w:tblOverlap w:val="never"/>
        <w:tblW w:w="0" w:type="auto"/>
        <w:jc w:val="center"/>
        <w:tblLayout w:type="fixed"/>
        <w:tblCellMar>
          <w:left w:w="10" w:type="dxa"/>
          <w:right w:w="10" w:type="dxa"/>
        </w:tblCellMar>
        <w:tblLook w:val="04A0" w:firstRow="1" w:lastRow="0" w:firstColumn="1" w:lastColumn="0" w:noHBand="0" w:noVBand="1"/>
      </w:tblPr>
      <w:tblGrid>
        <w:gridCol w:w="5472"/>
        <w:gridCol w:w="5890"/>
      </w:tblGrid>
      <w:tr w:rsidR="00D03C17" w14:paraId="5BB80DC3" w14:textId="77777777">
        <w:tblPrEx>
          <w:tblCellMar>
            <w:top w:w="0" w:type="dxa"/>
            <w:bottom w:w="0" w:type="dxa"/>
          </w:tblCellMar>
        </w:tblPrEx>
        <w:trPr>
          <w:trHeight w:hRule="exact" w:val="4248"/>
          <w:jc w:val="center"/>
        </w:trPr>
        <w:tc>
          <w:tcPr>
            <w:tcW w:w="5472" w:type="dxa"/>
            <w:tcBorders>
              <w:bottom w:val="single" w:sz="4" w:space="0" w:color="auto"/>
            </w:tcBorders>
            <w:shd w:val="clear" w:color="auto" w:fill="FFFFFF"/>
          </w:tcPr>
          <w:p w14:paraId="4820139A" w14:textId="77777777" w:rsidR="00D03C17" w:rsidRDefault="00D03C17">
            <w:pPr>
              <w:pStyle w:val="Other0"/>
              <w:spacing w:line="240" w:lineRule="auto"/>
              <w:ind w:firstLine="0"/>
              <w:rPr>
                <w:sz w:val="20"/>
                <w:szCs w:val="20"/>
              </w:rPr>
            </w:pPr>
            <w:r>
              <w:rPr>
                <w:rFonts w:ascii="Arial" w:eastAsia="Arial" w:hAnsi="Arial" w:cs="Arial"/>
                <w:b/>
                <w:bCs/>
                <w:w w:val="70"/>
                <w:sz w:val="20"/>
                <w:szCs w:val="20"/>
              </w:rPr>
              <w:t>Parenteral: régimen A</w:t>
            </w:r>
            <w:r>
              <w:rPr>
                <w:rFonts w:ascii="Arial" w:eastAsia="Arial" w:hAnsi="Arial" w:cs="Arial"/>
                <w:b/>
                <w:bCs/>
                <w:w w:val="70"/>
                <w:sz w:val="20"/>
                <w:szCs w:val="20"/>
                <w:vertAlign w:val="superscript"/>
              </w:rPr>
              <w:t>2</w:t>
            </w:r>
          </w:p>
          <w:p w14:paraId="119CDAB5" w14:textId="77777777" w:rsidR="00D03C17" w:rsidRDefault="00D03C17">
            <w:pPr>
              <w:pStyle w:val="Other0"/>
              <w:spacing w:line="283" w:lineRule="auto"/>
              <w:ind w:firstLine="0"/>
              <w:rPr>
                <w:sz w:val="16"/>
                <w:szCs w:val="16"/>
              </w:rPr>
            </w:pPr>
            <w:r>
              <w:rPr>
                <w:rFonts w:ascii="Times New Roman" w:eastAsia="Times New Roman" w:hAnsi="Times New Roman" w:cs="Times New Roman"/>
                <w:b/>
                <w:bCs/>
                <w:sz w:val="16"/>
                <w:szCs w:val="16"/>
              </w:rPr>
              <w:t xml:space="preserve">Cefotetán, </w:t>
            </w:r>
            <w:r>
              <w:rPr>
                <w:rFonts w:ascii="Times New Roman" w:eastAsia="Times New Roman" w:hAnsi="Times New Roman" w:cs="Times New Roman"/>
                <w:sz w:val="16"/>
                <w:szCs w:val="16"/>
              </w:rPr>
              <w:t>2 g IV cada 12 h</w:t>
            </w:r>
          </w:p>
          <w:p w14:paraId="497F0A79" w14:textId="77777777" w:rsidR="00D03C17" w:rsidRDefault="00D03C17">
            <w:pPr>
              <w:pStyle w:val="Other0"/>
              <w:spacing w:line="283" w:lineRule="auto"/>
              <w:ind w:firstLine="0"/>
              <w:rPr>
                <w:sz w:val="16"/>
                <w:szCs w:val="16"/>
              </w:rPr>
            </w:pPr>
            <w:r>
              <w:rPr>
                <w:rFonts w:ascii="Times New Roman" w:eastAsia="Times New Roman" w:hAnsi="Times New Roman" w:cs="Times New Roman"/>
                <w:b/>
                <w:bCs/>
                <w:sz w:val="16"/>
                <w:szCs w:val="16"/>
              </w:rPr>
              <w:t>O</w:t>
            </w:r>
          </w:p>
          <w:p w14:paraId="29C1B10E" w14:textId="77777777" w:rsidR="00D03C17" w:rsidRDefault="00D03C17">
            <w:pPr>
              <w:pStyle w:val="Other0"/>
              <w:spacing w:line="283" w:lineRule="auto"/>
              <w:ind w:firstLine="0"/>
              <w:rPr>
                <w:sz w:val="16"/>
                <w:szCs w:val="16"/>
              </w:rPr>
            </w:pPr>
            <w:r>
              <w:rPr>
                <w:rFonts w:ascii="Times New Roman" w:eastAsia="Times New Roman" w:hAnsi="Times New Roman" w:cs="Times New Roman"/>
                <w:b/>
                <w:bCs/>
                <w:sz w:val="16"/>
                <w:szCs w:val="16"/>
              </w:rPr>
              <w:t xml:space="preserve">Cefoxitina, </w:t>
            </w:r>
            <w:r>
              <w:rPr>
                <w:rFonts w:ascii="Times New Roman" w:eastAsia="Times New Roman" w:hAnsi="Times New Roman" w:cs="Times New Roman"/>
                <w:sz w:val="16"/>
                <w:szCs w:val="16"/>
              </w:rPr>
              <w:t>2 g IV cada 6 h</w:t>
            </w:r>
          </w:p>
          <w:p w14:paraId="06B22B8C" w14:textId="77777777" w:rsidR="00D03C17" w:rsidRDefault="00D03C17">
            <w:pPr>
              <w:pStyle w:val="Other0"/>
              <w:numPr>
                <w:ilvl w:val="0"/>
                <w:numId w:val="84"/>
              </w:numPr>
              <w:tabs>
                <w:tab w:val="left" w:pos="149"/>
              </w:tabs>
              <w:spacing w:line="283" w:lineRule="auto"/>
              <w:ind w:firstLine="0"/>
              <w:rPr>
                <w:sz w:val="16"/>
                <w:szCs w:val="16"/>
              </w:rPr>
            </w:pPr>
            <w:r>
              <w:rPr>
                <w:rFonts w:ascii="Times New Roman" w:eastAsia="Times New Roman" w:hAnsi="Times New Roman" w:cs="Times New Roman"/>
                <w:b/>
                <w:bCs/>
                <w:sz w:val="16"/>
                <w:szCs w:val="16"/>
              </w:rPr>
              <w:t>ADEMAS</w:t>
            </w:r>
          </w:p>
          <w:p w14:paraId="7C3D5BF1" w14:textId="77777777" w:rsidR="00D03C17" w:rsidRDefault="00D03C17">
            <w:pPr>
              <w:pStyle w:val="Other0"/>
              <w:spacing w:line="283" w:lineRule="auto"/>
              <w:ind w:firstLine="0"/>
              <w:rPr>
                <w:sz w:val="16"/>
                <w:szCs w:val="16"/>
              </w:rPr>
            </w:pPr>
            <w:r>
              <w:rPr>
                <w:rFonts w:ascii="Times New Roman" w:eastAsia="Times New Roman" w:hAnsi="Times New Roman" w:cs="Times New Roman"/>
                <w:b/>
                <w:bCs/>
                <w:sz w:val="16"/>
                <w:szCs w:val="16"/>
              </w:rPr>
              <w:t xml:space="preserve">Doxiciclina, </w:t>
            </w:r>
            <w:r>
              <w:rPr>
                <w:rFonts w:ascii="Times New Roman" w:eastAsia="Times New Roman" w:hAnsi="Times New Roman" w:cs="Times New Roman"/>
                <w:sz w:val="16"/>
                <w:szCs w:val="16"/>
              </w:rPr>
              <w:t>100 mg ingeridos o por vía IV cada 12 h</w:t>
            </w:r>
          </w:p>
          <w:p w14:paraId="58FD34B2" w14:textId="77777777" w:rsidR="00D03C17" w:rsidRDefault="00D03C17">
            <w:pPr>
              <w:pStyle w:val="Other0"/>
              <w:spacing w:line="283" w:lineRule="auto"/>
              <w:ind w:firstLine="0"/>
              <w:rPr>
                <w:sz w:val="16"/>
                <w:szCs w:val="16"/>
              </w:rPr>
            </w:pPr>
            <w:r>
              <w:rPr>
                <w:rFonts w:ascii="Times New Roman" w:eastAsia="Times New Roman" w:hAnsi="Times New Roman" w:cs="Times New Roman"/>
                <w:b/>
                <w:bCs/>
                <w:sz w:val="16"/>
                <w:szCs w:val="16"/>
              </w:rPr>
              <w:t>O</w:t>
            </w:r>
          </w:p>
          <w:p w14:paraId="04DB6C28" w14:textId="77777777" w:rsidR="00D03C17" w:rsidRDefault="00D03C17">
            <w:pPr>
              <w:pStyle w:val="Other0"/>
              <w:spacing w:line="240" w:lineRule="auto"/>
              <w:ind w:firstLine="0"/>
              <w:rPr>
                <w:sz w:val="20"/>
                <w:szCs w:val="20"/>
              </w:rPr>
            </w:pPr>
            <w:r>
              <w:rPr>
                <w:rFonts w:ascii="Arial" w:eastAsia="Arial" w:hAnsi="Arial" w:cs="Arial"/>
                <w:b/>
                <w:bCs/>
                <w:w w:val="70"/>
                <w:sz w:val="20"/>
                <w:szCs w:val="20"/>
              </w:rPr>
              <w:t>Parenteral: Régimen B</w:t>
            </w:r>
            <w:r>
              <w:rPr>
                <w:rFonts w:ascii="Arial" w:eastAsia="Arial" w:hAnsi="Arial" w:cs="Arial"/>
                <w:b/>
                <w:bCs/>
                <w:w w:val="70"/>
                <w:sz w:val="20"/>
                <w:szCs w:val="20"/>
                <w:vertAlign w:val="superscript"/>
              </w:rPr>
              <w:t>5</w:t>
            </w:r>
          </w:p>
          <w:p w14:paraId="70D0E5B0" w14:textId="77777777" w:rsidR="00D03C17" w:rsidRDefault="00D03C17">
            <w:pPr>
              <w:pStyle w:val="Other0"/>
              <w:spacing w:line="283" w:lineRule="auto"/>
              <w:ind w:firstLine="0"/>
              <w:rPr>
                <w:sz w:val="16"/>
                <w:szCs w:val="16"/>
              </w:rPr>
            </w:pPr>
            <w:r>
              <w:rPr>
                <w:rFonts w:ascii="Times New Roman" w:eastAsia="Times New Roman" w:hAnsi="Times New Roman" w:cs="Times New Roman"/>
                <w:b/>
                <w:bCs/>
                <w:sz w:val="16"/>
                <w:szCs w:val="16"/>
              </w:rPr>
              <w:t xml:space="preserve">Clindamicina, </w:t>
            </w:r>
            <w:r>
              <w:rPr>
                <w:rFonts w:ascii="Times New Roman" w:eastAsia="Times New Roman" w:hAnsi="Times New Roman" w:cs="Times New Roman"/>
                <w:sz w:val="16"/>
                <w:szCs w:val="16"/>
              </w:rPr>
              <w:t>900 mg IV cada 8 h</w:t>
            </w:r>
          </w:p>
          <w:p w14:paraId="190882C2" w14:textId="77777777" w:rsidR="00D03C17" w:rsidRDefault="00D03C17">
            <w:pPr>
              <w:pStyle w:val="Other0"/>
              <w:numPr>
                <w:ilvl w:val="0"/>
                <w:numId w:val="84"/>
              </w:numPr>
              <w:tabs>
                <w:tab w:val="left" w:pos="149"/>
              </w:tabs>
              <w:spacing w:line="283" w:lineRule="auto"/>
              <w:ind w:firstLine="0"/>
              <w:rPr>
                <w:sz w:val="16"/>
                <w:szCs w:val="16"/>
              </w:rPr>
            </w:pPr>
            <w:r>
              <w:rPr>
                <w:rFonts w:ascii="Times New Roman" w:eastAsia="Times New Roman" w:hAnsi="Times New Roman" w:cs="Times New Roman"/>
                <w:b/>
                <w:bCs/>
                <w:sz w:val="16"/>
                <w:szCs w:val="16"/>
              </w:rPr>
              <w:t>ADEMAS</w:t>
            </w:r>
          </w:p>
          <w:p w14:paraId="768CFCA7" w14:textId="77777777" w:rsidR="00D03C17" w:rsidRDefault="00D03C17">
            <w:pPr>
              <w:pStyle w:val="Other0"/>
              <w:spacing w:line="283" w:lineRule="auto"/>
              <w:ind w:firstLine="0"/>
              <w:rPr>
                <w:sz w:val="16"/>
                <w:szCs w:val="16"/>
              </w:rPr>
            </w:pPr>
            <w:r>
              <w:rPr>
                <w:rFonts w:ascii="Times New Roman" w:eastAsia="Times New Roman" w:hAnsi="Times New Roman" w:cs="Times New Roman"/>
                <w:b/>
                <w:bCs/>
                <w:sz w:val="16"/>
                <w:szCs w:val="16"/>
              </w:rPr>
              <w:t xml:space="preserve">Gentamicina: </w:t>
            </w:r>
            <w:r>
              <w:rPr>
                <w:rFonts w:ascii="Times New Roman" w:eastAsia="Times New Roman" w:hAnsi="Times New Roman" w:cs="Times New Roman"/>
                <w:sz w:val="16"/>
                <w:szCs w:val="16"/>
              </w:rPr>
              <w:t>dosis ìnìcìal, IV o IM (2 mg/kg) seguido por una dosis de sostén (1.5 mg/kg de peso) cada 8 h. Puede sustituirse por una sola dosis diaria</w:t>
            </w:r>
          </w:p>
          <w:p w14:paraId="19C58B01" w14:textId="77777777" w:rsidR="00D03C17" w:rsidRDefault="00D03C17">
            <w:pPr>
              <w:pStyle w:val="Other0"/>
              <w:spacing w:line="283" w:lineRule="auto"/>
              <w:ind w:firstLine="0"/>
              <w:rPr>
                <w:sz w:val="16"/>
                <w:szCs w:val="16"/>
              </w:rPr>
            </w:pPr>
            <w:r>
              <w:rPr>
                <w:rFonts w:ascii="Times New Roman" w:eastAsia="Times New Roman" w:hAnsi="Times New Roman" w:cs="Times New Roman"/>
                <w:b/>
                <w:bCs/>
                <w:sz w:val="16"/>
                <w:szCs w:val="16"/>
              </w:rPr>
              <w:t>NOTA</w:t>
            </w:r>
          </w:p>
          <w:p w14:paraId="4A72746A" w14:textId="77777777" w:rsidR="00D03C17" w:rsidRDefault="00D03C17">
            <w:pPr>
              <w:pStyle w:val="Other0"/>
              <w:spacing w:line="283" w:lineRule="auto"/>
              <w:ind w:firstLine="0"/>
              <w:rPr>
                <w:sz w:val="16"/>
                <w:szCs w:val="16"/>
              </w:rPr>
            </w:pPr>
            <w:r>
              <w:rPr>
                <w:rFonts w:ascii="Times New Roman" w:eastAsia="Times New Roman" w:hAnsi="Times New Roman" w:cs="Times New Roman"/>
                <w:sz w:val="16"/>
                <w:szCs w:val="16"/>
              </w:rPr>
              <w:t>Es posible interrumpir la terapìa parenteral 24 h después que la mujer mostró mejoría clínica; sì se continúa la terapìa con un producto ingerible incluirá doxiciclina (100 mg, por vía oral, dos veces al día) o clìndamìcìna (450 mg, por vía oral, cuatro veces al día) hasta completar un total de 14 días de tratamiento.</w:t>
            </w:r>
          </w:p>
        </w:tc>
        <w:tc>
          <w:tcPr>
            <w:tcW w:w="5890" w:type="dxa"/>
            <w:tcBorders>
              <w:bottom w:val="single" w:sz="4" w:space="0" w:color="auto"/>
            </w:tcBorders>
            <w:shd w:val="clear" w:color="auto" w:fill="FFFFFF"/>
          </w:tcPr>
          <w:p w14:paraId="23E8D230" w14:textId="77777777" w:rsidR="00D03C17" w:rsidRDefault="00D03C17">
            <w:pPr>
              <w:pStyle w:val="Other0"/>
              <w:spacing w:line="240" w:lineRule="auto"/>
              <w:ind w:firstLine="140"/>
              <w:rPr>
                <w:sz w:val="20"/>
                <w:szCs w:val="20"/>
              </w:rPr>
            </w:pPr>
            <w:r>
              <w:rPr>
                <w:rFonts w:ascii="Arial" w:eastAsia="Arial" w:hAnsi="Arial" w:cs="Arial"/>
                <w:b/>
                <w:bCs/>
                <w:w w:val="70"/>
                <w:sz w:val="20"/>
                <w:szCs w:val="20"/>
              </w:rPr>
              <w:t>Ambulatorio: régimen A</w:t>
            </w:r>
            <w:r>
              <w:rPr>
                <w:rFonts w:ascii="Arial" w:eastAsia="Arial" w:hAnsi="Arial" w:cs="Arial"/>
                <w:b/>
                <w:bCs/>
                <w:w w:val="70"/>
                <w:sz w:val="20"/>
                <w:szCs w:val="20"/>
                <w:vertAlign w:val="superscript"/>
              </w:rPr>
              <w:t>3</w:t>
            </w:r>
            <w:r>
              <w:rPr>
                <w:rFonts w:ascii="Arial" w:eastAsia="Arial" w:hAnsi="Arial" w:cs="Arial"/>
                <w:b/>
                <w:bCs/>
                <w:w w:val="70"/>
                <w:sz w:val="20"/>
                <w:szCs w:val="20"/>
              </w:rPr>
              <w:t xml:space="preserve"> (sólo productos ingeribles)</w:t>
            </w:r>
          </w:p>
          <w:p w14:paraId="35D44073" w14:textId="77777777" w:rsidR="00D03C17" w:rsidRDefault="00D03C17">
            <w:pPr>
              <w:pStyle w:val="Other0"/>
              <w:spacing w:line="283" w:lineRule="auto"/>
              <w:ind w:firstLine="140"/>
              <w:rPr>
                <w:sz w:val="16"/>
                <w:szCs w:val="16"/>
              </w:rPr>
            </w:pPr>
            <w:r>
              <w:rPr>
                <w:rFonts w:ascii="Times New Roman" w:eastAsia="Times New Roman" w:hAnsi="Times New Roman" w:cs="Times New Roman"/>
                <w:b/>
                <w:bCs/>
                <w:sz w:val="16"/>
                <w:szCs w:val="16"/>
              </w:rPr>
              <w:t>Ofloxacina,</w:t>
            </w:r>
            <w:r>
              <w:rPr>
                <w:rFonts w:ascii="Times New Roman" w:eastAsia="Times New Roman" w:hAnsi="Times New Roman" w:cs="Times New Roman"/>
                <w:b/>
                <w:bCs/>
                <w:sz w:val="16"/>
                <w:szCs w:val="16"/>
                <w:vertAlign w:val="superscript"/>
              </w:rPr>
              <w:t>4</w:t>
            </w:r>
            <w:r>
              <w:rPr>
                <w:rFonts w:ascii="Times New Roman" w:eastAsia="Times New Roman" w:hAnsi="Times New Roman" w:cs="Times New Roman"/>
                <w:b/>
                <w:bCs/>
                <w:sz w:val="16"/>
                <w:szCs w:val="16"/>
              </w:rPr>
              <w:t xml:space="preserve"> </w:t>
            </w:r>
            <w:r>
              <w:rPr>
                <w:rFonts w:ascii="Times New Roman" w:eastAsia="Times New Roman" w:hAnsi="Times New Roman" w:cs="Times New Roman"/>
                <w:sz w:val="16"/>
                <w:szCs w:val="16"/>
              </w:rPr>
              <w:t>400 mg por vía oral dos veces al día durante 14 días</w:t>
            </w:r>
          </w:p>
          <w:p w14:paraId="2AB93A6B" w14:textId="77777777" w:rsidR="00D03C17" w:rsidRDefault="00D03C17">
            <w:pPr>
              <w:pStyle w:val="Other0"/>
              <w:spacing w:line="283" w:lineRule="auto"/>
              <w:ind w:firstLine="140"/>
              <w:rPr>
                <w:sz w:val="16"/>
                <w:szCs w:val="16"/>
              </w:rPr>
            </w:pPr>
            <w:r>
              <w:rPr>
                <w:rFonts w:ascii="Times New Roman" w:eastAsia="Times New Roman" w:hAnsi="Times New Roman" w:cs="Times New Roman"/>
                <w:b/>
                <w:bCs/>
                <w:sz w:val="16"/>
                <w:szCs w:val="16"/>
              </w:rPr>
              <w:t>O</w:t>
            </w:r>
          </w:p>
          <w:p w14:paraId="1F02EF05" w14:textId="77777777" w:rsidR="00D03C17" w:rsidRDefault="00D03C17">
            <w:pPr>
              <w:pStyle w:val="Other0"/>
              <w:spacing w:line="283" w:lineRule="auto"/>
              <w:ind w:firstLine="140"/>
              <w:rPr>
                <w:sz w:val="16"/>
                <w:szCs w:val="16"/>
              </w:rPr>
            </w:pPr>
            <w:r>
              <w:rPr>
                <w:rFonts w:ascii="Times New Roman" w:eastAsia="Times New Roman" w:hAnsi="Times New Roman" w:cs="Times New Roman"/>
                <w:b/>
                <w:bCs/>
                <w:sz w:val="16"/>
                <w:szCs w:val="16"/>
              </w:rPr>
              <w:t>Levofloxacina,</w:t>
            </w:r>
            <w:r>
              <w:rPr>
                <w:rFonts w:ascii="Times New Roman" w:eastAsia="Times New Roman" w:hAnsi="Times New Roman" w:cs="Times New Roman"/>
                <w:b/>
                <w:bCs/>
                <w:sz w:val="16"/>
                <w:szCs w:val="16"/>
                <w:vertAlign w:val="superscript"/>
              </w:rPr>
              <w:t>4</w:t>
            </w:r>
            <w:r>
              <w:rPr>
                <w:rFonts w:ascii="Times New Roman" w:eastAsia="Times New Roman" w:hAnsi="Times New Roman" w:cs="Times New Roman"/>
                <w:b/>
                <w:bCs/>
                <w:sz w:val="16"/>
                <w:szCs w:val="16"/>
              </w:rPr>
              <w:t xml:space="preserve"> </w:t>
            </w:r>
            <w:r>
              <w:rPr>
                <w:rFonts w:ascii="Times New Roman" w:eastAsia="Times New Roman" w:hAnsi="Times New Roman" w:cs="Times New Roman"/>
                <w:sz w:val="16"/>
                <w:szCs w:val="16"/>
              </w:rPr>
              <w:t>500 mg, por vía oral una vez al día durante 14 días</w:t>
            </w:r>
          </w:p>
          <w:p w14:paraId="4E98459E" w14:textId="77777777" w:rsidR="00D03C17" w:rsidRDefault="00D03C17">
            <w:pPr>
              <w:pStyle w:val="Other0"/>
              <w:spacing w:line="283" w:lineRule="auto"/>
              <w:ind w:firstLine="140"/>
              <w:rPr>
                <w:sz w:val="16"/>
                <w:szCs w:val="16"/>
              </w:rPr>
            </w:pPr>
            <w:r>
              <w:rPr>
                <w:rFonts w:ascii="Times New Roman" w:eastAsia="Times New Roman" w:hAnsi="Times New Roman" w:cs="Times New Roman"/>
                <w:b/>
                <w:bCs/>
                <w:sz w:val="16"/>
                <w:szCs w:val="16"/>
              </w:rPr>
              <w:t>CON O SIN</w:t>
            </w:r>
          </w:p>
          <w:p w14:paraId="42B39E15" w14:textId="77777777" w:rsidR="00D03C17" w:rsidRDefault="00D03C17">
            <w:pPr>
              <w:pStyle w:val="Other0"/>
              <w:spacing w:line="283" w:lineRule="auto"/>
              <w:ind w:firstLine="140"/>
              <w:rPr>
                <w:sz w:val="16"/>
                <w:szCs w:val="16"/>
              </w:rPr>
            </w:pPr>
            <w:r>
              <w:rPr>
                <w:rFonts w:ascii="Times New Roman" w:eastAsia="Times New Roman" w:hAnsi="Times New Roman" w:cs="Times New Roman"/>
                <w:b/>
                <w:bCs/>
                <w:sz w:val="16"/>
                <w:szCs w:val="16"/>
              </w:rPr>
              <w:t xml:space="preserve">Metronidazol, </w:t>
            </w:r>
            <w:r>
              <w:rPr>
                <w:rFonts w:ascii="Times New Roman" w:eastAsia="Times New Roman" w:hAnsi="Times New Roman" w:cs="Times New Roman"/>
                <w:sz w:val="16"/>
                <w:szCs w:val="16"/>
              </w:rPr>
              <w:t>500 mg por vía oral dos veces al día durante 14 días</w:t>
            </w:r>
          </w:p>
          <w:p w14:paraId="7FC463BE" w14:textId="77777777" w:rsidR="00D03C17" w:rsidRDefault="00D03C17">
            <w:pPr>
              <w:pStyle w:val="Other0"/>
              <w:spacing w:line="283" w:lineRule="auto"/>
              <w:ind w:firstLine="140"/>
              <w:rPr>
                <w:sz w:val="16"/>
                <w:szCs w:val="16"/>
              </w:rPr>
            </w:pPr>
            <w:r>
              <w:rPr>
                <w:rFonts w:ascii="Times New Roman" w:eastAsia="Times New Roman" w:hAnsi="Times New Roman" w:cs="Times New Roman"/>
                <w:b/>
                <w:bCs/>
                <w:sz w:val="16"/>
                <w:szCs w:val="16"/>
              </w:rPr>
              <w:t>O</w:t>
            </w:r>
          </w:p>
          <w:p w14:paraId="2C33613E" w14:textId="77777777" w:rsidR="00D03C17" w:rsidRDefault="00D03C17">
            <w:pPr>
              <w:pStyle w:val="Other0"/>
              <w:spacing w:line="240" w:lineRule="auto"/>
              <w:ind w:firstLine="140"/>
              <w:rPr>
                <w:sz w:val="20"/>
                <w:szCs w:val="20"/>
              </w:rPr>
            </w:pPr>
            <w:r>
              <w:rPr>
                <w:rFonts w:ascii="Arial" w:eastAsia="Arial" w:hAnsi="Arial" w:cs="Arial"/>
                <w:b/>
                <w:bCs/>
                <w:w w:val="70"/>
                <w:sz w:val="20"/>
                <w:szCs w:val="20"/>
              </w:rPr>
              <w:t>Ambulatorio: régimen B</w:t>
            </w:r>
          </w:p>
          <w:p w14:paraId="4A264CAF" w14:textId="77777777" w:rsidR="00D03C17" w:rsidRDefault="00D03C17">
            <w:pPr>
              <w:pStyle w:val="Other0"/>
              <w:spacing w:line="283" w:lineRule="auto"/>
              <w:ind w:firstLine="140"/>
              <w:rPr>
                <w:sz w:val="16"/>
                <w:szCs w:val="16"/>
              </w:rPr>
            </w:pPr>
            <w:r>
              <w:rPr>
                <w:rFonts w:ascii="Times New Roman" w:eastAsia="Times New Roman" w:hAnsi="Times New Roman" w:cs="Times New Roman"/>
                <w:b/>
                <w:bCs/>
                <w:sz w:val="16"/>
                <w:szCs w:val="16"/>
              </w:rPr>
              <w:t xml:space="preserve">Ceftriaxona, </w:t>
            </w:r>
            <w:r>
              <w:rPr>
                <w:rFonts w:ascii="Times New Roman" w:eastAsia="Times New Roman" w:hAnsi="Times New Roman" w:cs="Times New Roman"/>
                <w:sz w:val="16"/>
                <w:szCs w:val="16"/>
              </w:rPr>
              <w:t>250 mg IM una sola vez</w:t>
            </w:r>
          </w:p>
          <w:p w14:paraId="3A58A227" w14:textId="77777777" w:rsidR="00D03C17" w:rsidRDefault="00D03C17">
            <w:pPr>
              <w:pStyle w:val="Other0"/>
              <w:spacing w:line="283" w:lineRule="auto"/>
              <w:ind w:firstLine="140"/>
              <w:rPr>
                <w:sz w:val="16"/>
                <w:szCs w:val="16"/>
              </w:rPr>
            </w:pPr>
            <w:r>
              <w:rPr>
                <w:rFonts w:ascii="Times New Roman" w:eastAsia="Times New Roman" w:hAnsi="Times New Roman" w:cs="Times New Roman"/>
                <w:b/>
                <w:bCs/>
                <w:sz w:val="16"/>
                <w:szCs w:val="16"/>
              </w:rPr>
              <w:t>O</w:t>
            </w:r>
          </w:p>
          <w:p w14:paraId="75517E11" w14:textId="77777777" w:rsidR="00D03C17" w:rsidRDefault="00D03C17">
            <w:pPr>
              <w:pStyle w:val="Other0"/>
              <w:spacing w:line="283" w:lineRule="auto"/>
              <w:ind w:left="240" w:hanging="80"/>
              <w:rPr>
                <w:sz w:val="16"/>
                <w:szCs w:val="16"/>
              </w:rPr>
            </w:pPr>
            <w:r>
              <w:rPr>
                <w:rFonts w:ascii="Times New Roman" w:eastAsia="Times New Roman" w:hAnsi="Times New Roman" w:cs="Times New Roman"/>
                <w:b/>
                <w:bCs/>
                <w:sz w:val="16"/>
                <w:szCs w:val="16"/>
              </w:rPr>
              <w:t xml:space="preserve">Cefoxitina, </w:t>
            </w:r>
            <w:r>
              <w:rPr>
                <w:rFonts w:ascii="Times New Roman" w:eastAsia="Times New Roman" w:hAnsi="Times New Roman" w:cs="Times New Roman"/>
                <w:sz w:val="16"/>
                <w:szCs w:val="16"/>
              </w:rPr>
              <w:t xml:space="preserve">2 g IM y además </w:t>
            </w:r>
            <w:r>
              <w:rPr>
                <w:rFonts w:ascii="Times New Roman" w:eastAsia="Times New Roman" w:hAnsi="Times New Roman" w:cs="Times New Roman"/>
                <w:b/>
                <w:bCs/>
                <w:sz w:val="16"/>
                <w:szCs w:val="16"/>
              </w:rPr>
              <w:t xml:space="preserve">probenecid, </w:t>
            </w:r>
            <w:r>
              <w:rPr>
                <w:rFonts w:ascii="Times New Roman" w:eastAsia="Times New Roman" w:hAnsi="Times New Roman" w:cs="Times New Roman"/>
                <w:sz w:val="16"/>
                <w:szCs w:val="16"/>
              </w:rPr>
              <w:t>1 g por vía oral en una sola dosis, conjuntamente una vez</w:t>
            </w:r>
          </w:p>
          <w:p w14:paraId="525E5274" w14:textId="77777777" w:rsidR="00D03C17" w:rsidRDefault="00D03C17">
            <w:pPr>
              <w:pStyle w:val="Other0"/>
              <w:spacing w:line="283" w:lineRule="auto"/>
              <w:ind w:left="240" w:hanging="80"/>
              <w:rPr>
                <w:sz w:val="16"/>
                <w:szCs w:val="16"/>
              </w:rPr>
            </w:pPr>
            <w:r>
              <w:rPr>
                <w:rFonts w:ascii="Times New Roman" w:eastAsia="Times New Roman" w:hAnsi="Times New Roman" w:cs="Times New Roman"/>
                <w:b/>
                <w:bCs/>
                <w:sz w:val="16"/>
                <w:szCs w:val="16"/>
              </w:rPr>
              <w:t>O</w:t>
            </w:r>
          </w:p>
          <w:p w14:paraId="078E04C9" w14:textId="77777777" w:rsidR="00D03C17" w:rsidRDefault="00D03C17">
            <w:pPr>
              <w:pStyle w:val="Other0"/>
              <w:spacing w:line="283" w:lineRule="auto"/>
              <w:ind w:left="240" w:hanging="80"/>
              <w:rPr>
                <w:sz w:val="16"/>
                <w:szCs w:val="16"/>
              </w:rPr>
            </w:pPr>
            <w:r>
              <w:rPr>
                <w:rFonts w:ascii="Times New Roman" w:eastAsia="Times New Roman" w:hAnsi="Times New Roman" w:cs="Times New Roman"/>
                <w:sz w:val="16"/>
                <w:szCs w:val="16"/>
              </w:rPr>
              <w:t xml:space="preserve">Otra de las </w:t>
            </w:r>
            <w:r>
              <w:rPr>
                <w:rFonts w:ascii="Times New Roman" w:eastAsia="Times New Roman" w:hAnsi="Times New Roman" w:cs="Times New Roman"/>
                <w:b/>
                <w:bCs/>
                <w:sz w:val="16"/>
                <w:szCs w:val="16"/>
              </w:rPr>
              <w:t>cefalosporinas</w:t>
            </w:r>
            <w:r>
              <w:rPr>
                <w:rFonts w:ascii="Times New Roman" w:eastAsia="Times New Roman" w:hAnsi="Times New Roman" w:cs="Times New Roman"/>
                <w:b/>
                <w:bCs/>
                <w:sz w:val="16"/>
                <w:szCs w:val="16"/>
                <w:vertAlign w:val="superscript"/>
              </w:rPr>
              <w:t>6</w:t>
            </w:r>
            <w:r>
              <w:rPr>
                <w:rFonts w:ascii="Times New Roman" w:eastAsia="Times New Roman" w:hAnsi="Times New Roman" w:cs="Times New Roman"/>
                <w:b/>
                <w:bCs/>
                <w:sz w:val="16"/>
                <w:szCs w:val="16"/>
              </w:rPr>
              <w:t xml:space="preserve"> </w:t>
            </w:r>
            <w:r>
              <w:rPr>
                <w:rFonts w:ascii="Times New Roman" w:eastAsia="Times New Roman" w:hAnsi="Times New Roman" w:cs="Times New Roman"/>
                <w:sz w:val="16"/>
                <w:szCs w:val="16"/>
              </w:rPr>
              <w:t xml:space="preserve">parenterales de la tercera generación (como </w:t>
            </w:r>
            <w:r>
              <w:rPr>
                <w:rFonts w:ascii="Times New Roman" w:eastAsia="Times New Roman" w:hAnsi="Times New Roman" w:cs="Times New Roman"/>
                <w:b/>
                <w:bCs/>
                <w:sz w:val="16"/>
                <w:szCs w:val="16"/>
              </w:rPr>
              <w:t xml:space="preserve">ceftizoxima </w:t>
            </w:r>
            <w:r>
              <w:rPr>
                <w:rFonts w:ascii="Times New Roman" w:eastAsia="Times New Roman" w:hAnsi="Times New Roman" w:cs="Times New Roman"/>
                <w:sz w:val="16"/>
                <w:szCs w:val="16"/>
              </w:rPr>
              <w:t xml:space="preserve">o </w:t>
            </w:r>
            <w:r>
              <w:rPr>
                <w:rFonts w:ascii="Times New Roman" w:eastAsia="Times New Roman" w:hAnsi="Times New Roman" w:cs="Times New Roman"/>
                <w:b/>
                <w:bCs/>
                <w:sz w:val="16"/>
                <w:szCs w:val="16"/>
              </w:rPr>
              <w:t>cefotaxima)</w:t>
            </w:r>
          </w:p>
          <w:p w14:paraId="6E5A41EC" w14:textId="77777777" w:rsidR="00D03C17" w:rsidRDefault="00D03C17">
            <w:pPr>
              <w:pStyle w:val="Other0"/>
              <w:spacing w:line="283" w:lineRule="auto"/>
              <w:ind w:firstLine="140"/>
              <w:rPr>
                <w:sz w:val="16"/>
                <w:szCs w:val="16"/>
              </w:rPr>
            </w:pPr>
            <w:r>
              <w:rPr>
                <w:rFonts w:ascii="Times New Roman" w:eastAsia="Times New Roman" w:hAnsi="Times New Roman" w:cs="Times New Roman"/>
                <w:b/>
                <w:bCs/>
                <w:sz w:val="16"/>
                <w:szCs w:val="16"/>
              </w:rPr>
              <w:t>Y ADEMAS</w:t>
            </w:r>
          </w:p>
          <w:p w14:paraId="179FEFB3" w14:textId="77777777" w:rsidR="00D03C17" w:rsidRDefault="00D03C17">
            <w:pPr>
              <w:pStyle w:val="Other0"/>
              <w:spacing w:line="283" w:lineRule="auto"/>
              <w:ind w:firstLine="140"/>
              <w:rPr>
                <w:sz w:val="16"/>
                <w:szCs w:val="16"/>
              </w:rPr>
            </w:pPr>
            <w:r>
              <w:rPr>
                <w:rFonts w:ascii="Times New Roman" w:eastAsia="Times New Roman" w:hAnsi="Times New Roman" w:cs="Times New Roman"/>
                <w:b/>
                <w:bCs/>
                <w:sz w:val="16"/>
                <w:szCs w:val="16"/>
              </w:rPr>
              <w:t xml:space="preserve">Doxiciclina, </w:t>
            </w:r>
            <w:r>
              <w:rPr>
                <w:rFonts w:ascii="Times New Roman" w:eastAsia="Times New Roman" w:hAnsi="Times New Roman" w:cs="Times New Roman"/>
                <w:sz w:val="16"/>
                <w:szCs w:val="16"/>
              </w:rPr>
              <w:t>100 mg por vía oral dos veces al día durante 14 días</w:t>
            </w:r>
          </w:p>
          <w:p w14:paraId="6DBB6E55" w14:textId="77777777" w:rsidR="00D03C17" w:rsidRDefault="00D03C17">
            <w:pPr>
              <w:pStyle w:val="Other0"/>
              <w:spacing w:line="283" w:lineRule="auto"/>
              <w:ind w:firstLine="140"/>
              <w:rPr>
                <w:sz w:val="16"/>
                <w:szCs w:val="16"/>
              </w:rPr>
            </w:pPr>
            <w:r>
              <w:rPr>
                <w:rFonts w:ascii="Times New Roman" w:eastAsia="Times New Roman" w:hAnsi="Times New Roman" w:cs="Times New Roman"/>
                <w:b/>
                <w:bCs/>
                <w:sz w:val="16"/>
                <w:szCs w:val="16"/>
              </w:rPr>
              <w:t>CON O SIN</w:t>
            </w:r>
          </w:p>
          <w:p w14:paraId="4A849795" w14:textId="77777777" w:rsidR="00D03C17" w:rsidRDefault="00D03C17">
            <w:pPr>
              <w:pStyle w:val="Other0"/>
              <w:spacing w:line="283" w:lineRule="auto"/>
              <w:ind w:firstLine="140"/>
              <w:rPr>
                <w:sz w:val="16"/>
                <w:szCs w:val="16"/>
              </w:rPr>
            </w:pPr>
            <w:r>
              <w:rPr>
                <w:rFonts w:ascii="Times New Roman" w:eastAsia="Times New Roman" w:hAnsi="Times New Roman" w:cs="Times New Roman"/>
                <w:b/>
                <w:bCs/>
                <w:sz w:val="16"/>
                <w:szCs w:val="16"/>
              </w:rPr>
              <w:t xml:space="preserve">Metronidazol, </w:t>
            </w:r>
            <w:r>
              <w:rPr>
                <w:rFonts w:ascii="Times New Roman" w:eastAsia="Times New Roman" w:hAnsi="Times New Roman" w:cs="Times New Roman"/>
                <w:sz w:val="16"/>
                <w:szCs w:val="16"/>
              </w:rPr>
              <w:t>500 mg por vía oral dos veces al día durante 14 días</w:t>
            </w:r>
          </w:p>
        </w:tc>
      </w:tr>
    </w:tbl>
    <w:p w14:paraId="3EF4DB7D" w14:textId="77777777" w:rsidR="00D03C17" w:rsidRDefault="00D03C17">
      <w:pPr>
        <w:pStyle w:val="Tablecaption0"/>
        <w:ind w:left="10"/>
      </w:pPr>
      <w:r>
        <w:t>IV, intravenoso; IM, intramuscular.</w:t>
      </w:r>
    </w:p>
    <w:p w14:paraId="52952898" w14:textId="77777777" w:rsidR="00D03C17" w:rsidRDefault="00D03C17">
      <w:pPr>
        <w:pStyle w:val="Tablecaption0"/>
        <w:numPr>
          <w:ilvl w:val="0"/>
          <w:numId w:val="83"/>
        </w:numPr>
        <w:tabs>
          <w:tab w:val="left" w:pos="13"/>
        </w:tabs>
        <w:ind w:left="10"/>
      </w:pPr>
      <w:r>
        <w:t xml:space="preserve">En lo que toca a otros regímenes de tratamiento véase Centers for Disease Control and Prevention. Sexually transmitted diseases treatment guidelines-2002. </w:t>
      </w:r>
      <w:r>
        <w:rPr>
          <w:i/>
          <w:iCs/>
        </w:rPr>
        <w:t xml:space="preserve">MMWR Recomm Rep. </w:t>
      </w:r>
      <w:r>
        <w:t>2002;51 (RR-6):l-80</w:t>
      </w:r>
    </w:p>
    <w:p w14:paraId="3F43356C" w14:textId="77777777" w:rsidR="00D03C17" w:rsidRDefault="00D03C17">
      <w:pPr>
        <w:pStyle w:val="Tablecaption0"/>
        <w:numPr>
          <w:ilvl w:val="0"/>
          <w:numId w:val="83"/>
        </w:numPr>
        <w:tabs>
          <w:tab w:val="left" w:pos="173"/>
        </w:tabs>
        <w:ind w:left="0"/>
        <w:jc w:val="both"/>
      </w:pPr>
      <w:r>
        <w:t>Muchos expertos recomiendan hospitalizar a toda mujer con PID, en particular si es adolescente.</w:t>
      </w:r>
    </w:p>
    <w:p w14:paraId="106540C9" w14:textId="77777777" w:rsidR="00D03C17" w:rsidRDefault="00D03C17">
      <w:pPr>
        <w:pStyle w:val="Tablecaption0"/>
        <w:numPr>
          <w:ilvl w:val="0"/>
          <w:numId w:val="83"/>
        </w:numPr>
        <w:tabs>
          <w:tab w:val="left" w:pos="22"/>
        </w:tabs>
        <w:ind w:left="10"/>
      </w:pPr>
      <w:r>
        <w:t>Las mujeres que no han respondido adecuadamente a la terapia ambulatoria después de 72 h deben ser revaloradas ante la posibilidad de un diagnóstico erróneo, y recibirán terapìa parenteral.</w:t>
      </w:r>
    </w:p>
    <w:p w14:paraId="17731C9D" w14:textId="77777777" w:rsidR="00D03C17" w:rsidRDefault="00D03C17">
      <w:pPr>
        <w:pStyle w:val="Tablecaption0"/>
        <w:numPr>
          <w:ilvl w:val="0"/>
          <w:numId w:val="83"/>
        </w:numPr>
        <w:tabs>
          <w:tab w:val="left" w:pos="187"/>
        </w:tabs>
        <w:ind w:left="10"/>
      </w:pPr>
      <w:r>
        <w:t>Las fluoroquinolonas están contraindicadas en mujeres menores de 18 años, en embarazadas y en mujeres que amamantan (véase “Antimicrobianos y fármacos similares”, sección 4).</w:t>
      </w:r>
    </w:p>
    <w:p w14:paraId="361D725A" w14:textId="77777777" w:rsidR="00D03C17" w:rsidRDefault="00D03C17">
      <w:pPr>
        <w:pStyle w:val="Tablecaption0"/>
        <w:numPr>
          <w:ilvl w:val="0"/>
          <w:numId w:val="83"/>
        </w:numPr>
        <w:tabs>
          <w:tab w:val="left" w:pos="22"/>
        </w:tabs>
        <w:ind w:left="10"/>
      </w:pPr>
      <w:r>
        <w:t>Entre los regímenes parenterales alternativos están los que incluyen ofloxacina o levofloxacina y además metronidazol y la combinación de ampicÍlÍna-sulbactam sódico y doxiciclina.</w:t>
      </w:r>
    </w:p>
    <w:p w14:paraId="22B8ACD5" w14:textId="77777777" w:rsidR="00D03C17" w:rsidRDefault="00D03C17">
      <w:pPr>
        <w:pStyle w:val="Tablecaption0"/>
        <w:numPr>
          <w:ilvl w:val="0"/>
          <w:numId w:val="83"/>
        </w:numPr>
        <w:tabs>
          <w:tab w:val="left" w:pos="22"/>
        </w:tabs>
        <w:ind w:left="10"/>
        <w:sectPr w:rsidR="00D03C17" w:rsidSect="00D03C17">
          <w:headerReference w:type="even" r:id="rId171"/>
          <w:headerReference w:type="default" r:id="rId172"/>
          <w:footerReference w:type="even" r:id="rId173"/>
          <w:footerReference w:type="default" r:id="rId174"/>
          <w:footnotePr>
            <w:numFmt w:val="chicago"/>
          </w:footnotePr>
          <w:pgSz w:w="13022" w:h="8501" w:orient="landscape"/>
          <w:pgMar w:top="1080" w:right="989" w:bottom="189" w:left="672" w:header="652" w:footer="3" w:gutter="0"/>
          <w:pgNumType w:start="624"/>
          <w:cols w:space="720"/>
          <w:noEndnote/>
          <w:docGrid w:linePitch="360"/>
          <w15:footnoteColumns w:val="1"/>
        </w:sectPr>
      </w:pPr>
      <w:r>
        <w:t>Son escasos los datos para indicar si las cefalosporinas de espectro expandido (ceftìzoxìma, cefotaxima o ceftriaxona) pueden sustituir a la cefoxitina o al cefotetán. Muchas autoridades piensan que también son eficaces contra PID, pero que son menos activas contra anaerobios.</w:t>
      </w:r>
    </w:p>
    <w:p w14:paraId="21CB1B75" w14:textId="77777777" w:rsidR="00D03C17" w:rsidRDefault="00D03C17">
      <w:pPr>
        <w:pStyle w:val="BodyText"/>
        <w:ind w:firstLine="0"/>
      </w:pPr>
      <w:r>
        <w:t>trastorno de adolescentes y adultos jóvenes, pero también ataca niños prepúberes y lactantes. La levadura se transmite por contacto personal en periodos de exfoliación.</w:t>
      </w:r>
    </w:p>
    <w:p w14:paraId="07E91433" w14:textId="77777777" w:rsidR="00D03C17" w:rsidRDefault="00D03C17">
      <w:pPr>
        <w:pStyle w:val="BodyText"/>
        <w:ind w:firstLine="360"/>
      </w:pPr>
      <w:r>
        <w:t xml:space="preserve">Se desconoce el </w:t>
      </w:r>
      <w:r>
        <w:rPr>
          <w:b/>
          <w:bCs/>
        </w:rPr>
        <w:t>periodo de incubación</w:t>
      </w:r>
      <w:r>
        <w:t>.</w:t>
      </w:r>
    </w:p>
    <w:p w14:paraId="13B8A0F4" w14:textId="77777777" w:rsidR="00D03C17" w:rsidRDefault="00D03C17">
      <w:pPr>
        <w:pStyle w:val="BodyText"/>
        <w:ind w:firstLine="0"/>
      </w:pPr>
      <w:r>
        <w:rPr>
          <w:b/>
          <w:bCs/>
        </w:rPr>
        <w:t>D</w:t>
      </w:r>
      <w:r>
        <w:rPr>
          <w:b/>
          <w:bCs/>
          <w:sz w:val="13"/>
          <w:szCs w:val="13"/>
        </w:rPr>
        <w:t>IAGNÓSTICO</w:t>
      </w:r>
      <w:r>
        <w:rPr>
          <w:b/>
          <w:bCs/>
        </w:rPr>
        <w:t xml:space="preserve">: </w:t>
      </w:r>
      <w:r>
        <w:t xml:space="preserve">El aspecto clínico de las lesiones por lo común permite el diagnóstico. Las zonas afectadas muestran un color amarillo fluorescente cuando se les examina con luz de Wood. El examen microscópico de raspadura de la piel en una preparación húmeda con hidróxido de potasio o teñida con azul de metileno o tinción de May-Grünwald-Giemsa permiten identificar los cúmulos patognomónicos de células de levadura e hifas (“imagen de espagueti y albondiquetas”). La proliferación de la levadura en cultivo obliga a contar con un sustrato de ácidos grasos de cadena larga, lo cual se obtiene la colocar aceites de oliva sobre el medio de dextrosa-agar de Sabouraud. </w:t>
      </w:r>
      <w:r>
        <w:rPr>
          <w:b/>
          <w:bCs/>
        </w:rPr>
        <w:t>T</w:t>
      </w:r>
      <w:r>
        <w:rPr>
          <w:b/>
          <w:bCs/>
          <w:sz w:val="13"/>
          <w:szCs w:val="13"/>
        </w:rPr>
        <w:t>RATAMIENTO</w:t>
      </w:r>
      <w:r>
        <w:rPr>
          <w:b/>
          <w:bCs/>
        </w:rPr>
        <w:t xml:space="preserve">: </w:t>
      </w:r>
      <w:r>
        <w:t xml:space="preserve">El tratamiento tradicional más usado ha sido la aplicación de sulfuro de selenio en la forma de loción a 2.5% o champú a 1%. Los preparados mencionados se aplican en una capa fina que cubre la superficie corporal de la cara a las rodillas todos los días durante 30 min, durante una semana, a la que seguirán aplicaciones mensuales durante tres meses para evitar las recidivas. El champú de ketoconazol a 2% en una sola aplicación diaria durante uno a tres días también es otro método eficaz. Otros preparados tópicos con eficacia terapéutica incluyen el hiposulfito o el tiosulfato de sodio en concentraciones de 15 a 25% (como sería la loción Tinver) aplicada dos veces al día durante dos a cuatro semanas. Los pequeños focos de infección pueden ser tratados con antimicóticos tópicos como ciclopirox olamina, clotrimazol, nitrato de econazol, haloprogin, ketoconazol, nitrato de miconazol o clorhidrato de naftifina (véase “Productos tópicos contra micosis superficiales”, sección 4). </w:t>
      </w:r>
      <w:r>
        <w:rPr>
          <w:rFonts w:ascii="Times New Roman" w:eastAsia="Times New Roman" w:hAnsi="Times New Roman" w:cs="Times New Roman"/>
          <w:i/>
          <w:iCs/>
          <w:sz w:val="16"/>
          <w:szCs w:val="16"/>
        </w:rPr>
        <w:t>M. furfur</w:t>
      </w:r>
      <w:r>
        <w:t xml:space="preserve"> es parte de la flora normal y por ello las recaídas son frecuentes. A veces se necesitan innumerables tratamientos tópicos.</w:t>
      </w:r>
    </w:p>
    <w:p w14:paraId="2D035B80" w14:textId="77777777" w:rsidR="00D03C17" w:rsidRDefault="00D03C17">
      <w:pPr>
        <w:pStyle w:val="BodyText"/>
        <w:spacing w:after="100" w:line="271" w:lineRule="auto"/>
        <w:ind w:firstLine="360"/>
      </w:pPr>
      <w:r>
        <w:t xml:space="preserve">El uso de antimicóticos ingeribles conlleva algunas ventajas en relación con los tratamientos tópicos, que incluyen facilidad de administración y duración más breve de la terapia, pero los productos orales son más caros y se acompañan de un mayor peligro de reacciones adversas. En adultos ha sido eficaz una sola dosis de ketoconazol (400 mg ingeridos) o fluconazol (400 mg ingeridos) o un ciclo de 200 mg de itraconazol ingeridos, una vez al día durante cinco días. Algunos expertos recomiendan que los niños reciban ketoconazol durante tres días y no una sola dosis que se da a los adultos. En el caso de las recomendaciones posológicas para niños respecto a ketoconazol, fluconazol e itraconazol consúltese: “Dosis recomendadas de antimicóticos parenterales e ingeribles”, sección 4. Los fármacos en cuestión no han sido estudiados ampliamente en niños en esta enfermedad y no han recibido la aprobación de la </w:t>
      </w:r>
      <w:r>
        <w:rPr>
          <w:rFonts w:ascii="Times New Roman" w:eastAsia="Times New Roman" w:hAnsi="Times New Roman" w:cs="Times New Roman"/>
          <w:i/>
          <w:iCs/>
          <w:sz w:val="16"/>
          <w:szCs w:val="16"/>
        </w:rPr>
        <w:t>Food and Drug Administration</w:t>
      </w:r>
      <w:r>
        <w:t xml:space="preserve"> para tal indicación. El ejercicio para incrementar la sudación y las concentraciones del medicamento en la piel pueden mejorar la eficacia de la terapia sistémica. Hay que notificar a los pacientes que a veces la reaparición de la pigmentación se demora varios meses después de haber terminado el tratamiento satisfactorio. </w:t>
      </w:r>
      <w:r>
        <w:rPr>
          <w:b/>
          <w:bCs/>
        </w:rPr>
        <w:t>A</w:t>
      </w:r>
      <w:r>
        <w:rPr>
          <w:b/>
          <w:bCs/>
          <w:sz w:val="13"/>
          <w:szCs w:val="13"/>
        </w:rPr>
        <w:t xml:space="preserve">ISLAMIENTO </w:t>
      </w:r>
      <w:r>
        <w:rPr>
          <w:b/>
          <w:bCs/>
          <w:smallCaps/>
          <w:sz w:val="16"/>
          <w:szCs w:val="16"/>
        </w:rPr>
        <w:t>del</w:t>
      </w:r>
      <w:r>
        <w:rPr>
          <w:b/>
          <w:bCs/>
          <w:sz w:val="13"/>
          <w:szCs w:val="13"/>
        </w:rPr>
        <w:t xml:space="preserve"> PACIENTE HOSPITALIZADO</w:t>
      </w:r>
      <w:r>
        <w:rPr>
          <w:b/>
          <w:bCs/>
        </w:rPr>
        <w:t xml:space="preserve">: </w:t>
      </w:r>
      <w:r>
        <w:t xml:space="preserve">Se recomiendan precauciones estándar. </w:t>
      </w:r>
      <w:r>
        <w:rPr>
          <w:b/>
          <w:bCs/>
        </w:rPr>
        <w:t>M</w:t>
      </w:r>
      <w:r>
        <w:rPr>
          <w:b/>
          <w:bCs/>
          <w:sz w:val="13"/>
          <w:szCs w:val="13"/>
        </w:rPr>
        <w:t>EDIDAS PREVENTIVAS</w:t>
      </w:r>
      <w:r>
        <w:rPr>
          <w:b/>
          <w:bCs/>
        </w:rPr>
        <w:t xml:space="preserve">: </w:t>
      </w:r>
      <w:r>
        <w:t>Es necesario tratar a personas infectadas.</w:t>
      </w:r>
    </w:p>
    <w:p w14:paraId="74DA1371" w14:textId="77777777" w:rsidR="00D03C17" w:rsidRDefault="00D03C17">
      <w:pPr>
        <w:pStyle w:val="Bodytext70"/>
        <w:spacing w:after="0"/>
      </w:pPr>
      <w:r>
        <w:t>Tos ferina</w:t>
      </w:r>
    </w:p>
    <w:p w14:paraId="6D28BD00" w14:textId="77777777" w:rsidR="00D03C17" w:rsidRDefault="00D03C17">
      <w:pPr>
        <w:pStyle w:val="Other0"/>
        <w:spacing w:line="252" w:lineRule="auto"/>
        <w:ind w:firstLine="0"/>
        <w:rPr>
          <w:sz w:val="20"/>
          <w:szCs w:val="20"/>
        </w:rPr>
      </w:pPr>
      <w:r>
        <w:rPr>
          <w:rFonts w:ascii="Arial" w:eastAsia="Arial" w:hAnsi="Arial" w:cs="Arial"/>
          <w:b/>
          <w:bCs/>
          <w:w w:val="70"/>
          <w:sz w:val="20"/>
          <w:szCs w:val="20"/>
        </w:rPr>
        <w:t>(Pertusis)</w:t>
      </w:r>
    </w:p>
    <w:p w14:paraId="4EE79904" w14:textId="77777777" w:rsidR="00D03C17" w:rsidRDefault="00D03C17">
      <w:pPr>
        <w:pStyle w:val="BodyText"/>
        <w:ind w:firstLine="0"/>
      </w:pPr>
      <w:r>
        <w:rPr>
          <w:b/>
          <w:bCs/>
        </w:rPr>
        <w:t>M</w:t>
      </w:r>
      <w:r>
        <w:rPr>
          <w:b/>
          <w:bCs/>
          <w:sz w:val="13"/>
          <w:szCs w:val="13"/>
        </w:rPr>
        <w:t>ANIFESTACIONES CLÍNICAS</w:t>
      </w:r>
      <w:r>
        <w:rPr>
          <w:b/>
          <w:bCs/>
        </w:rPr>
        <w:t xml:space="preserve">: </w:t>
      </w:r>
      <w:r>
        <w:t>La tos ferina comienza con síntomas leves de la porción superior de vías respiratorias (fase catarral) para seguir con tos que suele ser paroxística (fase paroxística), a menudo con el característico estridor inspiratorio y seguida de vómitos. No hay fiebre o es mínima. Los síntomas disminuyen poco a poco en el curso de semanas a meses (fase de convalecencia). La enfermedad en niños menores de seis meses puede ser atípica; la apnea es una manifestación común y casi nunca hay estridor. En forma semejante, los niños de mayor edad y adultos pueden tener manifestaciones atípicas, con tos duradera que tenga paroxismos y sin estridor. La duración del clásico cuadro de tos ferina es de seis a 10 semanas. Entre las complicaciones están convulsiones, neumonía, encefalopatía y muerte. El trastorno es más grave si ataca a niños menores de seis meses de vida, en particular los pretérmino y que no han sido vacunados. Con base en los casos notificados a los departamentos sanitarios locales y estatales (1990 a 1999) aparecieron neumonía, convulsiones y encefalopatía en 22, 2 y menos de 0.5%, respectivamente, de niños menores de 12 meses con tos ferina. La tasa de letalidad fue cercana a 1% en quienes tenían menos de dos meses de vida y menos de 0.5% en los pequeños de dos a 11 meses de edad. Sin embargo, dado que casi todos los niños señalados con tos ferina estaban hospitalizados, es posible que las cifras de complicaciones representen sólo los casos más graves.</w:t>
      </w:r>
    </w:p>
    <w:p w14:paraId="25E61D93" w14:textId="77777777" w:rsidR="00D03C17" w:rsidRDefault="00D03C17">
      <w:pPr>
        <w:pStyle w:val="BodyText"/>
        <w:spacing w:line="290" w:lineRule="auto"/>
        <w:ind w:firstLine="0"/>
      </w:pPr>
      <w:r>
        <w:rPr>
          <w:b/>
          <w:bCs/>
        </w:rPr>
        <w:t>C</w:t>
      </w:r>
      <w:r>
        <w:rPr>
          <w:b/>
          <w:bCs/>
          <w:sz w:val="13"/>
          <w:szCs w:val="13"/>
        </w:rPr>
        <w:t>AUSAS</w:t>
      </w:r>
      <w:r>
        <w:rPr>
          <w:b/>
          <w:bCs/>
        </w:rPr>
        <w:t xml:space="preserve">: </w:t>
      </w:r>
      <w:r>
        <w:rPr>
          <w:rFonts w:ascii="Times New Roman" w:eastAsia="Times New Roman" w:hAnsi="Times New Roman" w:cs="Times New Roman"/>
          <w:i/>
          <w:iCs/>
          <w:sz w:val="16"/>
          <w:szCs w:val="16"/>
        </w:rPr>
        <w:t>Bordetella pertussis</w:t>
      </w:r>
      <w:r>
        <w:t xml:space="preserve"> es un bacilo pleomórfico gramnegativo trofoespecífico. Otros agentes infecciosos que pueden originar un cuadro de tos similar son </w:t>
      </w:r>
      <w:r>
        <w:rPr>
          <w:rFonts w:ascii="Times New Roman" w:eastAsia="Times New Roman" w:hAnsi="Times New Roman" w:cs="Times New Roman"/>
          <w:i/>
          <w:iCs/>
          <w:sz w:val="16"/>
          <w:szCs w:val="16"/>
        </w:rPr>
        <w:t>Bordetella parapertussis, Mycoplasma pneumoniae, Chlamydia trachomatis, Chlamydia pneumoniae. Bordetella bronchiseptica</w:t>
      </w:r>
      <w:r>
        <w:t xml:space="preserve"> y algunos adenovirus.</w:t>
      </w:r>
    </w:p>
    <w:p w14:paraId="08095231" w14:textId="77777777" w:rsidR="00D03C17" w:rsidRDefault="00D03C17">
      <w:pPr>
        <w:pStyle w:val="BodyText"/>
        <w:ind w:firstLine="0"/>
      </w:pPr>
      <w:r>
        <w:rPr>
          <w:b/>
          <w:bCs/>
        </w:rPr>
        <w:t>A</w:t>
      </w:r>
      <w:r>
        <w:rPr>
          <w:b/>
          <w:bCs/>
          <w:sz w:val="13"/>
          <w:szCs w:val="13"/>
        </w:rPr>
        <w:t>SPECTOS EPIDEMIOLÓGICOS</w:t>
      </w:r>
      <w:r>
        <w:rPr>
          <w:b/>
          <w:bCs/>
        </w:rPr>
        <w:t xml:space="preserve">: </w:t>
      </w:r>
      <w:r>
        <w:t xml:space="preserve">Los seres humanos son los únicos hospedadores sabidos de </w:t>
      </w:r>
      <w:r>
        <w:rPr>
          <w:rFonts w:ascii="Times New Roman" w:eastAsia="Times New Roman" w:hAnsi="Times New Roman" w:cs="Times New Roman"/>
          <w:i/>
          <w:iCs/>
          <w:sz w:val="16"/>
          <w:szCs w:val="16"/>
        </w:rPr>
        <w:t>B. pertussis</w:t>
      </w:r>
      <w:r>
        <w:t xml:space="preserve">. La transmisión se hace por contacto muy cercano con gotículas en aerosol emitidas por los enfermos. La tos ferina surge en forma endémica, en ciclos de tres a cinco años de enfermedad más intensa. Adquieren el trastorno incluso 80% de contactos no vacunados del círculo familiar. Una fuente importante de contagio de niños de corta edad y lactantes son los hermanos de mayor edad (incluso los adolescentes) y los adultos, y pudieran tener sólo enfermedad leve o atípica. Los pacientes presentan la fase de mayor contagiosidad en la fase catarral y en las primeras dos semanas después del comienzo de la tos. Los factores que modifican la duración de la transmisibilidad incluyen edad, estado vacunal o episodio previo de tos ferina y terapia antimicrobiana apropiada. Por ejemplo, un lactante de corta edad no vacunado ni tratado puede ser infectante seis semanas o más después del comienzo de la tos; un adolescente vacunado pero no tratado puede ser infectante sólo dos semanas después de comenzar la tos. La administración de eritromicina disminuye la infecciosidad y frena la propagación. En los cultivos de material nasofaríngeo por lo común no se detecta </w:t>
      </w:r>
      <w:r>
        <w:rPr>
          <w:rFonts w:ascii="Times New Roman" w:eastAsia="Times New Roman" w:hAnsi="Times New Roman" w:cs="Times New Roman"/>
          <w:i/>
          <w:iCs/>
          <w:sz w:val="16"/>
          <w:szCs w:val="16"/>
        </w:rPr>
        <w:t>B. pertussis</w:t>
      </w:r>
      <w:r>
        <w:t xml:space="preserve"> en término de cinco días de haber emprendido el tratamiento.</w:t>
      </w:r>
    </w:p>
    <w:p w14:paraId="68A2E7B5" w14:textId="77777777" w:rsidR="00D03C17" w:rsidRDefault="00D03C17">
      <w:pPr>
        <w:pStyle w:val="BodyText"/>
        <w:ind w:firstLine="380"/>
      </w:pPr>
      <w:r>
        <w:t xml:space="preserve">El </w:t>
      </w:r>
      <w:r>
        <w:rPr>
          <w:b/>
          <w:bCs/>
        </w:rPr>
        <w:t xml:space="preserve">periodo de incubación </w:t>
      </w:r>
      <w:r>
        <w:t xml:space="preserve">va de seis a 21 días, por lo común siete a 10 días. </w:t>
      </w:r>
      <w:r>
        <w:rPr>
          <w:b/>
          <w:bCs/>
        </w:rPr>
        <w:t>M</w:t>
      </w:r>
      <w:r>
        <w:rPr>
          <w:b/>
          <w:bCs/>
          <w:sz w:val="13"/>
          <w:szCs w:val="13"/>
        </w:rPr>
        <w:t>ÉTODOS DIAGNÓSTICOS</w:t>
      </w:r>
      <w:r>
        <w:rPr>
          <w:b/>
          <w:bCs/>
        </w:rPr>
        <w:t xml:space="preserve">: </w:t>
      </w:r>
      <w:r>
        <w:t xml:space="preserve">Para el cultivo de </w:t>
      </w:r>
      <w:r>
        <w:rPr>
          <w:rFonts w:ascii="Times New Roman" w:eastAsia="Times New Roman" w:hAnsi="Times New Roman" w:cs="Times New Roman"/>
          <w:i/>
          <w:iCs/>
          <w:sz w:val="16"/>
          <w:szCs w:val="16"/>
        </w:rPr>
        <w:t>B. pertussis</w:t>
      </w:r>
      <w:r>
        <w:t xml:space="preserve"> se necesita inoculación de una muestra de secreciones nasofaríngeas obtenidas por aspiración o con un aplicador de Dacron (treftalato de polietileno) o alginato cálcico, o medios especiales (como Regan- Lowe o Bordet-Gengou fresco) con un periodo de incubación de 10 a 14 días. Es posible que no siempre se cuente con los medios mencionados, por lo que habrá que indicar al personal de laboratorio la sospecha de </w:t>
      </w:r>
      <w:r>
        <w:rPr>
          <w:rFonts w:ascii="Times New Roman" w:eastAsia="Times New Roman" w:hAnsi="Times New Roman" w:cs="Times New Roman"/>
          <w:i/>
          <w:iCs/>
          <w:sz w:val="16"/>
          <w:szCs w:val="16"/>
        </w:rPr>
        <w:t>B. pertussis</w:t>
      </w:r>
      <w:r>
        <w:t xml:space="preserve">. Las muestras deben inocularse en medio de transporte especiales (Regan-Lowe) y ser transportadas inmediatamente al laboratorio; para lograr la máxima confirmación diagnóstica, la placa de agar debe ser inoculada en forma directa junto al enfermo. Son comunes los resultados negativos incluso en la fase temprana de la enfermedad porque el microorganismo es trofoespecífico y los cultivos por lo común no arrojan resultados positivos después de la cuarta semana de enfermedad, si se vacunó previamente al enfermo o si el paciente recibió antimicrobianos. La prueba de inmunofluorescencia directa </w:t>
      </w:r>
      <w:r>
        <w:rPr>
          <w:i/>
          <w:iCs/>
        </w:rPr>
        <w:t>(</w:t>
      </w:r>
      <w:r>
        <w:rPr>
          <w:rFonts w:ascii="Times New Roman" w:eastAsia="Times New Roman" w:hAnsi="Times New Roman" w:cs="Times New Roman"/>
          <w:i/>
          <w:iCs/>
          <w:sz w:val="16"/>
          <w:szCs w:val="16"/>
        </w:rPr>
        <w:t>direct immunofluorescence</w:t>
      </w:r>
      <w:r>
        <w:rPr>
          <w:i/>
          <w:iCs/>
        </w:rPr>
        <w:t>,</w:t>
      </w:r>
      <w:r>
        <w:t xml:space="preserve"> DFA) de secreciones nasofaríngeas tiene sensibilidad variable y poca especificidad; se necesita personal experto para su interpretación y no constituye un criterio fiable para la confirmación del diagnóstico por medios de laboratorio. Se sabe que surgen resultados positivos y negativos falsos con la técnica de inmunofluorescencia directa, y por esa razón se procurará que la confirmación de todos los casos sospechados se haga por cultivo. Si se tiene la certeza, con los métodos de amplificación de DNA, como la reacción en cadena de polimerasa hecha en muestras nasofaríngeas y en cultivos, se puede obtener un medio sensible y rápido para el diagnóstico de infección por </w:t>
      </w:r>
      <w:r>
        <w:rPr>
          <w:rFonts w:ascii="Times New Roman" w:eastAsia="Times New Roman" w:hAnsi="Times New Roman" w:cs="Times New Roman"/>
          <w:i/>
          <w:iCs/>
          <w:sz w:val="16"/>
          <w:szCs w:val="16"/>
        </w:rPr>
        <w:t>B. pertussis</w:t>
      </w:r>
      <w:r>
        <w:t xml:space="preserve"> y </w:t>
      </w:r>
      <w:r>
        <w:rPr>
          <w:rFonts w:ascii="Times New Roman" w:eastAsia="Times New Roman" w:hAnsi="Times New Roman" w:cs="Times New Roman"/>
          <w:i/>
          <w:iCs/>
          <w:sz w:val="16"/>
          <w:szCs w:val="16"/>
        </w:rPr>
        <w:t>B. parapertussis</w:t>
      </w:r>
      <w:r>
        <w:t xml:space="preserve"> en tanto llegan los resultados de los cultivos; sin embargo, no se les practica de manera generalizada.</w:t>
      </w:r>
    </w:p>
    <w:p w14:paraId="4C9FF6A6" w14:textId="77777777" w:rsidR="00D03C17" w:rsidRDefault="00D03C17">
      <w:pPr>
        <w:pStyle w:val="BodyText"/>
        <w:ind w:firstLine="360"/>
      </w:pPr>
      <w:r>
        <w:t xml:space="preserve">Ningún método serológico aislado corrobora que el trastorno sea tos ferina. Las infecciones por </w:t>
      </w:r>
      <w:r>
        <w:rPr>
          <w:rFonts w:ascii="Times New Roman" w:eastAsia="Times New Roman" w:hAnsi="Times New Roman" w:cs="Times New Roman"/>
          <w:i/>
          <w:iCs/>
          <w:sz w:val="16"/>
          <w:szCs w:val="16"/>
        </w:rPr>
        <w:t>Bordetella pertussis</w:t>
      </w:r>
      <w:r>
        <w:t xml:space="preserve"> estimulan una respuesta de anticuerpos heterogéneos que difiere de una persona a otra, según la edad y la exposición habida al microorganismo o a sus antígenos, por la inmunización. En laboratorios de investigación el diagnóstico serológico de la tos ferina posee sensibilidad y especificidad satisfactorias cuando se obtuvo la muestra de suero de fase aguda en los comienzos de la enfermedad y se sometió a prueba y comparó con otra muestra igual obtenida en la convalecencia. Se cuenta con técnicas para medir anticuerpos de inmunoglobulina G (IgG) contra la toxina de la enfermedad y otros antígenos menos específicos. Sin embargo, los resultados deben ser interpretados con cautela, porque no están estandarizados, y a menudo no corroborados ni aprobados por la </w:t>
      </w:r>
      <w:r>
        <w:rPr>
          <w:rFonts w:ascii="Times New Roman" w:eastAsia="Times New Roman" w:hAnsi="Times New Roman" w:cs="Times New Roman"/>
          <w:i/>
          <w:iCs/>
          <w:sz w:val="16"/>
          <w:szCs w:val="16"/>
        </w:rPr>
        <w:t>Food and Drug Administration (FDA)</w:t>
      </w:r>
      <w:r>
        <w:rPr>
          <w:i/>
          <w:iCs/>
        </w:rPr>
        <w:t>.</w:t>
      </w:r>
    </w:p>
    <w:p w14:paraId="2FC62DB9" w14:textId="77777777" w:rsidR="00D03C17" w:rsidRDefault="00D03C17">
      <w:pPr>
        <w:pStyle w:val="BodyText"/>
        <w:ind w:firstLine="360"/>
      </w:pPr>
      <w:r>
        <w:t xml:space="preserve">En niños con infección por </w:t>
      </w:r>
      <w:r>
        <w:rPr>
          <w:rFonts w:ascii="Times New Roman" w:eastAsia="Times New Roman" w:hAnsi="Times New Roman" w:cs="Times New Roman"/>
          <w:i/>
          <w:iCs/>
          <w:sz w:val="16"/>
          <w:szCs w:val="16"/>
        </w:rPr>
        <w:t>B. pertussis</w:t>
      </w:r>
      <w:r>
        <w:t xml:space="preserve"> pero no por </w:t>
      </w:r>
      <w:r>
        <w:rPr>
          <w:rFonts w:ascii="Times New Roman" w:eastAsia="Times New Roman" w:hAnsi="Times New Roman" w:cs="Times New Roman"/>
          <w:i/>
          <w:iCs/>
          <w:sz w:val="16"/>
          <w:szCs w:val="16"/>
        </w:rPr>
        <w:t>B. parapertussis</w:t>
      </w:r>
      <w:r>
        <w:t xml:space="preserve"> se advierte frecuentemente leucocitosis con linfocitosis absoluta, en particular en lactantes y pacientes no vacunados. La magnitud del incremento leucocítico y de la linfocitosis suele corresponder a la intensidad de la tos.</w:t>
      </w:r>
    </w:p>
    <w:p w14:paraId="60D4EFDE" w14:textId="77777777" w:rsidR="00D03C17" w:rsidRDefault="00D03C17">
      <w:pPr>
        <w:pStyle w:val="BodyText"/>
        <w:ind w:firstLine="360"/>
      </w:pPr>
      <w:r>
        <w:t>Es posible que no se logre confirmar el diagnóstico de tos ferina por métodos de laboratorio, por lo que los médicos suelen hacer el diagnóstico con base en las características clínicas como apnea (en lactantes), tos duradera, estridor inspiratorio, vómito o cianosis después del acceso de tos y linfocitosis.</w:t>
      </w:r>
    </w:p>
    <w:p w14:paraId="6402F36F" w14:textId="77777777" w:rsidR="00D03C17" w:rsidRDefault="00D03C17">
      <w:pPr>
        <w:pStyle w:val="Other0"/>
        <w:spacing w:line="257" w:lineRule="auto"/>
        <w:ind w:firstLine="0"/>
        <w:rPr>
          <w:sz w:val="20"/>
          <w:szCs w:val="20"/>
        </w:rPr>
      </w:pPr>
      <w:r>
        <w:rPr>
          <w:b/>
          <w:bCs/>
          <w:smallCaps/>
          <w:sz w:val="20"/>
          <w:szCs w:val="20"/>
        </w:rPr>
        <w:t>T</w:t>
      </w:r>
      <w:r>
        <w:rPr>
          <w:b/>
          <w:bCs/>
          <w:smallCaps/>
          <w:sz w:val="16"/>
          <w:szCs w:val="16"/>
        </w:rPr>
        <w:t>ratamiento</w:t>
      </w:r>
      <w:r>
        <w:rPr>
          <w:b/>
          <w:bCs/>
          <w:smallCaps/>
          <w:sz w:val="20"/>
          <w:szCs w:val="20"/>
        </w:rPr>
        <w:t>:</w:t>
      </w:r>
    </w:p>
    <w:p w14:paraId="6041D6B8" w14:textId="77777777" w:rsidR="00D03C17" w:rsidRDefault="00D03C17">
      <w:pPr>
        <w:pStyle w:val="BodyText"/>
        <w:numPr>
          <w:ilvl w:val="0"/>
          <w:numId w:val="82"/>
        </w:numPr>
        <w:tabs>
          <w:tab w:val="left" w:pos="341"/>
        </w:tabs>
        <w:ind w:left="360" w:hanging="360"/>
      </w:pPr>
      <w:bookmarkStart w:id="91" w:name="bookmark1117"/>
      <w:bookmarkEnd w:id="91"/>
      <w:r>
        <w:t>Los niños menores de seis meses de vida y otros pacientes con ataque grave por lo común necesitan hospitalización para recibir medidas de apoyo y corregir la apnea, la hipoxia, los problemas de la alimentación y otras complicaciones. Es necesario internarlos en unidades de cuidados intensivos.</w:t>
      </w:r>
    </w:p>
    <w:p w14:paraId="58D7322D" w14:textId="77777777" w:rsidR="00D03C17" w:rsidRDefault="00D03C17">
      <w:pPr>
        <w:pStyle w:val="BodyText"/>
        <w:numPr>
          <w:ilvl w:val="0"/>
          <w:numId w:val="82"/>
        </w:numPr>
        <w:tabs>
          <w:tab w:val="left" w:pos="341"/>
        </w:tabs>
        <w:ind w:left="360" w:hanging="360"/>
      </w:pPr>
      <w:bookmarkStart w:id="92" w:name="bookmark1118"/>
      <w:bookmarkEnd w:id="92"/>
      <w:r>
        <w:t>Los antimicrobianos administrados en la fase catarral pueden aplacar la enfermedad. Sin embargo, una vez que surge la tos, dichos fármacos no tienen efecto discernible alguno en la evolución del trastorno, pero se recomienda su uso para frenar la propagación de los gérmenes a otras personas. El medicamento más indicado es el estolato de eritromicina (40 a 50 mg/kg de peso al día, ingerido en cuatro fracciones; dosis máxima, 2 g/día). La duración recomendada del tratamiento para evitar la recaída bacteriológica es de 14 días. Algunos estudios han corroborado que los macrólidos nuevos como la azitromicina dihidratada (10 a</w:t>
      </w:r>
    </w:p>
    <w:p w14:paraId="52ACC050" w14:textId="77777777" w:rsidR="00D03C17" w:rsidRDefault="00D03C17">
      <w:pPr>
        <w:pStyle w:val="BodyText"/>
        <w:ind w:left="360" w:firstLine="0"/>
        <w:rPr>
          <w:sz w:val="16"/>
          <w:szCs w:val="16"/>
        </w:rPr>
      </w:pPr>
      <w:r>
        <w:t xml:space="preserve">12 mg/kg al día, por vía oral en una dosis durante cinco días; dosis máxima, 600 mg/día) o la claritromicina (15 a 20 mg/kg al día, por vía oral en dos fracciones; dosis máxima 1 g/día durante siete días) puede tener la misma eficacia que la eritromicina, menos efectos adversos y mejor cumplimiento de las órdenes terapéuticas. En contadas ocasiones se ha señalado resistencia a la eritromicina (y a otros antimicrobianos macrólidos), por parte de </w:t>
      </w:r>
      <w:r>
        <w:rPr>
          <w:rFonts w:ascii="Times New Roman" w:eastAsia="Times New Roman" w:hAnsi="Times New Roman" w:cs="Times New Roman"/>
          <w:i/>
          <w:iCs/>
          <w:sz w:val="16"/>
          <w:szCs w:val="16"/>
        </w:rPr>
        <w:t>B. pertussis</w:t>
      </w:r>
      <w:r>
        <w:rPr>
          <w:i/>
          <w:iCs/>
        </w:rPr>
        <w:t>.</w:t>
      </w:r>
      <w:r>
        <w:t xml:space="preserve"> Las penicilinas y las cefalosporinas de la primera y la segunda generaciones no son eficaces contra </w:t>
      </w:r>
      <w:r>
        <w:rPr>
          <w:rFonts w:ascii="Times New Roman" w:eastAsia="Times New Roman" w:hAnsi="Times New Roman" w:cs="Times New Roman"/>
          <w:i/>
          <w:iCs/>
          <w:sz w:val="16"/>
          <w:szCs w:val="16"/>
        </w:rPr>
        <w:t>B. pertussis.</w:t>
      </w:r>
    </w:p>
    <w:p w14:paraId="485AA058" w14:textId="77777777" w:rsidR="00D03C17" w:rsidRDefault="00D03C17">
      <w:pPr>
        <w:pStyle w:val="BodyText"/>
        <w:numPr>
          <w:ilvl w:val="0"/>
          <w:numId w:val="82"/>
        </w:numPr>
        <w:tabs>
          <w:tab w:val="left" w:pos="341"/>
        </w:tabs>
        <w:ind w:left="340" w:hanging="340"/>
      </w:pPr>
      <w:bookmarkStart w:id="93" w:name="bookmark1119"/>
      <w:bookmarkEnd w:id="93"/>
      <w:r>
        <w:t xml:space="preserve">Se ha señalado en niños menores de dos semanas de vida una relación entre la eritromicina ingerible y la estenosis pilórica hipertrófica infantil </w:t>
      </w:r>
      <w:r>
        <w:rPr>
          <w:i/>
          <w:iCs/>
        </w:rPr>
        <w:t>(</w:t>
      </w:r>
      <w:r>
        <w:rPr>
          <w:rFonts w:ascii="Times New Roman" w:eastAsia="Times New Roman" w:hAnsi="Times New Roman" w:cs="Times New Roman"/>
          <w:i/>
          <w:iCs/>
          <w:sz w:val="16"/>
          <w:szCs w:val="16"/>
        </w:rPr>
        <w:t>infantile hypertrophic pyloric stenosis</w:t>
      </w:r>
      <w:r>
        <w:rPr>
          <w:i/>
          <w:iCs/>
        </w:rPr>
        <w:t>,</w:t>
      </w:r>
      <w:r>
        <w:t xml:space="preserve"> IHPS). Se desconoce el peligro de que surja tal complicación después de administrar otros macrólidos (como azitromicina y claritromicina). La tos ferina puede ser letal en neonatos y no se han estudiado otras terapias alternativas; por ambas razones, la </w:t>
      </w:r>
      <w:r>
        <w:rPr>
          <w:rFonts w:ascii="Times New Roman" w:eastAsia="Times New Roman" w:hAnsi="Times New Roman" w:cs="Times New Roman"/>
          <w:i/>
          <w:iCs/>
          <w:sz w:val="16"/>
          <w:szCs w:val="16"/>
        </w:rPr>
        <w:t xml:space="preserve">American Academy of Pediatrics </w:t>
      </w:r>
      <w:r>
        <w:t xml:space="preserve">sigue recomendando el empleo de la eritromicina para profilaxia y tratamiento de la enfermedad causada por </w:t>
      </w:r>
      <w:r>
        <w:rPr>
          <w:rFonts w:ascii="Times New Roman" w:eastAsia="Times New Roman" w:hAnsi="Times New Roman" w:cs="Times New Roman"/>
          <w:i/>
          <w:iCs/>
          <w:sz w:val="16"/>
          <w:szCs w:val="16"/>
        </w:rPr>
        <w:t>B. pertussis</w:t>
      </w:r>
      <w:r>
        <w:t xml:space="preserve">. Los médicos que administran eritromicina a los neonatos deben señalar a los progenitores los posibles riesgos de que surja IHPS y algunos de sus signos. En Estados Unidos el facultativo debe notificar a </w:t>
      </w:r>
      <w:r>
        <w:rPr>
          <w:i/>
          <w:iCs/>
          <w:smallCaps/>
        </w:rPr>
        <w:t>MedWatch</w:t>
      </w:r>
      <w:r>
        <w:t xml:space="preserve"> (véase </w:t>
      </w:r>
      <w:r>
        <w:rPr>
          <w:i/>
          <w:iCs/>
          <w:smallCaps/>
        </w:rPr>
        <w:t>“MedWatch”</w:t>
      </w:r>
      <w:r>
        <w:rPr>
          <w:i/>
          <w:iCs/>
          <w:smallCaps/>
          <w:sz w:val="18"/>
          <w:szCs w:val="18"/>
        </w:rPr>
        <w:t>,</w:t>
      </w:r>
      <w:r>
        <w:t xml:space="preserve"> sección 4) los casos de estenosis pilórica después del uso de eritromicina ingerible.</w:t>
      </w:r>
    </w:p>
    <w:p w14:paraId="57C61D4B" w14:textId="77777777" w:rsidR="00D03C17" w:rsidRDefault="00D03C17">
      <w:pPr>
        <w:pStyle w:val="BodyText"/>
        <w:numPr>
          <w:ilvl w:val="0"/>
          <w:numId w:val="82"/>
        </w:numPr>
        <w:tabs>
          <w:tab w:val="left" w:pos="341"/>
        </w:tabs>
        <w:ind w:left="340" w:hanging="340"/>
      </w:pPr>
      <w:bookmarkStart w:id="94" w:name="bookmark1120"/>
      <w:bookmarkEnd w:id="94"/>
      <w:r>
        <w:t>El trimetoprim-sulfametoxazol constituye una alternativa para niños que no toleran la eritromicina o que están infectados con una cepa resistente a ella. La dosis para menores es de 8 mg de trimetoprim/kg al día y 40 mg de sulfametoxazol/kg al día en dos fracciones.</w:t>
      </w:r>
    </w:p>
    <w:p w14:paraId="665EB177" w14:textId="77777777" w:rsidR="00D03C17" w:rsidRDefault="00D03C17">
      <w:pPr>
        <w:pStyle w:val="BodyText"/>
        <w:numPr>
          <w:ilvl w:val="0"/>
          <w:numId w:val="82"/>
        </w:numPr>
        <w:tabs>
          <w:tab w:val="left" w:pos="341"/>
        </w:tabs>
        <w:ind w:left="340" w:hanging="340"/>
      </w:pPr>
      <w:bookmarkStart w:id="95" w:name="bookmark1121"/>
      <w:bookmarkEnd w:id="95"/>
      <w:r>
        <w:t>El concentrado inmunoglobulínico específico de tos ferina es un producto en investigación que pudiera ser eficaz para aplacar los paroxismos de tos, pero se necesita mayor evaluación del producto. No se cuenta con datos de estudios prospectivos y comparativos de corticosteroides, albuterol y otros agentes adrenérgicos b2 en el tratamiento de la tos ferina.</w:t>
      </w:r>
    </w:p>
    <w:p w14:paraId="59CB1FA9" w14:textId="77777777" w:rsidR="00D03C17" w:rsidRDefault="00D03C17">
      <w:pPr>
        <w:pStyle w:val="BodyText"/>
        <w:ind w:firstLine="0"/>
      </w:pPr>
      <w:r>
        <w:rPr>
          <w:b/>
          <w:bCs/>
        </w:rPr>
        <w:t>A</w:t>
      </w:r>
      <w:r>
        <w:rPr>
          <w:b/>
          <w:bCs/>
          <w:sz w:val="13"/>
          <w:szCs w:val="13"/>
        </w:rPr>
        <w:t xml:space="preserve">ISLAMIENTO </w:t>
      </w:r>
      <w:r>
        <w:rPr>
          <w:b/>
          <w:bCs/>
          <w:smallCaps/>
          <w:sz w:val="16"/>
          <w:szCs w:val="16"/>
        </w:rPr>
        <w:t>del</w:t>
      </w:r>
      <w:r>
        <w:rPr>
          <w:b/>
          <w:bCs/>
          <w:sz w:val="13"/>
          <w:szCs w:val="13"/>
        </w:rPr>
        <w:t xml:space="preserve"> PACIENTE HOSPITALIZADO</w:t>
      </w:r>
      <w:r>
        <w:rPr>
          <w:b/>
          <w:bCs/>
        </w:rPr>
        <w:t xml:space="preserve">: </w:t>
      </w:r>
      <w:r>
        <w:t>Además de las precauciones estándar se recomienda seguir las precauciones para evitar la transmisión por gotículas durante cinco días después de haber comenzado el tratamiento eficaz o hasta tres semanas después del comienzo de los paroxismos, si no se han administrado antimicrobianos apropiados.</w:t>
      </w:r>
    </w:p>
    <w:p w14:paraId="608A72C8" w14:textId="77777777" w:rsidR="00D03C17" w:rsidRDefault="00D03C17">
      <w:pPr>
        <w:pStyle w:val="Other0"/>
        <w:spacing w:line="257" w:lineRule="auto"/>
        <w:ind w:firstLine="0"/>
        <w:rPr>
          <w:sz w:val="20"/>
          <w:szCs w:val="20"/>
        </w:rPr>
      </w:pPr>
      <w:r>
        <w:rPr>
          <w:b/>
          <w:bCs/>
          <w:smallCaps/>
          <w:sz w:val="20"/>
          <w:szCs w:val="20"/>
        </w:rPr>
        <w:t>M</w:t>
      </w:r>
      <w:r>
        <w:rPr>
          <w:b/>
          <w:bCs/>
          <w:smallCaps/>
          <w:sz w:val="16"/>
          <w:szCs w:val="16"/>
        </w:rPr>
        <w:t>edidas preventivas</w:t>
      </w:r>
      <w:r>
        <w:rPr>
          <w:b/>
          <w:bCs/>
          <w:smallCaps/>
          <w:sz w:val="20"/>
          <w:szCs w:val="20"/>
        </w:rPr>
        <w:t>:</w:t>
      </w:r>
    </w:p>
    <w:p w14:paraId="3A623B13" w14:textId="77777777" w:rsidR="00D03C17" w:rsidRDefault="00D03C17">
      <w:pPr>
        <w:pStyle w:val="Bodytext80"/>
        <w:spacing w:line="334" w:lineRule="auto"/>
        <w:rPr>
          <w:sz w:val="15"/>
          <w:szCs w:val="15"/>
        </w:rPr>
      </w:pPr>
      <w:r>
        <w:rPr>
          <w:b/>
          <w:bCs/>
          <w:i/>
          <w:iCs/>
          <w:sz w:val="15"/>
          <w:szCs w:val="15"/>
        </w:rPr>
        <w:t>Atención de personas expuestas</w:t>
      </w:r>
    </w:p>
    <w:p w14:paraId="65810844" w14:textId="77777777" w:rsidR="00D03C17" w:rsidRDefault="00D03C17">
      <w:pPr>
        <w:pStyle w:val="Bodytext20"/>
        <w:spacing w:line="314" w:lineRule="auto"/>
      </w:pPr>
      <w:r>
        <w:rPr>
          <w:b/>
          <w:bCs/>
          <w:i/>
          <w:iCs/>
        </w:rPr>
        <w:t>Contactos del círculo familiar y otros de tipo cercano</w:t>
      </w:r>
    </w:p>
    <w:p w14:paraId="2226F3AB" w14:textId="77777777" w:rsidR="00D03C17" w:rsidRDefault="00D03C17">
      <w:pPr>
        <w:pStyle w:val="BodyText"/>
        <w:ind w:firstLine="0"/>
      </w:pPr>
      <w:r>
        <w:rPr>
          <w:rFonts w:ascii="Times New Roman" w:eastAsia="Times New Roman" w:hAnsi="Times New Roman" w:cs="Times New Roman"/>
          <w:i/>
          <w:iCs/>
          <w:sz w:val="16"/>
          <w:szCs w:val="16"/>
        </w:rPr>
        <w:t>Vacunación.</w:t>
      </w:r>
      <w:r>
        <w:t xml:space="preserve"> Los contactos muy cercanos que tienen menos de siete años de vida, no vacunados o que han recibido menos de cuatro dosis de vacuna contra tos ferina (vacuna triple compuestas de toxoides diftérico y tetánico y pertusis acelular </w:t>
      </w:r>
      <w:r>
        <w:rPr>
          <w:i/>
          <w:iCs/>
        </w:rPr>
        <w:t>[</w:t>
      </w:r>
      <w:r>
        <w:rPr>
          <w:rFonts w:ascii="Times New Roman" w:eastAsia="Times New Roman" w:hAnsi="Times New Roman" w:cs="Times New Roman"/>
          <w:i/>
          <w:iCs/>
          <w:sz w:val="16"/>
          <w:szCs w:val="16"/>
        </w:rPr>
        <w:t>diphtheria and tetanus toxoids and acellular pertussis</w:t>
      </w:r>
      <w:r>
        <w:rPr>
          <w:i/>
          <w:iCs/>
        </w:rPr>
        <w:t>,</w:t>
      </w:r>
      <w:r>
        <w:t xml:space="preserve"> DTaP] o de toxoides mencionados y pertusis </w:t>
      </w:r>
      <w:r>
        <w:rPr>
          <w:i/>
          <w:iCs/>
        </w:rPr>
        <w:t>[</w:t>
      </w:r>
      <w:r>
        <w:rPr>
          <w:rFonts w:ascii="Times New Roman" w:eastAsia="Times New Roman" w:hAnsi="Times New Roman" w:cs="Times New Roman"/>
          <w:i/>
          <w:iCs/>
          <w:sz w:val="16"/>
          <w:szCs w:val="16"/>
        </w:rPr>
        <w:t>diphtheria, tetanus and pertussis</w:t>
      </w:r>
      <w:r>
        <w:rPr>
          <w:i/>
          <w:iCs/>
        </w:rPr>
        <w:t>,</w:t>
      </w:r>
      <w:r>
        <w:t xml:space="preserve"> DTP]) deben recibir la vacuna inicial contra la enfermedad o continuarla conforme al calendario recomendado. Los niños que recibieron la tercera dosis seis meses o más antes de la exposición deben recibir para esa fecha la cuarta dosis. Los menores que recibieron cuatro dosis de la vacuna contra tos ferina deben recibir una dosis de refuerzo de la vacuna triple salvo que se haya administrado alguna dosis en los tres años anteriores o que tengan siete años de vida o más.</w:t>
      </w:r>
    </w:p>
    <w:p w14:paraId="4B5EAE3A" w14:textId="77777777" w:rsidR="00D03C17" w:rsidRDefault="00D03C17">
      <w:pPr>
        <w:pStyle w:val="BodyText"/>
        <w:ind w:firstLine="360"/>
      </w:pPr>
      <w:r>
        <w:rPr>
          <w:rFonts w:ascii="Times New Roman" w:eastAsia="Times New Roman" w:hAnsi="Times New Roman" w:cs="Times New Roman"/>
          <w:i/>
          <w:iCs/>
          <w:sz w:val="16"/>
          <w:szCs w:val="16"/>
        </w:rPr>
        <w:t>Quimioprofilaxia</w:t>
      </w:r>
      <w:r>
        <w:t>. Para todos los contactos del círculo familiar y otros cercanos como los que están en unidades de atención pediátrica, sea cual sea la edad y el estado vacunal, se recomienda la administración de eritromicina (40 a 50 mg/kg al día, por vía oral en cuatro fracciones; dosis máxima, 2 g/día) durante 14 días. Algunos expertos recomiendan el estolato. En lo que toca al uso de eritromicina en niños menores de tres semanas de vida, véase “Tratamiento”, párrafos anteriores en este mismo resumen.</w:t>
      </w:r>
    </w:p>
    <w:p w14:paraId="0A4ECF60" w14:textId="77777777" w:rsidR="00D03C17" w:rsidRDefault="00D03C17">
      <w:pPr>
        <w:pStyle w:val="BodyText"/>
        <w:ind w:firstLine="0"/>
      </w:pPr>
      <w:r>
        <w:t>Otros fármacos a los que puede recurrirse en niños que no toleran la eritromicina son los nuevos macrólidos claritromicina y azitromicina. El uso inmediato de la quimioprofilaxia en contactos del núcleo familiar limita el contagio secundario. La base teórica para emprender la quimioprofilaxia en todos los contactos del círculo familiar y otros cercanos, sea cual sea su edad o estado vacunal, es que la inmunidad contra la tos ferina no es absoluta y la vacunación quizá no evite la infección. Las personas con la enfermedad leve que quizá no se identifique como tos ferina pueden transmitir la infección.</w:t>
      </w:r>
    </w:p>
    <w:p w14:paraId="0C76435C" w14:textId="77777777" w:rsidR="00D03C17" w:rsidRDefault="00D03C17">
      <w:pPr>
        <w:pStyle w:val="BodyText"/>
        <w:ind w:firstLine="360"/>
      </w:pPr>
      <w:r>
        <w:t>Las personas que han estado en contacto con un sujeto infectado deben ser vigilados con gran detenimiento en busca de síntomas de vías respiratorias durante 21 días después del último contacto con el sujeto infectado.</w:t>
      </w:r>
    </w:p>
    <w:p w14:paraId="3002DDB7" w14:textId="77777777" w:rsidR="00D03C17" w:rsidRDefault="00D03C17">
      <w:pPr>
        <w:pStyle w:val="BodyText"/>
        <w:spacing w:line="276" w:lineRule="auto"/>
        <w:ind w:firstLine="360"/>
      </w:pPr>
      <w:r>
        <w:rPr>
          <w:rFonts w:ascii="Times New Roman" w:eastAsia="Times New Roman" w:hAnsi="Times New Roman" w:cs="Times New Roman"/>
          <w:b/>
          <w:bCs/>
          <w:i/>
          <w:iCs/>
          <w:sz w:val="16"/>
          <w:szCs w:val="16"/>
        </w:rPr>
        <w:t>Unidades de atención para niños.</w:t>
      </w:r>
      <w:r>
        <w:t xml:space="preserve"> Es importante observar a todo niño expuesto, en particular los que han recibido vacunación incompleta, en busca de síntomas de vías respiratorias durante 21 días después de terminado el contacto. La vacunación y la quimioprofilaxia contra la tos ferina deben hacerse tal como se recomendó para los contactos del círculo familiar y otros cercanos. Los niños sintomáticos y los menores con tos ferina confirmada deben ser excluidos de la unidad de atención pediátrica mientras los valora el médico o se complete un ciclo de cinco días con eritromicina (u otro antimicrobiano recomendado), que deberá administrarse durante 14 días o hasta que hayan transcurrido 21 días del comienzo de la tos. Habrá que pensar en la quimioprofilaxia del personal adulto con contacto muy cercano o extenso. Los miembros del personal deben ser vigilados en busca de síntomas de vías respiratorias, y serán sometidos a cultivos en busca de B. pertussis en caso de surgir síntomas, y recibirán antimicrobianos si presentan tos en término de 21 días de la exposición (véase “Tratamiento”, párrafos anteriores en este mismo resumen).</w:t>
      </w:r>
    </w:p>
    <w:p w14:paraId="79007F48" w14:textId="77777777" w:rsidR="00D03C17" w:rsidRDefault="00D03C17">
      <w:pPr>
        <w:pStyle w:val="BodyText"/>
        <w:spacing w:line="271" w:lineRule="auto"/>
        <w:ind w:firstLine="360"/>
      </w:pPr>
      <w:r>
        <w:rPr>
          <w:rFonts w:ascii="Times New Roman" w:eastAsia="Times New Roman" w:hAnsi="Times New Roman" w:cs="Times New Roman"/>
          <w:b/>
          <w:bCs/>
          <w:i/>
          <w:iCs/>
          <w:sz w:val="16"/>
          <w:szCs w:val="16"/>
        </w:rPr>
        <w:t>Escuelas.</w:t>
      </w:r>
      <w:r>
        <w:t xml:space="preserve"> Es necesario excluir de la escuela a los estudiantes y a personas con tos ferina; si su estado clínico lo permite podrán retornar cinco días después de haber iniciado el ciclo de eritromicina y otra terapia recomendada (14 días). Las personas que no reciben antimicrobianos apropiados deben ser excluidos durante 21 días de la escuela después de haber comenzado los síntomas. No se han definido otras recomendaciones sanitarias para controlar el contagio de la enfermedad. Por lo regular no se ha recomendado la quimioprofilaxia a todos los miembros del colegio o del grupo escolar por el retraso en la identificación de los brotes y dificultades para llevar a cabo las medidas en cuestión. Es importante revisar el estado vacunal o de inmunización de los niños menores de siete años, y se aplicará la vacuna si así conviene, y también para todos los contactos del núcleo familiar y otros cercanos. La tos ferina debe ser incluida entre las entidades que se considerarán en el diagnóstico diferencial de personas con cuadros tusígenos que pudieran haber estado expuestas. Hay que notificar a padres y patrones sobre las posibles exposiciones a la tos ferina. También habrá que pensar en la exclusión de personas expuestas con cuadros tusígenos, mientras son valorados por el médico. Será necesario consultar con el departamento de sanidad local la práctica de estas medidas de erradicación y de otras más.</w:t>
      </w:r>
    </w:p>
    <w:p w14:paraId="231FEA24" w14:textId="77777777" w:rsidR="00D03C17" w:rsidRDefault="00D03C17">
      <w:pPr>
        <w:pStyle w:val="BodyText"/>
        <w:spacing w:line="276" w:lineRule="auto"/>
        <w:ind w:firstLine="360"/>
      </w:pPr>
      <w:r>
        <w:rPr>
          <w:rFonts w:ascii="Arial" w:eastAsia="Arial" w:hAnsi="Arial" w:cs="Arial"/>
          <w:b/>
          <w:bCs/>
          <w:i/>
          <w:iCs/>
          <w:sz w:val="15"/>
          <w:szCs w:val="15"/>
        </w:rPr>
        <w:t>Vacunación.</w:t>
      </w:r>
      <w:r>
        <w:t xml:space="preserve"> Se recomienda la inmunización universal con vacuna contra tos ferina en niños menores de siete años. Los tipos de estos preparados que se usan en Estados Unidos son la acelular en combinación con toxoides de difteria y tétanos. Las recomendaciones para utilizar la vacuna mencionada (DTaP o triple) son similares a las recomendaciones para utilizar DTP, que se sigue administrando a lactantes y niños en muchos países del planeta. Las vacunas acelulares están adsorbidas en sales de aluminio y deben aplicarse por vía intramuscular; dichas vacunas contienen uno o más inmunógenos derivados de</w:t>
      </w:r>
    </w:p>
    <w:p w14:paraId="1A6619A8" w14:textId="77777777" w:rsidR="00D03C17" w:rsidRDefault="00D03C17">
      <w:pPr>
        <w:pStyle w:val="BodyText"/>
        <w:ind w:firstLine="0"/>
      </w:pPr>
      <w:r>
        <w:rPr>
          <w:rFonts w:ascii="Times New Roman" w:eastAsia="Times New Roman" w:hAnsi="Times New Roman" w:cs="Times New Roman"/>
          <w:i/>
          <w:iCs/>
          <w:sz w:val="16"/>
          <w:szCs w:val="16"/>
        </w:rPr>
        <w:t>B. pertussis</w:t>
      </w:r>
      <w:r>
        <w:rPr>
          <w:i/>
          <w:iCs/>
        </w:rPr>
        <w:t>.</w:t>
      </w:r>
      <w:r>
        <w:t xml:space="preserve"> Los antígenos en cuestión incluyen toxina destoxicada de tos ferina (es decir, toxoide pertusis llamado también factor estimulante de linfocitosis); hemaglutinina filamentosa, proteínas de fimbrias o pelos (aglutinógenos) y pertactina (proteína de 69 kd de la membrana externa). En enero de 2003 se aprobó en Estados Unidos el uso de cuatro vacunas que contenían la fracción acelular de tos ferina (DTaP) y todas han sido aprobadas por la </w:t>
      </w:r>
      <w:r>
        <w:rPr>
          <w:rFonts w:ascii="Times New Roman" w:eastAsia="Times New Roman" w:hAnsi="Times New Roman" w:cs="Times New Roman"/>
          <w:i/>
          <w:iCs/>
          <w:sz w:val="16"/>
          <w:szCs w:val="16"/>
        </w:rPr>
        <w:t>Food and Drug Administration</w:t>
      </w:r>
      <w:r>
        <w:t xml:space="preserve"> (FDA) para utilizar en lactantes y en vacunaciones primarias. Las vacunas comprenden tres preparados triples (DTaP) y una vacuna mixta que incluye DTaP, y antígeno de hepatitis B (HepB) y virus de poliomielitis inactivado </w:t>
      </w:r>
      <w:r>
        <w:rPr>
          <w:rFonts w:ascii="Times New Roman" w:eastAsia="Times New Roman" w:hAnsi="Times New Roman" w:cs="Times New Roman"/>
          <w:i/>
          <w:iCs/>
          <w:sz w:val="16"/>
          <w:szCs w:val="16"/>
        </w:rPr>
        <w:t>(inactivated poliovirus</w:t>
      </w:r>
      <w:r>
        <w:rPr>
          <w:i/>
          <w:iCs/>
        </w:rPr>
        <w:t>,</w:t>
      </w:r>
      <w:r>
        <w:t xml:space="preserve"> IPV). Además se ha aprobado una mezcla de DTaP y vacuna de conjugado de </w:t>
      </w:r>
      <w:r>
        <w:rPr>
          <w:rFonts w:ascii="Times New Roman" w:eastAsia="Times New Roman" w:hAnsi="Times New Roman" w:cs="Times New Roman"/>
          <w:i/>
          <w:iCs/>
          <w:sz w:val="16"/>
          <w:szCs w:val="16"/>
        </w:rPr>
        <w:t>Haemophilus influenzae</w:t>
      </w:r>
      <w:r>
        <w:t xml:space="preserve"> de tipo b, para la dosis que se aplica entre los 15 y 18 meses de edad (cuadro 3-68). Las vacunas aprobadas difieren en su fórmula de antígenos de tos ferina, pero su eficacia al parecer es similar. Todos los preparados triples contienen toxoide de tos ferina (pertusis). Las recomendaciones de su uso se actualizan y publican cada enero en la revista </w:t>
      </w:r>
      <w:r>
        <w:rPr>
          <w:rFonts w:ascii="Times New Roman" w:eastAsia="Times New Roman" w:hAnsi="Times New Roman" w:cs="Times New Roman"/>
          <w:i/>
          <w:iCs/>
          <w:sz w:val="16"/>
          <w:szCs w:val="16"/>
        </w:rPr>
        <w:t>Pediatrics</w:t>
      </w:r>
      <w:r>
        <w:t>.</w:t>
      </w:r>
    </w:p>
    <w:p w14:paraId="59F30CCF" w14:textId="77777777" w:rsidR="00D03C17" w:rsidRDefault="00D03C17">
      <w:pPr>
        <w:pStyle w:val="BodyText"/>
        <w:ind w:firstLine="360"/>
      </w:pPr>
      <w:r>
        <w:t>La frecuencia de reacciones locales (eritema e induración en el sitio de la inyección), fiebre y otros síntomas generales comunes (somnolencia, inquietud y anorexia) es mucho menor con las vacunas acelulares que con las que tienen el microorganismo entero. Se ha observado que las escasas reacciones adversas que pueden ser más graves y se han vinculado con el uso de DPT, como las convulsiones, se detectan con menor frecuencia después de emplear la vacuna acelular (véase “Reacciones adversas después de vacunación contra tos ferina”, más adelante en este mismo resumen).</w:t>
      </w:r>
    </w:p>
    <w:p w14:paraId="5C3F45AD" w14:textId="77777777" w:rsidR="00D03C17" w:rsidRDefault="00D03C17">
      <w:pPr>
        <w:pStyle w:val="BodyText"/>
        <w:ind w:firstLine="360"/>
      </w:pPr>
      <w:r>
        <w:rPr>
          <w:rFonts w:ascii="Times New Roman" w:eastAsia="Times New Roman" w:hAnsi="Times New Roman" w:cs="Times New Roman"/>
          <w:b/>
          <w:bCs/>
          <w:i/>
          <w:iCs/>
          <w:sz w:val="16"/>
          <w:szCs w:val="16"/>
        </w:rPr>
        <w:t>Dosis y vía.</w:t>
      </w:r>
      <w:r>
        <w:t xml:space="preserve"> Cada dosis de vacuna triple es de 0.5 ml por vía intramuscular. No se recomienda usar un volumen reducido de las dosis individuales de las vacunas contra la enfermedad ni dosis múltiples con menor volumen (fraccionada). No se ha identificado el efecto de tales prácticas en la frecuencia de reacciones adversas graves ni en la protección contra la enfermedad.</w:t>
      </w:r>
    </w:p>
    <w:p w14:paraId="0260EDF2" w14:textId="77777777" w:rsidR="00D03C17" w:rsidRDefault="00D03C17">
      <w:pPr>
        <w:pStyle w:val="BodyText"/>
        <w:spacing w:line="276" w:lineRule="auto"/>
        <w:ind w:firstLine="360"/>
      </w:pPr>
      <w:r>
        <w:rPr>
          <w:rFonts w:ascii="Times New Roman" w:eastAsia="Times New Roman" w:hAnsi="Times New Roman" w:cs="Times New Roman"/>
          <w:b/>
          <w:bCs/>
          <w:i/>
          <w:iCs/>
          <w:sz w:val="16"/>
          <w:szCs w:val="16"/>
        </w:rPr>
        <w:t>Intercambio de vacunas acelulares.</w:t>
      </w:r>
      <w:r>
        <w:t xml:space="preserve"> En la medida de lo posible debe utilizarse para toda la serie de vacunas el mismo producto de la vacuna triple (DTaP). No existen datos suficientes sobre la inocuidad, la capacidad inmunógena o la eficacia de diferentes vacunas triples si se intercambian en la primera serie, como para hacer recomendaciones. Sin embargo, en circunstancias en que se desconoce el tipo de vacuna triple aplicada o no se dispone de los productos que se administraron previamente, cabe recurrir a cualquier vacuna triple aprobada para utilizar en la serie primaria.</w:t>
      </w:r>
    </w:p>
    <w:p w14:paraId="5B950633" w14:textId="77777777" w:rsidR="00D03C17" w:rsidRDefault="00D03C17">
      <w:pPr>
        <w:pStyle w:val="BodyText"/>
        <w:spacing w:line="283" w:lineRule="auto"/>
        <w:ind w:firstLine="360"/>
      </w:pPr>
      <w:r>
        <w:rPr>
          <w:rFonts w:ascii="Times New Roman" w:eastAsia="Times New Roman" w:hAnsi="Times New Roman" w:cs="Times New Roman"/>
          <w:b/>
          <w:bCs/>
          <w:i/>
          <w:iCs/>
          <w:sz w:val="16"/>
          <w:szCs w:val="16"/>
        </w:rPr>
        <w:t>Profilaxia antipirética.</w:t>
      </w:r>
      <w:r>
        <w:t xml:space="preserve"> La administración planeada de acetaminofén u otro antipirético en el momento de la vacunación con DTaP y 4 a 8 h después de practicada puede disminuir la incidencia ulterior de fiebre y reacciones locales.</w:t>
      </w:r>
    </w:p>
    <w:p w14:paraId="7F1BAF96" w14:textId="77777777" w:rsidR="00D03C17" w:rsidRDefault="00D03C17">
      <w:pPr>
        <w:pStyle w:val="BodyText"/>
        <w:spacing w:line="276" w:lineRule="auto"/>
        <w:ind w:firstLine="360"/>
        <w:sectPr w:rsidR="00D03C17" w:rsidSect="00D03C17">
          <w:headerReference w:type="even" r:id="rId175"/>
          <w:headerReference w:type="default" r:id="rId176"/>
          <w:footerReference w:type="even" r:id="rId177"/>
          <w:footerReference w:type="default" r:id="rId178"/>
          <w:footnotePr>
            <w:numFmt w:val="chicago"/>
          </w:footnotePr>
          <w:pgSz w:w="8501" w:h="13022"/>
          <w:pgMar w:top="941" w:right="800" w:bottom="528" w:left="793" w:header="0" w:footer="3" w:gutter="0"/>
          <w:pgNumType w:start="641"/>
          <w:cols w:space="720"/>
          <w:noEndnote/>
          <w:docGrid w:linePitch="360"/>
          <w15:footnoteColumns w:val="1"/>
        </w:sectPr>
      </w:pPr>
      <w:r>
        <w:rPr>
          <w:rFonts w:ascii="Arial" w:eastAsia="Arial" w:hAnsi="Arial" w:cs="Arial"/>
          <w:b/>
          <w:bCs/>
          <w:i/>
          <w:iCs/>
          <w:sz w:val="15"/>
          <w:szCs w:val="15"/>
        </w:rPr>
        <w:t>Recomendaciones para la vacunación corriente en niños.</w:t>
      </w:r>
      <w:r>
        <w:t xml:space="preserve"> Se recomienda que haya un total de cinco dosis aplicadas de vacuna contra la tos ferina antes que el niño comience su vida escolar, salvo que haya contraindicaciones (véase “Contraindicaciones a la vacunación contra tos ferina” y “Precauciones contra la vacunación de tos ferina”, más adelante en este mismo resumen). Si se aplica la cuarta dosis de vacuna contra tos ferina después que el niño ha cumplido cuatro años de vida, a causa de retrasos para completar el plan de vacunas, no está indicada la quinta dosis. La primera dosis se administra a los dos meses de vida y le siguen dos dosis más a intervalos de dos meses, aproximadamente; se recomienda aplicar la cuarta dosis entre los 15 y 18 meses. La quinta dosis se aplica antes de que el niño acuda por primera vez a la escuela (kindergarden o escuela elemental), a los cuatro o seis años de vida, para protegerlo de la tos ferina en años siguientes y disminuir la transmisión de la enfermedad a niños de menor edad.</w:t>
      </w:r>
    </w:p>
    <w:p w14:paraId="642C1543" w14:textId="77777777" w:rsidR="00D03C17" w:rsidRDefault="00D03C17">
      <w:pPr>
        <w:pStyle w:val="Heading31"/>
        <w:keepNext/>
        <w:keepLines/>
        <w:framePr w:w="4915" w:h="317" w:wrap="none" w:hAnchor="page" w:x="3894" w:y="1"/>
      </w:pPr>
      <w:bookmarkStart w:id="96" w:name="bookmark1122"/>
      <w:bookmarkStart w:id="97" w:name="bookmark1123"/>
      <w:bookmarkStart w:id="98" w:name="bookmark1124"/>
      <w:r>
        <w:rPr>
          <w:b w:val="0"/>
          <w:bCs w:val="0"/>
        </w:rPr>
        <w:t xml:space="preserve">Cuadro 3-68. </w:t>
      </w:r>
      <w:r>
        <w:t>Vacunas aprobadas que contienen DTaP</w:t>
      </w:r>
      <w:r>
        <w:rPr>
          <w:vertAlign w:val="superscript"/>
        </w:rPr>
        <w:t>1</w:t>
      </w:r>
      <w:bookmarkEnd w:id="96"/>
      <w:bookmarkEnd w:id="97"/>
      <w:bookmarkEnd w:id="98"/>
    </w:p>
    <w:tbl>
      <w:tblPr>
        <w:tblOverlap w:val="never"/>
        <w:tblW w:w="0" w:type="auto"/>
        <w:tblLayout w:type="fixed"/>
        <w:tblCellMar>
          <w:left w:w="10" w:type="dxa"/>
          <w:right w:w="10" w:type="dxa"/>
        </w:tblCellMar>
        <w:tblLook w:val="04A0" w:firstRow="1" w:lastRow="0" w:firstColumn="1" w:lastColumn="0" w:noHBand="0" w:noVBand="1"/>
      </w:tblPr>
      <w:tblGrid>
        <w:gridCol w:w="2616"/>
        <w:gridCol w:w="2789"/>
        <w:gridCol w:w="3029"/>
        <w:gridCol w:w="3014"/>
      </w:tblGrid>
      <w:tr w:rsidR="00D03C17" w14:paraId="0587C059" w14:textId="77777777">
        <w:tblPrEx>
          <w:tblCellMar>
            <w:top w:w="0" w:type="dxa"/>
            <w:bottom w:w="0" w:type="dxa"/>
          </w:tblCellMar>
        </w:tblPrEx>
        <w:trPr>
          <w:trHeight w:hRule="exact" w:val="288"/>
        </w:trPr>
        <w:tc>
          <w:tcPr>
            <w:tcW w:w="2616" w:type="dxa"/>
            <w:shd w:val="clear" w:color="auto" w:fill="231F20"/>
            <w:vAlign w:val="bottom"/>
          </w:tcPr>
          <w:p w14:paraId="0A388A47" w14:textId="77777777" w:rsidR="00D03C17" w:rsidRDefault="00D03C17">
            <w:pPr>
              <w:pStyle w:val="Other0"/>
              <w:framePr w:w="11448" w:h="4781" w:vSpace="1622" w:wrap="none" w:hAnchor="page" w:x="625" w:y="351"/>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8"/>
                <w:szCs w:val="8"/>
              </w:rPr>
            </w:pPr>
            <w:r>
              <w:rPr>
                <w:rFonts w:ascii="Arial" w:eastAsia="Arial" w:hAnsi="Arial" w:cs="Arial"/>
                <w:b/>
                <w:bCs/>
                <w:color w:val="FFFFFF"/>
                <w:w w:val="70"/>
                <w:sz w:val="24"/>
                <w:szCs w:val="24"/>
              </w:rPr>
              <w:t>¡Nombre comercial</w:t>
            </w:r>
            <w:r>
              <w:rPr>
                <w:rFonts w:ascii="Times New Roman" w:eastAsia="Times New Roman" w:hAnsi="Times New Roman" w:cs="Times New Roman"/>
                <w:color w:val="FFFFFF"/>
                <w:sz w:val="8"/>
                <w:szCs w:val="8"/>
                <w:vertAlign w:val="superscript"/>
              </w:rPr>
              <w:t>2</w:t>
            </w:r>
          </w:p>
        </w:tc>
        <w:tc>
          <w:tcPr>
            <w:tcW w:w="2789" w:type="dxa"/>
            <w:shd w:val="clear" w:color="auto" w:fill="231F20"/>
            <w:vAlign w:val="bottom"/>
          </w:tcPr>
          <w:p w14:paraId="361D7E97" w14:textId="77777777" w:rsidR="00D03C17" w:rsidRDefault="00D03C17">
            <w:pPr>
              <w:pStyle w:val="Other0"/>
              <w:framePr w:w="11448" w:h="4781" w:vSpace="1622" w:wrap="none" w:hAnchor="page" w:x="625" w:y="351"/>
              <w:pBdr>
                <w:top w:val="single" w:sz="0" w:space="0" w:color="231F20"/>
                <w:left w:val="single" w:sz="0" w:space="0" w:color="231F20"/>
                <w:bottom w:val="single" w:sz="0" w:space="0" w:color="231F20"/>
                <w:right w:val="single" w:sz="0" w:space="0" w:color="231F20"/>
              </w:pBdr>
              <w:shd w:val="clear" w:color="auto" w:fill="231F20"/>
              <w:spacing w:line="240" w:lineRule="auto"/>
              <w:ind w:firstLine="280"/>
              <w:rPr>
                <w:sz w:val="24"/>
                <w:szCs w:val="24"/>
              </w:rPr>
            </w:pPr>
            <w:r>
              <w:rPr>
                <w:rFonts w:ascii="Arial" w:eastAsia="Arial" w:hAnsi="Arial" w:cs="Arial"/>
                <w:b/>
                <w:bCs/>
                <w:color w:val="FFFFFF"/>
                <w:w w:val="70"/>
                <w:sz w:val="24"/>
                <w:szCs w:val="24"/>
              </w:rPr>
              <w:t>Fabricantes</w:t>
            </w:r>
          </w:p>
        </w:tc>
        <w:tc>
          <w:tcPr>
            <w:tcW w:w="3029" w:type="dxa"/>
            <w:shd w:val="clear" w:color="auto" w:fill="231F20"/>
            <w:vAlign w:val="bottom"/>
          </w:tcPr>
          <w:p w14:paraId="248E348F" w14:textId="77777777" w:rsidR="00D03C17" w:rsidRDefault="00D03C17">
            <w:pPr>
              <w:pStyle w:val="Other0"/>
              <w:framePr w:w="11448" w:h="4781" w:vSpace="1622" w:wrap="none" w:hAnchor="page" w:x="625" w:y="351"/>
              <w:pBdr>
                <w:top w:val="single" w:sz="0" w:space="0" w:color="231F20"/>
                <w:left w:val="single" w:sz="0" w:space="0" w:color="231F20"/>
                <w:bottom w:val="single" w:sz="0" w:space="0" w:color="231F20"/>
                <w:right w:val="single" w:sz="0" w:space="0" w:color="231F20"/>
              </w:pBdr>
              <w:shd w:val="clear" w:color="auto" w:fill="231F20"/>
              <w:spacing w:line="240" w:lineRule="auto"/>
              <w:ind w:firstLine="320"/>
              <w:rPr>
                <w:sz w:val="24"/>
                <w:szCs w:val="24"/>
              </w:rPr>
            </w:pPr>
            <w:r>
              <w:rPr>
                <w:rFonts w:ascii="Arial" w:eastAsia="Arial" w:hAnsi="Arial" w:cs="Arial"/>
                <w:b/>
                <w:bCs/>
                <w:color w:val="FFFFFF"/>
                <w:w w:val="70"/>
                <w:sz w:val="24"/>
                <w:szCs w:val="24"/>
              </w:rPr>
              <w:t>Antígenos</w:t>
            </w:r>
          </w:p>
        </w:tc>
        <w:tc>
          <w:tcPr>
            <w:tcW w:w="3014" w:type="dxa"/>
            <w:shd w:val="clear" w:color="auto" w:fill="231F20"/>
            <w:vAlign w:val="bottom"/>
          </w:tcPr>
          <w:p w14:paraId="7E831348" w14:textId="77777777" w:rsidR="00D03C17" w:rsidRDefault="00D03C17">
            <w:pPr>
              <w:pStyle w:val="Other0"/>
              <w:framePr w:w="11448" w:h="4781" w:vSpace="1622" w:wrap="none" w:hAnchor="page" w:x="625" w:y="351"/>
              <w:pBdr>
                <w:top w:val="single" w:sz="0" w:space="0" w:color="231F20"/>
                <w:left w:val="single" w:sz="0" w:space="0" w:color="231F20"/>
                <w:bottom w:val="single" w:sz="0" w:space="0" w:color="231F20"/>
                <w:right w:val="single" w:sz="0" w:space="0" w:color="231F20"/>
              </w:pBdr>
              <w:shd w:val="clear" w:color="auto" w:fill="231F20"/>
              <w:spacing w:line="240" w:lineRule="auto"/>
              <w:ind w:firstLine="140"/>
              <w:rPr>
                <w:sz w:val="24"/>
                <w:szCs w:val="24"/>
              </w:rPr>
            </w:pPr>
            <w:r>
              <w:rPr>
                <w:rFonts w:ascii="Arial" w:eastAsia="Arial" w:hAnsi="Arial" w:cs="Arial"/>
                <w:b/>
                <w:bCs/>
                <w:color w:val="FFFFFF"/>
                <w:w w:val="70"/>
                <w:sz w:val="24"/>
                <w:szCs w:val="24"/>
              </w:rPr>
              <w:t>Uso recomendado</w:t>
            </w:r>
          </w:p>
        </w:tc>
      </w:tr>
      <w:tr w:rsidR="00D03C17" w14:paraId="2147D3D6" w14:textId="77777777">
        <w:tblPrEx>
          <w:tblCellMar>
            <w:top w:w="0" w:type="dxa"/>
            <w:bottom w:w="0" w:type="dxa"/>
          </w:tblCellMar>
        </w:tblPrEx>
        <w:trPr>
          <w:trHeight w:hRule="exact" w:val="490"/>
        </w:trPr>
        <w:tc>
          <w:tcPr>
            <w:tcW w:w="2616" w:type="dxa"/>
            <w:shd w:val="clear" w:color="auto" w:fill="FFFFFF"/>
          </w:tcPr>
          <w:p w14:paraId="43EACE4E" w14:textId="77777777" w:rsidR="00D03C17" w:rsidRDefault="00D03C17">
            <w:pPr>
              <w:pStyle w:val="Other0"/>
              <w:framePr w:w="11448" w:h="4781" w:vSpace="1622" w:wrap="none" w:hAnchor="page" w:x="625" w:y="351"/>
              <w:spacing w:line="240" w:lineRule="auto"/>
              <w:ind w:firstLine="0"/>
              <w:rPr>
                <w:sz w:val="16"/>
                <w:szCs w:val="16"/>
              </w:rPr>
            </w:pPr>
            <w:r>
              <w:rPr>
                <w:rFonts w:ascii="Times New Roman" w:eastAsia="Times New Roman" w:hAnsi="Times New Roman" w:cs="Times New Roman"/>
                <w:sz w:val="16"/>
                <w:szCs w:val="16"/>
              </w:rPr>
              <w:t>Tripedia (DTaP)</w:t>
            </w:r>
          </w:p>
        </w:tc>
        <w:tc>
          <w:tcPr>
            <w:tcW w:w="2789" w:type="dxa"/>
            <w:shd w:val="clear" w:color="auto" w:fill="FFFFFF"/>
          </w:tcPr>
          <w:p w14:paraId="21F9541D" w14:textId="77777777" w:rsidR="00D03C17" w:rsidRDefault="00D03C17">
            <w:pPr>
              <w:pStyle w:val="Other0"/>
              <w:framePr w:w="11448" w:h="4781" w:vSpace="1622" w:wrap="none" w:hAnchor="page" w:x="625" w:y="351"/>
              <w:spacing w:line="240" w:lineRule="auto"/>
              <w:ind w:firstLine="280"/>
              <w:rPr>
                <w:sz w:val="16"/>
                <w:szCs w:val="16"/>
              </w:rPr>
            </w:pPr>
            <w:r>
              <w:rPr>
                <w:rFonts w:ascii="Times New Roman" w:eastAsia="Times New Roman" w:hAnsi="Times New Roman" w:cs="Times New Roman"/>
                <w:sz w:val="16"/>
                <w:szCs w:val="16"/>
              </w:rPr>
              <w:t>Aventis Pasteur, Swiftwater, PA</w:t>
            </w:r>
          </w:p>
        </w:tc>
        <w:tc>
          <w:tcPr>
            <w:tcW w:w="3029" w:type="dxa"/>
            <w:shd w:val="clear" w:color="auto" w:fill="FFFFFF"/>
          </w:tcPr>
          <w:p w14:paraId="751CA4D7" w14:textId="77777777" w:rsidR="00D03C17" w:rsidRDefault="00D03C17">
            <w:pPr>
              <w:pStyle w:val="Other0"/>
              <w:framePr w:w="11448" w:h="4781" w:vSpace="1622" w:wrap="none" w:hAnchor="page" w:x="625" w:y="351"/>
              <w:spacing w:line="240" w:lineRule="auto"/>
              <w:ind w:firstLine="320"/>
              <w:rPr>
                <w:sz w:val="16"/>
                <w:szCs w:val="16"/>
              </w:rPr>
            </w:pPr>
            <w:r>
              <w:rPr>
                <w:rFonts w:ascii="Times New Roman" w:eastAsia="Times New Roman" w:hAnsi="Times New Roman" w:cs="Times New Roman"/>
                <w:sz w:val="16"/>
                <w:szCs w:val="16"/>
              </w:rPr>
              <w:t>PT, FHA</w:t>
            </w:r>
          </w:p>
        </w:tc>
        <w:tc>
          <w:tcPr>
            <w:tcW w:w="3014" w:type="dxa"/>
            <w:shd w:val="clear" w:color="auto" w:fill="FFFFFF"/>
            <w:vAlign w:val="bottom"/>
          </w:tcPr>
          <w:p w14:paraId="66ECB0CF" w14:textId="77777777" w:rsidR="00D03C17" w:rsidRDefault="00D03C17">
            <w:pPr>
              <w:pStyle w:val="Other0"/>
              <w:framePr w:w="11448" w:h="4781" w:vSpace="1622" w:wrap="none" w:hAnchor="page" w:x="625" w:y="351"/>
              <w:spacing w:line="283" w:lineRule="auto"/>
              <w:ind w:left="240" w:hanging="100"/>
              <w:rPr>
                <w:sz w:val="16"/>
                <w:szCs w:val="16"/>
              </w:rPr>
            </w:pPr>
            <w:r>
              <w:rPr>
                <w:rFonts w:ascii="Times New Roman" w:eastAsia="Times New Roman" w:hAnsi="Times New Roman" w:cs="Times New Roman"/>
                <w:sz w:val="16"/>
                <w:szCs w:val="16"/>
              </w:rPr>
              <w:t xml:space="preserve">Las </w:t>
            </w:r>
            <w:r>
              <w:rPr>
                <w:rFonts w:ascii="Times New Roman" w:eastAsia="Times New Roman" w:hAnsi="Times New Roman" w:cs="Times New Roman"/>
                <w:b/>
                <w:bCs/>
                <w:sz w:val="16"/>
                <w:szCs w:val="16"/>
              </w:rPr>
              <w:t xml:space="preserve">cinco dosis </w:t>
            </w:r>
            <w:r>
              <w:rPr>
                <w:rFonts w:ascii="Times New Roman" w:eastAsia="Times New Roman" w:hAnsi="Times New Roman" w:cs="Times New Roman"/>
                <w:sz w:val="16"/>
                <w:szCs w:val="16"/>
              </w:rPr>
              <w:t>en niños de seis semanas a seis años de vida</w:t>
            </w:r>
          </w:p>
        </w:tc>
      </w:tr>
      <w:tr w:rsidR="00D03C17" w14:paraId="453EB346" w14:textId="77777777">
        <w:tblPrEx>
          <w:tblCellMar>
            <w:top w:w="0" w:type="dxa"/>
            <w:bottom w:w="0" w:type="dxa"/>
          </w:tblCellMar>
        </w:tblPrEx>
        <w:trPr>
          <w:trHeight w:hRule="exact" w:val="1099"/>
        </w:trPr>
        <w:tc>
          <w:tcPr>
            <w:tcW w:w="2616" w:type="dxa"/>
            <w:shd w:val="clear" w:color="auto" w:fill="FFFFFF"/>
          </w:tcPr>
          <w:p w14:paraId="5B967C07" w14:textId="77777777" w:rsidR="00D03C17" w:rsidRDefault="00D03C17">
            <w:pPr>
              <w:pStyle w:val="Other0"/>
              <w:framePr w:w="11448" w:h="4781" w:vSpace="1622" w:wrap="none" w:hAnchor="page" w:x="625" w:y="351"/>
              <w:spacing w:line="240" w:lineRule="auto"/>
              <w:ind w:firstLine="0"/>
              <w:rPr>
                <w:sz w:val="16"/>
                <w:szCs w:val="16"/>
              </w:rPr>
            </w:pPr>
            <w:r>
              <w:rPr>
                <w:rFonts w:ascii="Times New Roman" w:eastAsia="Times New Roman" w:hAnsi="Times New Roman" w:cs="Times New Roman"/>
                <w:sz w:val="16"/>
                <w:szCs w:val="16"/>
              </w:rPr>
              <w:t>Infanrix (DTaP)</w:t>
            </w:r>
          </w:p>
        </w:tc>
        <w:tc>
          <w:tcPr>
            <w:tcW w:w="2789" w:type="dxa"/>
            <w:shd w:val="clear" w:color="auto" w:fill="FFFFFF"/>
          </w:tcPr>
          <w:p w14:paraId="3720F6BB" w14:textId="77777777" w:rsidR="00D03C17" w:rsidRDefault="00D03C17">
            <w:pPr>
              <w:pStyle w:val="Other0"/>
              <w:framePr w:w="11448" w:h="4781" w:vSpace="1622" w:wrap="none" w:hAnchor="page" w:x="625" w:y="351"/>
              <w:spacing w:line="283" w:lineRule="auto"/>
              <w:ind w:left="380" w:hanging="100"/>
              <w:rPr>
                <w:sz w:val="16"/>
                <w:szCs w:val="16"/>
              </w:rPr>
            </w:pPr>
            <w:r>
              <w:rPr>
                <w:rFonts w:ascii="Times New Roman" w:eastAsia="Times New Roman" w:hAnsi="Times New Roman" w:cs="Times New Roman"/>
                <w:sz w:val="16"/>
                <w:szCs w:val="16"/>
              </w:rPr>
              <w:t>GlaxoSmithKline Biologicals, Rixensart, Bélgica</w:t>
            </w:r>
          </w:p>
        </w:tc>
        <w:tc>
          <w:tcPr>
            <w:tcW w:w="3029" w:type="dxa"/>
            <w:shd w:val="clear" w:color="auto" w:fill="FFFFFF"/>
          </w:tcPr>
          <w:p w14:paraId="06A623C7" w14:textId="77777777" w:rsidR="00D03C17" w:rsidRDefault="00D03C17">
            <w:pPr>
              <w:pStyle w:val="Other0"/>
              <w:framePr w:w="11448" w:h="4781" w:vSpace="1622" w:wrap="none" w:hAnchor="page" w:x="625" w:y="351"/>
              <w:spacing w:line="240" w:lineRule="auto"/>
              <w:ind w:firstLine="320"/>
              <w:rPr>
                <w:sz w:val="16"/>
                <w:szCs w:val="16"/>
              </w:rPr>
            </w:pPr>
            <w:r>
              <w:rPr>
                <w:rFonts w:ascii="Times New Roman" w:eastAsia="Times New Roman" w:hAnsi="Times New Roman" w:cs="Times New Roman"/>
                <w:sz w:val="16"/>
                <w:szCs w:val="16"/>
              </w:rPr>
              <w:t>PT, FHA, pertactin</w:t>
            </w:r>
          </w:p>
        </w:tc>
        <w:tc>
          <w:tcPr>
            <w:tcW w:w="3014" w:type="dxa"/>
            <w:shd w:val="clear" w:color="auto" w:fill="FFFFFF"/>
            <w:vAlign w:val="bottom"/>
          </w:tcPr>
          <w:p w14:paraId="2EB7337B" w14:textId="77777777" w:rsidR="00D03C17" w:rsidRDefault="00D03C17">
            <w:pPr>
              <w:pStyle w:val="Other0"/>
              <w:framePr w:w="11448" w:h="4781" w:vSpace="1622" w:wrap="none" w:hAnchor="page" w:x="625" w:y="351"/>
              <w:spacing w:line="283" w:lineRule="auto"/>
              <w:ind w:left="240" w:hanging="100"/>
              <w:rPr>
                <w:sz w:val="16"/>
                <w:szCs w:val="16"/>
              </w:rPr>
            </w:pPr>
            <w:r>
              <w:rPr>
                <w:rFonts w:ascii="Times New Roman" w:eastAsia="Times New Roman" w:hAnsi="Times New Roman" w:cs="Times New Roman"/>
                <w:sz w:val="16"/>
                <w:szCs w:val="16"/>
              </w:rPr>
              <w:t xml:space="preserve">Las </w:t>
            </w:r>
            <w:r>
              <w:rPr>
                <w:rFonts w:ascii="Times New Roman" w:eastAsia="Times New Roman" w:hAnsi="Times New Roman" w:cs="Times New Roman"/>
                <w:b/>
                <w:bCs/>
                <w:sz w:val="16"/>
                <w:szCs w:val="16"/>
              </w:rPr>
              <w:t xml:space="preserve">primeras cuatro dosis </w:t>
            </w:r>
            <w:r>
              <w:rPr>
                <w:rFonts w:ascii="Times New Roman" w:eastAsia="Times New Roman" w:hAnsi="Times New Roman" w:cs="Times New Roman"/>
                <w:sz w:val="16"/>
                <w:szCs w:val="16"/>
              </w:rPr>
              <w:t>en niños de seis semanas a seis años de vida; puede utilizarse para la quinta dosis en el niño que ha recibido una dosis o más de DTP de microorganismo completo</w:t>
            </w:r>
          </w:p>
        </w:tc>
      </w:tr>
      <w:tr w:rsidR="00D03C17" w14:paraId="0D63F456" w14:textId="77777777">
        <w:tblPrEx>
          <w:tblCellMar>
            <w:top w:w="0" w:type="dxa"/>
            <w:bottom w:w="0" w:type="dxa"/>
          </w:tblCellMar>
        </w:tblPrEx>
        <w:trPr>
          <w:trHeight w:hRule="exact" w:val="1080"/>
        </w:trPr>
        <w:tc>
          <w:tcPr>
            <w:tcW w:w="2616" w:type="dxa"/>
            <w:shd w:val="clear" w:color="auto" w:fill="FFFFFF"/>
          </w:tcPr>
          <w:p w14:paraId="11706A1C" w14:textId="77777777" w:rsidR="00D03C17" w:rsidRDefault="00D03C17">
            <w:pPr>
              <w:pStyle w:val="Other0"/>
              <w:framePr w:w="11448" w:h="4781" w:vSpace="1622" w:wrap="none" w:hAnchor="page" w:x="625" w:y="351"/>
              <w:spacing w:line="240" w:lineRule="auto"/>
              <w:ind w:firstLine="0"/>
              <w:rPr>
                <w:sz w:val="16"/>
                <w:szCs w:val="16"/>
              </w:rPr>
            </w:pPr>
            <w:r>
              <w:rPr>
                <w:rFonts w:ascii="Times New Roman" w:eastAsia="Times New Roman" w:hAnsi="Times New Roman" w:cs="Times New Roman"/>
                <w:sz w:val="16"/>
                <w:szCs w:val="16"/>
              </w:rPr>
              <w:t>TriHIBit</w:t>
            </w:r>
            <w:r>
              <w:rPr>
                <w:rFonts w:ascii="Times New Roman" w:eastAsia="Times New Roman" w:hAnsi="Times New Roman" w:cs="Times New Roman"/>
                <w:sz w:val="16"/>
                <w:szCs w:val="16"/>
                <w:vertAlign w:val="superscript"/>
              </w:rPr>
              <w:t>3</w:t>
            </w:r>
            <w:r>
              <w:rPr>
                <w:rFonts w:ascii="Times New Roman" w:eastAsia="Times New Roman" w:hAnsi="Times New Roman" w:cs="Times New Roman"/>
                <w:sz w:val="16"/>
                <w:szCs w:val="16"/>
              </w:rPr>
              <w:t xml:space="preserve"> (DTaP-Hib)</w:t>
            </w:r>
          </w:p>
        </w:tc>
        <w:tc>
          <w:tcPr>
            <w:tcW w:w="2789" w:type="dxa"/>
            <w:shd w:val="clear" w:color="auto" w:fill="FFFFFF"/>
          </w:tcPr>
          <w:p w14:paraId="20A37A4F" w14:textId="77777777" w:rsidR="00D03C17" w:rsidRDefault="00D03C17">
            <w:pPr>
              <w:pStyle w:val="Other0"/>
              <w:framePr w:w="11448" w:h="4781" w:vSpace="1622" w:wrap="none" w:hAnchor="page" w:x="625" w:y="351"/>
              <w:spacing w:line="240" w:lineRule="auto"/>
              <w:ind w:firstLine="280"/>
              <w:rPr>
                <w:sz w:val="16"/>
                <w:szCs w:val="16"/>
              </w:rPr>
            </w:pPr>
            <w:r>
              <w:rPr>
                <w:rFonts w:ascii="Times New Roman" w:eastAsia="Times New Roman" w:hAnsi="Times New Roman" w:cs="Times New Roman"/>
                <w:sz w:val="16"/>
                <w:szCs w:val="16"/>
              </w:rPr>
              <w:t>Aventis Pasteur, Swiftwater, PA</w:t>
            </w:r>
          </w:p>
        </w:tc>
        <w:tc>
          <w:tcPr>
            <w:tcW w:w="3029" w:type="dxa"/>
            <w:shd w:val="clear" w:color="auto" w:fill="FFFFFF"/>
          </w:tcPr>
          <w:p w14:paraId="3A97DCC6" w14:textId="77777777" w:rsidR="00D03C17" w:rsidRDefault="00D03C17">
            <w:pPr>
              <w:pStyle w:val="Other0"/>
              <w:framePr w:w="11448" w:h="4781" w:vSpace="1622" w:wrap="none" w:hAnchor="page" w:x="625" w:y="351"/>
              <w:spacing w:line="240" w:lineRule="auto"/>
              <w:ind w:firstLine="320"/>
              <w:rPr>
                <w:sz w:val="16"/>
                <w:szCs w:val="16"/>
              </w:rPr>
            </w:pPr>
            <w:r>
              <w:rPr>
                <w:rFonts w:ascii="Times New Roman" w:eastAsia="Times New Roman" w:hAnsi="Times New Roman" w:cs="Times New Roman"/>
                <w:sz w:val="16"/>
                <w:szCs w:val="16"/>
              </w:rPr>
              <w:t>PT, FHA</w:t>
            </w:r>
          </w:p>
        </w:tc>
        <w:tc>
          <w:tcPr>
            <w:tcW w:w="3014" w:type="dxa"/>
            <w:shd w:val="clear" w:color="auto" w:fill="FFFFFF"/>
            <w:vAlign w:val="bottom"/>
          </w:tcPr>
          <w:p w14:paraId="6EFD7AFB" w14:textId="77777777" w:rsidR="00D03C17" w:rsidRDefault="00D03C17">
            <w:pPr>
              <w:pStyle w:val="Other0"/>
              <w:framePr w:w="11448" w:h="4781" w:vSpace="1622" w:wrap="none" w:hAnchor="page" w:x="625" w:y="351"/>
              <w:spacing w:line="283" w:lineRule="auto"/>
              <w:ind w:left="240" w:hanging="100"/>
              <w:rPr>
                <w:sz w:val="16"/>
                <w:szCs w:val="16"/>
              </w:rPr>
            </w:pPr>
            <w:r>
              <w:rPr>
                <w:rFonts w:ascii="Times New Roman" w:eastAsia="Times New Roman" w:hAnsi="Times New Roman" w:cs="Times New Roman"/>
                <w:sz w:val="16"/>
                <w:szCs w:val="16"/>
              </w:rPr>
              <w:t>Sólo en la cuarta dosis; puede utilizarse TriHIBit para la cuarta dosis después de tres dosis de DTaP o DTP de microorganismo completo y una serie primaria de cualquier vacuna Hib</w:t>
            </w:r>
          </w:p>
        </w:tc>
      </w:tr>
      <w:tr w:rsidR="00D03C17" w14:paraId="2FF55EDA" w14:textId="77777777">
        <w:tblPrEx>
          <w:tblCellMar>
            <w:top w:w="0" w:type="dxa"/>
            <w:bottom w:w="0" w:type="dxa"/>
          </w:tblCellMar>
        </w:tblPrEx>
        <w:trPr>
          <w:trHeight w:hRule="exact" w:val="1085"/>
        </w:trPr>
        <w:tc>
          <w:tcPr>
            <w:tcW w:w="2616" w:type="dxa"/>
            <w:shd w:val="clear" w:color="auto" w:fill="FFFFFF"/>
          </w:tcPr>
          <w:p w14:paraId="4EA1322D" w14:textId="77777777" w:rsidR="00D03C17" w:rsidRDefault="00D03C17">
            <w:pPr>
              <w:pStyle w:val="Other0"/>
              <w:framePr w:w="11448" w:h="4781" w:vSpace="1622" w:wrap="none" w:hAnchor="page" w:x="625" w:y="351"/>
              <w:spacing w:line="240" w:lineRule="auto"/>
              <w:ind w:firstLine="0"/>
              <w:rPr>
                <w:sz w:val="16"/>
                <w:szCs w:val="16"/>
              </w:rPr>
            </w:pPr>
            <w:r>
              <w:rPr>
                <w:rFonts w:ascii="Times New Roman" w:eastAsia="Times New Roman" w:hAnsi="Times New Roman" w:cs="Times New Roman"/>
                <w:sz w:val="16"/>
                <w:szCs w:val="16"/>
              </w:rPr>
              <w:t>DAPTACEL (DTaP)</w:t>
            </w:r>
          </w:p>
        </w:tc>
        <w:tc>
          <w:tcPr>
            <w:tcW w:w="2789" w:type="dxa"/>
            <w:shd w:val="clear" w:color="auto" w:fill="FFFFFF"/>
          </w:tcPr>
          <w:p w14:paraId="190EC543" w14:textId="77777777" w:rsidR="00D03C17" w:rsidRDefault="00D03C17">
            <w:pPr>
              <w:pStyle w:val="Other0"/>
              <w:framePr w:w="11448" w:h="4781" w:vSpace="1622" w:wrap="none" w:hAnchor="page" w:x="625" w:y="351"/>
              <w:spacing w:line="240" w:lineRule="auto"/>
              <w:ind w:firstLine="280"/>
              <w:rPr>
                <w:sz w:val="16"/>
                <w:szCs w:val="16"/>
              </w:rPr>
            </w:pPr>
            <w:r>
              <w:rPr>
                <w:rFonts w:ascii="Times New Roman" w:eastAsia="Times New Roman" w:hAnsi="Times New Roman" w:cs="Times New Roman"/>
                <w:sz w:val="16"/>
                <w:szCs w:val="16"/>
              </w:rPr>
              <w:t>Aventis Pasteur, Swiftwater, PA</w:t>
            </w:r>
          </w:p>
        </w:tc>
        <w:tc>
          <w:tcPr>
            <w:tcW w:w="3029" w:type="dxa"/>
            <w:shd w:val="clear" w:color="auto" w:fill="FFFFFF"/>
          </w:tcPr>
          <w:p w14:paraId="66B257CE" w14:textId="77777777" w:rsidR="00D03C17" w:rsidRDefault="00D03C17">
            <w:pPr>
              <w:pStyle w:val="Other0"/>
              <w:framePr w:w="11448" w:h="4781" w:vSpace="1622" w:wrap="none" w:hAnchor="page" w:x="625" w:y="351"/>
              <w:spacing w:line="283" w:lineRule="auto"/>
              <w:ind w:left="420" w:hanging="100"/>
              <w:rPr>
                <w:sz w:val="16"/>
                <w:szCs w:val="16"/>
              </w:rPr>
            </w:pPr>
            <w:r>
              <w:rPr>
                <w:rFonts w:ascii="Times New Roman" w:eastAsia="Times New Roman" w:hAnsi="Times New Roman" w:cs="Times New Roman"/>
                <w:sz w:val="16"/>
                <w:szCs w:val="16"/>
              </w:rPr>
              <w:t>PT, FHA, pertactin, pelos o fimbrias tipos 2 y 3</w:t>
            </w:r>
          </w:p>
        </w:tc>
        <w:tc>
          <w:tcPr>
            <w:tcW w:w="3014" w:type="dxa"/>
            <w:shd w:val="clear" w:color="auto" w:fill="FFFFFF"/>
            <w:vAlign w:val="bottom"/>
          </w:tcPr>
          <w:p w14:paraId="62DF6A14" w14:textId="77777777" w:rsidR="00D03C17" w:rsidRDefault="00D03C17">
            <w:pPr>
              <w:pStyle w:val="Other0"/>
              <w:framePr w:w="11448" w:h="4781" w:vSpace="1622" w:wrap="none" w:hAnchor="page" w:x="625" w:y="351"/>
              <w:spacing w:line="283" w:lineRule="auto"/>
              <w:ind w:left="240" w:hanging="100"/>
              <w:rPr>
                <w:sz w:val="16"/>
                <w:szCs w:val="16"/>
              </w:rPr>
            </w:pPr>
            <w:r>
              <w:rPr>
                <w:rFonts w:ascii="Times New Roman" w:eastAsia="Times New Roman" w:hAnsi="Times New Roman" w:cs="Times New Roman"/>
                <w:sz w:val="16"/>
                <w:szCs w:val="16"/>
              </w:rPr>
              <w:t xml:space="preserve">Las </w:t>
            </w:r>
            <w:r>
              <w:rPr>
                <w:rFonts w:ascii="Times New Roman" w:eastAsia="Times New Roman" w:hAnsi="Times New Roman" w:cs="Times New Roman"/>
                <w:b/>
                <w:bCs/>
                <w:sz w:val="16"/>
                <w:szCs w:val="16"/>
              </w:rPr>
              <w:t>primeras cuatro dosis</w:t>
            </w:r>
            <w:r>
              <w:rPr>
                <w:rFonts w:ascii="Times New Roman" w:eastAsia="Times New Roman" w:hAnsi="Times New Roman" w:cs="Times New Roman"/>
                <w:sz w:val="16"/>
                <w:szCs w:val="16"/>
              </w:rPr>
              <w:t>, a niños de seis semanas a seis años de vida; puede utilizarse como quinta dosis para el niño que ha recibido una dosis o más de DTP del microorganismo completo</w:t>
            </w:r>
          </w:p>
        </w:tc>
      </w:tr>
      <w:tr w:rsidR="00D03C17" w14:paraId="1B35758D" w14:textId="77777777">
        <w:tblPrEx>
          <w:tblCellMar>
            <w:top w:w="0" w:type="dxa"/>
            <w:bottom w:w="0" w:type="dxa"/>
          </w:tblCellMar>
        </w:tblPrEx>
        <w:trPr>
          <w:trHeight w:hRule="exact" w:val="739"/>
        </w:trPr>
        <w:tc>
          <w:tcPr>
            <w:tcW w:w="2616" w:type="dxa"/>
            <w:tcBorders>
              <w:bottom w:val="single" w:sz="4" w:space="0" w:color="auto"/>
            </w:tcBorders>
            <w:shd w:val="clear" w:color="auto" w:fill="FFFFFF"/>
          </w:tcPr>
          <w:p w14:paraId="7344A603" w14:textId="77777777" w:rsidR="00D03C17" w:rsidRDefault="00D03C17">
            <w:pPr>
              <w:pStyle w:val="Other0"/>
              <w:framePr w:w="11448" w:h="4781" w:vSpace="1622" w:wrap="none" w:hAnchor="page" w:x="625" w:y="351"/>
              <w:spacing w:line="240" w:lineRule="auto"/>
              <w:ind w:firstLine="0"/>
              <w:rPr>
                <w:sz w:val="16"/>
                <w:szCs w:val="16"/>
              </w:rPr>
            </w:pPr>
            <w:r>
              <w:rPr>
                <w:rFonts w:ascii="Times New Roman" w:eastAsia="Times New Roman" w:hAnsi="Times New Roman" w:cs="Times New Roman"/>
                <w:sz w:val="16"/>
                <w:szCs w:val="16"/>
              </w:rPr>
              <w:t>Pediarix (DTaP-hepatitis B-IPV)</w:t>
            </w:r>
          </w:p>
        </w:tc>
        <w:tc>
          <w:tcPr>
            <w:tcW w:w="2789" w:type="dxa"/>
            <w:tcBorders>
              <w:bottom w:val="single" w:sz="4" w:space="0" w:color="auto"/>
            </w:tcBorders>
            <w:shd w:val="clear" w:color="auto" w:fill="FFFFFF"/>
          </w:tcPr>
          <w:p w14:paraId="2BA1B29C" w14:textId="77777777" w:rsidR="00D03C17" w:rsidRDefault="00D03C17">
            <w:pPr>
              <w:pStyle w:val="Other0"/>
              <w:framePr w:w="11448" w:h="4781" w:vSpace="1622" w:wrap="none" w:hAnchor="page" w:x="625" w:y="351"/>
              <w:spacing w:line="240" w:lineRule="auto"/>
              <w:ind w:firstLine="280"/>
              <w:rPr>
                <w:sz w:val="16"/>
                <w:szCs w:val="16"/>
              </w:rPr>
            </w:pPr>
            <w:r>
              <w:rPr>
                <w:rFonts w:ascii="Times New Roman" w:eastAsia="Times New Roman" w:hAnsi="Times New Roman" w:cs="Times New Roman"/>
                <w:sz w:val="16"/>
                <w:szCs w:val="16"/>
              </w:rPr>
              <w:t>GlaxoSmithKline Biologicals,</w:t>
            </w:r>
          </w:p>
          <w:p w14:paraId="754DC556" w14:textId="77777777" w:rsidR="00D03C17" w:rsidRDefault="00D03C17">
            <w:pPr>
              <w:pStyle w:val="Other0"/>
              <w:framePr w:w="11448" w:h="4781" w:vSpace="1622" w:wrap="none" w:hAnchor="page" w:x="625" w:y="351"/>
              <w:spacing w:line="240" w:lineRule="auto"/>
              <w:ind w:firstLine="380"/>
              <w:rPr>
                <w:sz w:val="16"/>
                <w:szCs w:val="16"/>
              </w:rPr>
            </w:pPr>
            <w:r>
              <w:rPr>
                <w:rFonts w:ascii="Times New Roman" w:eastAsia="Times New Roman" w:hAnsi="Times New Roman" w:cs="Times New Roman"/>
                <w:sz w:val="16"/>
                <w:szCs w:val="16"/>
              </w:rPr>
              <w:t>Rixensart, Bélgica</w:t>
            </w:r>
          </w:p>
        </w:tc>
        <w:tc>
          <w:tcPr>
            <w:tcW w:w="3029" w:type="dxa"/>
            <w:tcBorders>
              <w:bottom w:val="single" w:sz="4" w:space="0" w:color="auto"/>
            </w:tcBorders>
            <w:shd w:val="clear" w:color="auto" w:fill="FFFFFF"/>
          </w:tcPr>
          <w:p w14:paraId="43987D10" w14:textId="77777777" w:rsidR="00D03C17" w:rsidRDefault="00D03C17">
            <w:pPr>
              <w:pStyle w:val="Other0"/>
              <w:framePr w:w="11448" w:h="4781" w:vSpace="1622" w:wrap="none" w:hAnchor="page" w:x="625" w:y="351"/>
              <w:spacing w:line="240" w:lineRule="auto"/>
              <w:ind w:firstLine="320"/>
              <w:rPr>
                <w:sz w:val="16"/>
                <w:szCs w:val="16"/>
              </w:rPr>
            </w:pPr>
            <w:r>
              <w:rPr>
                <w:rFonts w:ascii="Times New Roman" w:eastAsia="Times New Roman" w:hAnsi="Times New Roman" w:cs="Times New Roman"/>
                <w:sz w:val="16"/>
                <w:szCs w:val="16"/>
              </w:rPr>
              <w:t>PT, FHA, pertactin</w:t>
            </w:r>
          </w:p>
        </w:tc>
        <w:tc>
          <w:tcPr>
            <w:tcW w:w="3014" w:type="dxa"/>
            <w:tcBorders>
              <w:bottom w:val="single" w:sz="4" w:space="0" w:color="auto"/>
            </w:tcBorders>
            <w:shd w:val="clear" w:color="auto" w:fill="FFFFFF"/>
          </w:tcPr>
          <w:p w14:paraId="4C029C5D" w14:textId="77777777" w:rsidR="00D03C17" w:rsidRDefault="00D03C17">
            <w:pPr>
              <w:pStyle w:val="Other0"/>
              <w:framePr w:w="11448" w:h="4781" w:vSpace="1622" w:wrap="none" w:hAnchor="page" w:x="625" w:y="351"/>
              <w:spacing w:line="283" w:lineRule="auto"/>
              <w:ind w:left="240" w:hanging="100"/>
              <w:rPr>
                <w:sz w:val="16"/>
                <w:szCs w:val="16"/>
              </w:rPr>
            </w:pPr>
            <w:r>
              <w:rPr>
                <w:rFonts w:ascii="Times New Roman" w:eastAsia="Times New Roman" w:hAnsi="Times New Roman" w:cs="Times New Roman"/>
                <w:b/>
                <w:bCs/>
                <w:sz w:val="16"/>
                <w:szCs w:val="16"/>
              </w:rPr>
              <w:t xml:space="preserve">Tres dosis </w:t>
            </w:r>
            <w:r>
              <w:rPr>
                <w:rFonts w:ascii="Times New Roman" w:eastAsia="Times New Roman" w:hAnsi="Times New Roman" w:cs="Times New Roman"/>
                <w:sz w:val="16"/>
                <w:szCs w:val="16"/>
              </w:rPr>
              <w:t>a intervalos de seis a ocho semanas, que se comenzará a los dos meses de vida</w:t>
            </w:r>
          </w:p>
        </w:tc>
      </w:tr>
    </w:tbl>
    <w:p w14:paraId="6CEB6CEC" w14:textId="77777777" w:rsidR="00D03C17" w:rsidRDefault="00D03C17">
      <w:pPr>
        <w:framePr w:w="11448" w:h="4781" w:vSpace="1622" w:wrap="none" w:hAnchor="page" w:x="625" w:y="351"/>
        <w:spacing w:line="1" w:lineRule="exact"/>
      </w:pPr>
    </w:p>
    <w:p w14:paraId="1EBE9D9C" w14:textId="77777777" w:rsidR="00D03C17" w:rsidRDefault="00D03C17">
      <w:pPr>
        <w:pStyle w:val="Tablecaption0"/>
        <w:framePr w:w="11318" w:h="1526" w:wrap="none" w:hAnchor="page" w:x="678" w:y="5228"/>
        <w:spacing w:line="240" w:lineRule="auto"/>
        <w:ind w:left="180"/>
        <w:jc w:val="both"/>
      </w:pPr>
      <w:r>
        <w:t xml:space="preserve">DTaP, vacuna triple, es decir que incluye toxoides de difteria y tétanos y vacuna acelular de tos ferina; Hib, vacuna contra </w:t>
      </w:r>
      <w:r>
        <w:rPr>
          <w:i/>
          <w:iCs/>
        </w:rPr>
        <w:t>Haemophilus influenzae</w:t>
      </w:r>
      <w:r>
        <w:t xml:space="preserve"> de tipo b; PT, toxoide de tos ferina </w:t>
      </w:r>
      <w:r>
        <w:rPr>
          <w:i/>
          <w:iCs/>
        </w:rPr>
        <w:t>(pertussis toxoid);</w:t>
      </w:r>
      <w:r>
        <w:t xml:space="preserve"> FHA, hemaglutinina filamentosa </w:t>
      </w:r>
      <w:r>
        <w:rPr>
          <w:i/>
          <w:iCs/>
        </w:rPr>
        <w:t>(filamentous hemagglutinin);</w:t>
      </w:r>
      <w:r>
        <w:t xml:space="preserve"> DTP, toxoides de difteria y tétanos y vacuna contra tos ferina; IPV, virus poliomielítico inactivado.</w:t>
      </w:r>
    </w:p>
    <w:p w14:paraId="11B13787" w14:textId="77777777" w:rsidR="00D03C17" w:rsidRDefault="00D03C17">
      <w:pPr>
        <w:pStyle w:val="Tablecaption0"/>
        <w:framePr w:w="11318" w:h="1526" w:wrap="none" w:hAnchor="page" w:x="678" w:y="5228"/>
        <w:numPr>
          <w:ilvl w:val="0"/>
          <w:numId w:val="85"/>
        </w:numPr>
        <w:tabs>
          <w:tab w:val="left" w:pos="163"/>
        </w:tabs>
        <w:spacing w:line="240" w:lineRule="auto"/>
        <w:ind w:left="180" w:hanging="180"/>
      </w:pPr>
      <w:r>
        <w:t>El plan recomendado con DTaP incluye aplicar a los dos, cuatro, seis y 15 a 18 meses y cuatro a seis años de vida. La cuarta dosis se puede aplicar incluso desde los 12 meses de edad, a condición de que hayan transcurrido seis meses desde la tercera dosis. La quinta dosis no es necesaria si la cuarta se aplicó al cumplir el niño cuatro años o poco después de ello. Conviene consultar las instrucciones de los fabricantes para una información integral del producto en cuanto a indicaciones del uso de las vacunas comentadas.</w:t>
      </w:r>
    </w:p>
    <w:p w14:paraId="56ABDEF4" w14:textId="77777777" w:rsidR="00D03C17" w:rsidRDefault="00D03C17">
      <w:pPr>
        <w:pStyle w:val="Tablecaption0"/>
        <w:framePr w:w="11318" w:h="1526" w:wrap="none" w:hAnchor="page" w:x="678" w:y="5228"/>
        <w:numPr>
          <w:ilvl w:val="0"/>
          <w:numId w:val="85"/>
        </w:numPr>
        <w:tabs>
          <w:tab w:val="left" w:pos="173"/>
        </w:tabs>
        <w:spacing w:line="470" w:lineRule="auto"/>
        <w:ind w:left="0"/>
        <w:jc w:val="both"/>
      </w:pPr>
      <w:r>
        <w:t>No se distribuye en Estados Unidos ACEL-IMUNE ni Certiva.</w:t>
      </w:r>
    </w:p>
    <w:p w14:paraId="1A95173A" w14:textId="77777777" w:rsidR="00D03C17" w:rsidRDefault="00D03C17">
      <w:pPr>
        <w:pStyle w:val="Tablecaption0"/>
        <w:framePr w:w="11318" w:h="1526" w:wrap="none" w:hAnchor="page" w:x="678" w:y="5228"/>
        <w:numPr>
          <w:ilvl w:val="0"/>
          <w:numId w:val="85"/>
        </w:numPr>
        <w:tabs>
          <w:tab w:val="left" w:pos="163"/>
        </w:tabs>
        <w:spacing w:line="470" w:lineRule="auto"/>
        <w:ind w:left="0"/>
        <w:jc w:val="both"/>
      </w:pPr>
      <w:r>
        <w:t>TriHIBit es ActHIB (liofilizada) reconstituida con Tripedia.</w:t>
      </w:r>
    </w:p>
    <w:p w14:paraId="64A8C4B7" w14:textId="77777777" w:rsidR="00D03C17" w:rsidRDefault="00D03C17">
      <w:pPr>
        <w:pStyle w:val="Bodytext80"/>
        <w:framePr w:w="168" w:h="3878" w:hRule="exact" w:wrap="none" w:hAnchor="page" w:x="12390" w:y="3035"/>
        <w:tabs>
          <w:tab w:val="left" w:pos="3562"/>
        </w:tabs>
        <w:textDirection w:val="tbRl"/>
        <w:rPr>
          <w:sz w:val="16"/>
          <w:szCs w:val="16"/>
        </w:rPr>
      </w:pPr>
      <w:r>
        <w:t>TOS FERINA</w:t>
      </w:r>
      <w:r>
        <w:tab/>
      </w:r>
      <w:r>
        <w:rPr>
          <w:sz w:val="16"/>
          <w:szCs w:val="16"/>
        </w:rPr>
        <w:t>647</w:t>
      </w:r>
    </w:p>
    <w:p w14:paraId="398F869C" w14:textId="77777777" w:rsidR="00D03C17" w:rsidRDefault="00D03C17">
      <w:pPr>
        <w:spacing w:line="360" w:lineRule="exact"/>
      </w:pPr>
    </w:p>
    <w:p w14:paraId="522BD840" w14:textId="77777777" w:rsidR="00D03C17" w:rsidRDefault="00D03C17">
      <w:pPr>
        <w:spacing w:line="360" w:lineRule="exact"/>
      </w:pPr>
    </w:p>
    <w:p w14:paraId="7713F753" w14:textId="77777777" w:rsidR="00D03C17" w:rsidRDefault="00D03C17">
      <w:pPr>
        <w:spacing w:line="360" w:lineRule="exact"/>
      </w:pPr>
    </w:p>
    <w:p w14:paraId="54041074" w14:textId="77777777" w:rsidR="00D03C17" w:rsidRDefault="00D03C17">
      <w:pPr>
        <w:spacing w:line="360" w:lineRule="exact"/>
      </w:pPr>
    </w:p>
    <w:p w14:paraId="3AF82229" w14:textId="77777777" w:rsidR="00D03C17" w:rsidRDefault="00D03C17">
      <w:pPr>
        <w:spacing w:line="360" w:lineRule="exact"/>
      </w:pPr>
    </w:p>
    <w:p w14:paraId="5C434793" w14:textId="77777777" w:rsidR="00D03C17" w:rsidRDefault="00D03C17">
      <w:pPr>
        <w:spacing w:line="360" w:lineRule="exact"/>
      </w:pPr>
    </w:p>
    <w:p w14:paraId="1C1DB396" w14:textId="77777777" w:rsidR="00D03C17" w:rsidRDefault="00D03C17">
      <w:pPr>
        <w:spacing w:line="360" w:lineRule="exact"/>
      </w:pPr>
    </w:p>
    <w:p w14:paraId="3A7F4B86" w14:textId="77777777" w:rsidR="00D03C17" w:rsidRDefault="00D03C17">
      <w:pPr>
        <w:spacing w:line="360" w:lineRule="exact"/>
      </w:pPr>
    </w:p>
    <w:p w14:paraId="408118D7" w14:textId="77777777" w:rsidR="00D03C17" w:rsidRDefault="00D03C17">
      <w:pPr>
        <w:spacing w:line="360" w:lineRule="exact"/>
      </w:pPr>
    </w:p>
    <w:p w14:paraId="33A2BCAF" w14:textId="77777777" w:rsidR="00D03C17" w:rsidRDefault="00D03C17">
      <w:pPr>
        <w:spacing w:line="360" w:lineRule="exact"/>
      </w:pPr>
    </w:p>
    <w:p w14:paraId="052D517B" w14:textId="77777777" w:rsidR="00D03C17" w:rsidRDefault="00D03C17">
      <w:pPr>
        <w:spacing w:line="360" w:lineRule="exact"/>
      </w:pPr>
    </w:p>
    <w:p w14:paraId="369B8F3C" w14:textId="77777777" w:rsidR="00D03C17" w:rsidRDefault="00D03C17">
      <w:pPr>
        <w:spacing w:line="360" w:lineRule="exact"/>
      </w:pPr>
    </w:p>
    <w:p w14:paraId="08D2C971" w14:textId="77777777" w:rsidR="00D03C17" w:rsidRDefault="00D03C17">
      <w:pPr>
        <w:spacing w:line="360" w:lineRule="exact"/>
      </w:pPr>
    </w:p>
    <w:p w14:paraId="1986A2F5" w14:textId="77777777" w:rsidR="00D03C17" w:rsidRDefault="00D03C17">
      <w:pPr>
        <w:spacing w:line="360" w:lineRule="exact"/>
      </w:pPr>
    </w:p>
    <w:p w14:paraId="5D265F9A" w14:textId="77777777" w:rsidR="00D03C17" w:rsidRDefault="00D03C17">
      <w:pPr>
        <w:spacing w:line="360" w:lineRule="exact"/>
      </w:pPr>
    </w:p>
    <w:p w14:paraId="242E858B" w14:textId="77777777" w:rsidR="00D03C17" w:rsidRDefault="00D03C17">
      <w:pPr>
        <w:spacing w:line="360" w:lineRule="exact"/>
      </w:pPr>
    </w:p>
    <w:p w14:paraId="27C5DCDF" w14:textId="77777777" w:rsidR="00D03C17" w:rsidRDefault="00D03C17">
      <w:pPr>
        <w:spacing w:line="360" w:lineRule="exact"/>
      </w:pPr>
    </w:p>
    <w:p w14:paraId="6CB71367" w14:textId="77777777" w:rsidR="00D03C17" w:rsidRDefault="00D03C17">
      <w:pPr>
        <w:spacing w:line="360" w:lineRule="exact"/>
      </w:pPr>
    </w:p>
    <w:p w14:paraId="46703FB1" w14:textId="77777777" w:rsidR="00D03C17" w:rsidRDefault="00D03C17">
      <w:pPr>
        <w:spacing w:after="431" w:line="1" w:lineRule="exact"/>
      </w:pPr>
    </w:p>
    <w:p w14:paraId="5B484B15" w14:textId="77777777" w:rsidR="00D03C17" w:rsidRDefault="00D03C17">
      <w:pPr>
        <w:spacing w:line="1" w:lineRule="exact"/>
        <w:sectPr w:rsidR="00D03C17" w:rsidSect="00D03C17">
          <w:headerReference w:type="even" r:id="rId179"/>
          <w:headerReference w:type="default" r:id="rId180"/>
          <w:footerReference w:type="even" r:id="rId181"/>
          <w:footerReference w:type="default" r:id="rId182"/>
          <w:footnotePr>
            <w:numFmt w:val="chicago"/>
          </w:footnotePr>
          <w:pgSz w:w="13022" w:h="8501" w:orient="landscape"/>
          <w:pgMar w:top="1085" w:right="466" w:bottom="304" w:left="624" w:header="657" w:footer="3" w:gutter="0"/>
          <w:pgNumType w:start="631"/>
          <w:cols w:space="720"/>
          <w:noEndnote/>
          <w:docGrid w:linePitch="360"/>
          <w15:footnoteColumns w:val="1"/>
        </w:sectPr>
      </w:pPr>
    </w:p>
    <w:p w14:paraId="7F75400A" w14:textId="77777777" w:rsidR="00D03C17" w:rsidRDefault="00D03C17">
      <w:pPr>
        <w:pStyle w:val="BodyText"/>
        <w:spacing w:before="240"/>
        <w:ind w:firstLine="360"/>
      </w:pPr>
      <w:r>
        <w:t>En Estados Unidos se prefiere utilizar la vacuna triple en toda la serie, por las reacciones adversas que surgen con dicha aplicación, como fiebre y reacciones locales. Pueden utilizarse productos mixtos que contengan el componente de vacuna acelular a condición de que hayan sido aprobados por la FDA con base en la edad actual del menor y se justifique la administración de los demás componentes del preparado biológico.</w:t>
      </w:r>
    </w:p>
    <w:p w14:paraId="5026B08D" w14:textId="77777777" w:rsidR="00D03C17" w:rsidRDefault="00D03C17">
      <w:pPr>
        <w:pStyle w:val="BodyText"/>
        <w:ind w:firstLine="360"/>
        <w:jc w:val="both"/>
      </w:pPr>
      <w:r>
        <w:t>A continuación se indican otras recomendaciones:</w:t>
      </w:r>
    </w:p>
    <w:p w14:paraId="774FE0DE" w14:textId="77777777" w:rsidR="00D03C17" w:rsidRDefault="00D03C17">
      <w:pPr>
        <w:pStyle w:val="BodyText"/>
        <w:numPr>
          <w:ilvl w:val="0"/>
          <w:numId w:val="82"/>
        </w:numPr>
        <w:tabs>
          <w:tab w:val="left" w:pos="340"/>
        </w:tabs>
        <w:ind w:left="360" w:hanging="360"/>
      </w:pPr>
      <w:bookmarkStart w:id="99" w:name="bookmark1127"/>
      <w:bookmarkEnd w:id="99"/>
      <w:r>
        <w:t>Para la cuarta dosis puede aplicarse la vacuna triple desde los 12 meses de vida si han transcurrido como mínimo seis meses entre la tercera y la cuarta dosis y se considera poco probable que el niño retorne al médico o al puesto de vacunación a la edad recomendada, que es de 15 a 18 meses, para que reciba dicha dosis.</w:t>
      </w:r>
    </w:p>
    <w:p w14:paraId="4E72A812" w14:textId="77777777" w:rsidR="00D03C17" w:rsidRDefault="00D03C17">
      <w:pPr>
        <w:pStyle w:val="BodyText"/>
        <w:numPr>
          <w:ilvl w:val="0"/>
          <w:numId w:val="82"/>
        </w:numPr>
        <w:tabs>
          <w:tab w:val="left" w:pos="340"/>
        </w:tabs>
        <w:ind w:left="360" w:hanging="360"/>
      </w:pPr>
      <w:bookmarkStart w:id="100" w:name="bookmark1128"/>
      <w:bookmarkEnd w:id="100"/>
      <w:r>
        <w:t xml:space="preserve">Es aceptable la administración simultánea de la vacuna triple y otras recomendadas. Conviene no mezclar los productos biológicos en la misma jeringuilla salvo que la FDA haya aprobado la combinación o mezcla específica (véase “Administración simultánea de múltiples vacunas”, sección 1 y </w:t>
      </w:r>
      <w:r>
        <w:rPr>
          <w:rFonts w:ascii="Times New Roman" w:eastAsia="Times New Roman" w:hAnsi="Times New Roman" w:cs="Times New Roman"/>
          <w:i/>
          <w:iCs/>
          <w:sz w:val="16"/>
          <w:szCs w:val="16"/>
        </w:rPr>
        <w:t>“Haemophilus influenzae</w:t>
      </w:r>
      <w:r>
        <w:rPr>
          <w:i/>
          <w:iCs/>
        </w:rPr>
        <w:t>,</w:t>
      </w:r>
      <w:r>
        <w:t xml:space="preserve"> infecciones por”, en esta sección).</w:t>
      </w:r>
    </w:p>
    <w:p w14:paraId="1FA6AB75" w14:textId="77777777" w:rsidR="00D03C17" w:rsidRDefault="00D03C17">
      <w:pPr>
        <w:pStyle w:val="BodyText"/>
        <w:numPr>
          <w:ilvl w:val="0"/>
          <w:numId w:val="82"/>
        </w:numPr>
        <w:tabs>
          <w:tab w:val="left" w:pos="340"/>
        </w:tabs>
        <w:ind w:left="360" w:hanging="360"/>
      </w:pPr>
      <w:bookmarkStart w:id="101" w:name="bookmark1129"/>
      <w:bookmarkEnd w:id="101"/>
      <w:r>
        <w:t>Si prevalece la tos ferina en la comunidad, puede iniciarse la vacunación incluso desde las seis semanas de vida, y se pueden aplicar la segunda y la tercera dosis de la serie primaria a intervalos de cuatro semanas.</w:t>
      </w:r>
    </w:p>
    <w:p w14:paraId="580C7714" w14:textId="77777777" w:rsidR="00D03C17" w:rsidRDefault="00D03C17">
      <w:pPr>
        <w:pStyle w:val="BodyText"/>
        <w:numPr>
          <w:ilvl w:val="0"/>
          <w:numId w:val="82"/>
        </w:numPr>
        <w:tabs>
          <w:tab w:val="left" w:pos="340"/>
        </w:tabs>
        <w:ind w:firstLine="0"/>
      </w:pPr>
      <w:bookmarkStart w:id="102" w:name="bookmark1130"/>
      <w:bookmarkEnd w:id="102"/>
      <w:r>
        <w:t>No se recomienda la vacunación contra tos ferina en niños de siete años o mayores.</w:t>
      </w:r>
    </w:p>
    <w:p w14:paraId="7141105B" w14:textId="77777777" w:rsidR="00D03C17" w:rsidRDefault="00D03C17">
      <w:pPr>
        <w:pStyle w:val="BodyText"/>
        <w:numPr>
          <w:ilvl w:val="0"/>
          <w:numId w:val="82"/>
        </w:numPr>
        <w:tabs>
          <w:tab w:val="left" w:pos="340"/>
        </w:tabs>
        <w:ind w:firstLine="0"/>
      </w:pPr>
      <w:bookmarkStart w:id="103" w:name="bookmark1131"/>
      <w:bookmarkEnd w:id="103"/>
      <w:r>
        <w:t>En niños que comenzaron su plan de vacunación primaria con DTP, pero que no</w:t>
      </w:r>
    </w:p>
    <w:p w14:paraId="681D67F2" w14:textId="77777777" w:rsidR="00D03C17" w:rsidRDefault="00D03C17">
      <w:pPr>
        <w:pStyle w:val="BodyText"/>
        <w:ind w:left="360" w:firstLine="0"/>
        <w:jc w:val="both"/>
      </w:pPr>
      <w:r>
        <w:t>lo completaron, se utilizará la vacuna triple aprobada por la FDA para completar el plan de vacunación contra la enfermedad.</w:t>
      </w:r>
    </w:p>
    <w:p w14:paraId="4B29968A" w14:textId="77777777" w:rsidR="00D03C17" w:rsidRDefault="00D03C17">
      <w:pPr>
        <w:pStyle w:val="BodyText"/>
        <w:numPr>
          <w:ilvl w:val="0"/>
          <w:numId w:val="82"/>
        </w:numPr>
        <w:tabs>
          <w:tab w:val="left" w:pos="340"/>
        </w:tabs>
        <w:ind w:left="360" w:hanging="360"/>
      </w:pPr>
      <w:bookmarkStart w:id="104" w:name="bookmark1132"/>
      <w:bookmarkEnd w:id="104"/>
      <w:r>
        <w:t>Los niños con alguna contraindicación para que se les administre la vacuna contra tos ferina no deben recibir más dosis de dicha vacuna (véase “Contraindicaciones de la vacunación contra tos ferina” y “Precauciones para la vacunación contra tos ferina”, más adelante en este mismo resumen).</w:t>
      </w:r>
    </w:p>
    <w:p w14:paraId="15810DFE" w14:textId="77777777" w:rsidR="00D03C17" w:rsidRDefault="00D03C17">
      <w:pPr>
        <w:pStyle w:val="BodyText"/>
        <w:spacing w:line="271" w:lineRule="auto"/>
        <w:ind w:firstLine="360"/>
      </w:pPr>
      <w:r>
        <w:rPr>
          <w:rFonts w:ascii="Times New Roman" w:eastAsia="Times New Roman" w:hAnsi="Times New Roman" w:cs="Times New Roman"/>
          <w:b/>
          <w:bCs/>
          <w:i/>
          <w:iCs/>
          <w:sz w:val="16"/>
          <w:szCs w:val="16"/>
        </w:rPr>
        <w:t>Vacuna mixta.</w:t>
      </w:r>
      <w:r>
        <w:t xml:space="preserve"> En Estados Unidos, la </w:t>
      </w:r>
      <w:r>
        <w:rPr>
          <w:rFonts w:ascii="Times New Roman" w:eastAsia="Times New Roman" w:hAnsi="Times New Roman" w:cs="Times New Roman"/>
          <w:i/>
          <w:iCs/>
          <w:sz w:val="16"/>
          <w:szCs w:val="16"/>
        </w:rPr>
        <w:t>Food and Drug Administration</w:t>
      </w:r>
      <w:r>
        <w:t xml:space="preserve"> aprobó en diciembre de 2002 una vacuna mixta que incluye la vacuna triple (DTaP), la recombinante HepB y la vacuna IPV (Pediarix, Glaxo-SmithKline Biologicals, Rixensart, Bélgica) para utilizar en lactantes. La vacuna mixta recién mencionada puede administrarse en una serie de tres dosis aplicadas por vía intramuscular a intervalos de seis a ocho semanas (de preferencia ocho semanas) en niños de dos, cuatro y seis meses de vida. La vacuna mixta comentada no debe aplicarse a niños de siete años o mayores o a lactantes que aún no tienen seis semanas de vida, y en consecuencia, no se utilizará para la dosis “neonatal” de la vacuna contra hepatitis B en ningún pequeño. Se administrará a lactantes menores de seis semanas de vida sólo la vacuna monovalente contra hepatitis B. La vacuna mixta comentada (DTaP-HepB-IPV) también puede utilizarse para completar la serie primaria de vacunación con DTaP en hijos de madres que no tienen el antígeno de superficie o que tienen dicho antígeno de hepatitis B y que han recibido una dosis o más de vacuna monovalente contra hepatitis B, una vacuna mixta que contiene vacuna contra hepatitis B o ambos productos biológicos y que están programadas para recibir los demás componentes de la vacuna mixta. Lo anterior exigiría aplicar una dosis complementaria de vacuna contra hepatitis B, práctica que es aceptable.</w:t>
      </w:r>
      <w:r>
        <w:footnoteReference w:id="14"/>
      </w:r>
      <w:r>
        <w:t xml:space="preserve"> Si se utiliza la vacuna mixta que se ha mencionado como tercera dosis en la serie contra hepatitis B, debe aplicarse a los seis meses de vida o más para inducir una respuesta satisfactoria al componente de la vacuna contra hepatitis B. Algunos expertos prefieren completar la serie de la vacuna contra esta última enfermedad con un preparado monovalente contra hepatitis B en hijos de mujeres que tienen el antígeno de superficie de dicho virus, porque no hay datos de eficacia de la vacuna mixta que se ha señalado, en tales pequeños.</w:t>
      </w:r>
    </w:p>
    <w:p w14:paraId="1302854B" w14:textId="77777777" w:rsidR="00D03C17" w:rsidRDefault="00D03C17">
      <w:pPr>
        <w:pStyle w:val="BodyText"/>
        <w:ind w:firstLine="360"/>
      </w:pPr>
      <w:r>
        <w:t xml:space="preserve">La vacuna mixta DTaP-HepB-IPV puede intercambiarse con el componente de la vacuna triple (DTaP) del mismo fabricante (Infanrix [GlaxoSmithKline Biologicals, Rixensart, Bélgica]) para completar la serie primaria con vacuna triple en lactantes y niños programados para recibir los demás componentes de la vacuna. La vacuna mixta que se ha reseñado puede utilizarse para completar la serie primaria de vacuna triple (DTaP) en lactantes y niños que han recibido otra marca de la vacuna (triple), si la persona que aplica la vacuna desconoce o no cuenta con la marca de DTaP que administró previamente o si los lactantes y niños también están programados para recibir los demás componentes de la vacuna. En la medida de lo posible habrá que utilizar la misma marca de vacuna triple para todas las dosis de la serie primaria. Es posible utilizar la vacuna mixta (DTaP-HepB-IPV) para completar las primeras tres dosis de la serie de cuatro dosis recomendada de IPV en lactantes y niños que han recibido una o dos dosis de vacuna IPV de otro fabricante y que están programados para recibir los demás componentes de la vacuna. La administración debe tomar en consideración el intervalo mínimo entre una y otra dosis, correspondiente a cada uno de los componentes (véase cuadro 1-7, sección 1). La vacuna mixta comentada puede aplicarse junto con la vacuna contra </w:t>
      </w:r>
      <w:r>
        <w:rPr>
          <w:rFonts w:ascii="Times New Roman" w:eastAsia="Times New Roman" w:hAnsi="Times New Roman" w:cs="Times New Roman"/>
          <w:i/>
          <w:iCs/>
          <w:sz w:val="16"/>
          <w:szCs w:val="16"/>
        </w:rPr>
        <w:t>Haemophilus influenzae</w:t>
      </w:r>
      <w:r>
        <w:t xml:space="preserve"> tipo b o la vacuna de conjugado neumocócico, en sitios independientes. Surgen con mayor frecuencia ataques de febrícula en niños que reciben la vacuna mixta en comparación con aquellos que recibieron las tres vacunas por separado. No debe usarse la vacuna mixta como dosis de refuerzo después de las tres dosis de la serie primaria con DTaP, porque no se dispone de datos en cuanto a su inocuidad y eficacia si se le emplea como refuerzo.</w:t>
      </w:r>
    </w:p>
    <w:p w14:paraId="62C054AD" w14:textId="77777777" w:rsidR="00D03C17" w:rsidRDefault="00D03C17">
      <w:pPr>
        <w:pStyle w:val="Bodytext80"/>
        <w:spacing w:line="334" w:lineRule="auto"/>
        <w:rPr>
          <w:sz w:val="15"/>
          <w:szCs w:val="15"/>
        </w:rPr>
      </w:pPr>
      <w:r>
        <w:rPr>
          <w:b/>
          <w:bCs/>
          <w:i/>
          <w:iCs/>
          <w:sz w:val="15"/>
          <w:szCs w:val="15"/>
        </w:rPr>
        <w:t>Recomendaciones para programar la vacunación contra tos ferina en circunstancias especiales</w:t>
      </w:r>
    </w:p>
    <w:p w14:paraId="077D672A" w14:textId="77777777" w:rsidR="00D03C17" w:rsidRDefault="00D03C17">
      <w:pPr>
        <w:pStyle w:val="BodyText"/>
        <w:numPr>
          <w:ilvl w:val="0"/>
          <w:numId w:val="82"/>
        </w:numPr>
        <w:tabs>
          <w:tab w:val="left" w:pos="341"/>
        </w:tabs>
        <w:ind w:left="360" w:hanging="360"/>
      </w:pPr>
      <w:bookmarkStart w:id="105" w:name="bookmark1133"/>
      <w:bookmarkEnd w:id="105"/>
      <w:r>
        <w:t>En el caso de reanudar el programa de vacunación contra tos ferina después de un retraso o interrupción del programa recomendado, habrá que aplicar la siguiente dosis de la serie sea cual sea el intervalo que haya transcurrido desde la última dosis, es decir, no se comienza de nuevo el calendario o programa (véase “Retrasos y omisiones de las vacunaciones”, sección 1).</w:t>
      </w:r>
    </w:p>
    <w:p w14:paraId="70EB6276" w14:textId="77777777" w:rsidR="00D03C17" w:rsidRDefault="00D03C17">
      <w:pPr>
        <w:pStyle w:val="BodyText"/>
        <w:numPr>
          <w:ilvl w:val="0"/>
          <w:numId w:val="82"/>
        </w:numPr>
        <w:tabs>
          <w:tab w:val="left" w:pos="341"/>
        </w:tabs>
        <w:ind w:left="360" w:hanging="360"/>
      </w:pPr>
      <w:bookmarkStart w:id="106" w:name="bookmark1134"/>
      <w:bookmarkEnd w:id="106"/>
      <w:r>
        <w:t>En el caso de niños que han recibido un número de dosis de la vacuna menor del recomendado, pero que han recibido el número recomendado de dosis de los toxoides diftérico y tetánico correspondientes a su edad (p. ej., quienes recibieron originalmente los dos toxoides para seguir con la vacuna triple o DTP), se administrará la vacuna triple (DTaP) para completar el plan de vacunación recomendado contra tos ferina. Sin embargo, no debe exceder de seis el número total de dosis de toxoides de difteria y tétanos (en las formas de DT, DTaP o DTP) antes de que el niño cumpla siete años.</w:t>
      </w:r>
    </w:p>
    <w:p w14:paraId="112D4F84" w14:textId="77777777" w:rsidR="00D03C17" w:rsidRDefault="00D03C17">
      <w:pPr>
        <w:pStyle w:val="BodyText"/>
        <w:numPr>
          <w:ilvl w:val="0"/>
          <w:numId w:val="82"/>
        </w:numPr>
        <w:tabs>
          <w:tab w:val="left" w:pos="341"/>
        </w:tabs>
        <w:ind w:left="360" w:hanging="360"/>
      </w:pPr>
      <w:bookmarkStart w:id="107" w:name="bookmark1135"/>
      <w:bookmarkEnd w:id="107"/>
      <w:r>
        <w:t xml:space="preserve">Los menores que han sufrido la enfermedad perfectamente corroborada (cultivo positivo de </w:t>
      </w:r>
      <w:r>
        <w:rPr>
          <w:rFonts w:ascii="Times New Roman" w:eastAsia="Times New Roman" w:hAnsi="Times New Roman" w:cs="Times New Roman"/>
          <w:i/>
          <w:iCs/>
          <w:sz w:val="16"/>
          <w:szCs w:val="16"/>
        </w:rPr>
        <w:t>B. pertussis</w:t>
      </w:r>
      <w:r>
        <w:t xml:space="preserve"> o vínculo epidemiológico con un caso con cultivo positivo) deben completar la serie de vacunas, cuando menos con los dos toxoides de difteria y tétanos; algunos expertos recomiendan incluir el componente de pertusis (es decir, administración de la vacuna triple). A pesar de que es posible que la tos ferina perfectamente corroborada confiera inmunidad, se desconoce la duración de esta última.</w:t>
      </w:r>
    </w:p>
    <w:p w14:paraId="12503E2B" w14:textId="77777777" w:rsidR="00D03C17" w:rsidRDefault="00D03C17">
      <w:pPr>
        <w:pStyle w:val="BodyText"/>
        <w:numPr>
          <w:ilvl w:val="0"/>
          <w:numId w:val="82"/>
        </w:numPr>
        <w:tabs>
          <w:tab w:val="left" w:pos="334"/>
        </w:tabs>
        <w:ind w:left="360" w:hanging="360"/>
      </w:pPr>
      <w:bookmarkStart w:id="108" w:name="bookmark1136"/>
      <w:bookmarkEnd w:id="108"/>
      <w:r>
        <w:t>Durante brotes de tos ferina, como ocurre en un hospital, no se recomienda usar la vacuna que contiene la fracción acelular de pertusis para los contactos adultos. Está en marcha la valoración de la vacuna acelular con menor cantidad de antígeno para usar en adolescentes y en adultos, y tales productos deben ser utilizados sólo en protocolos de investigación apropiados hasta que sean aprobados para administrar en niños de siete años y mayores.</w:t>
      </w:r>
    </w:p>
    <w:p w14:paraId="2B6DA87A" w14:textId="77777777" w:rsidR="00D03C17" w:rsidRDefault="00D03C17">
      <w:pPr>
        <w:pStyle w:val="BodyText"/>
        <w:spacing w:line="283" w:lineRule="auto"/>
        <w:ind w:firstLine="360"/>
      </w:pPr>
      <w:r>
        <w:rPr>
          <w:rFonts w:ascii="Arial" w:eastAsia="Arial" w:hAnsi="Arial" w:cs="Arial"/>
          <w:b/>
          <w:bCs/>
          <w:i/>
          <w:iCs/>
          <w:sz w:val="15"/>
          <w:szCs w:val="15"/>
        </w:rPr>
        <w:t>Registros médicos.</w:t>
      </w:r>
      <w:r>
        <w:t xml:space="preserve"> Es importante señalar con alguna indicación muy visible los expedientes y hojas clínicas de niños en quienes se ha diferido la vacunación contra tos ferina, y también se valorará periódicamente el estado vacunal de tales menores para asegurar que son vacunados apropiadamente.</w:t>
      </w:r>
    </w:p>
    <w:p w14:paraId="28E51448" w14:textId="77777777" w:rsidR="00D03C17" w:rsidRDefault="00D03C17">
      <w:pPr>
        <w:pStyle w:val="Bodytext80"/>
        <w:rPr>
          <w:sz w:val="15"/>
          <w:szCs w:val="15"/>
        </w:rPr>
      </w:pPr>
      <w:r>
        <w:rPr>
          <w:b/>
          <w:bCs/>
          <w:i/>
          <w:iCs/>
          <w:sz w:val="15"/>
          <w:szCs w:val="15"/>
        </w:rPr>
        <w:t>Reacciones adversas despúes de la vacunación contra tos ferina</w:t>
      </w:r>
    </w:p>
    <w:p w14:paraId="7747DE54" w14:textId="77777777" w:rsidR="00D03C17" w:rsidRDefault="00D03C17">
      <w:pPr>
        <w:pStyle w:val="BodyText"/>
        <w:numPr>
          <w:ilvl w:val="0"/>
          <w:numId w:val="82"/>
        </w:numPr>
        <w:tabs>
          <w:tab w:val="left" w:pos="334"/>
        </w:tabs>
        <w:ind w:left="360" w:hanging="360"/>
      </w:pPr>
      <w:bookmarkStart w:id="109" w:name="bookmark1137"/>
      <w:bookmarkEnd w:id="109"/>
      <w:r>
        <w:rPr>
          <w:rFonts w:ascii="Times New Roman" w:eastAsia="Times New Roman" w:hAnsi="Times New Roman" w:cs="Times New Roman"/>
          <w:b/>
          <w:bCs/>
          <w:i/>
          <w:iCs/>
          <w:sz w:val="16"/>
          <w:szCs w:val="16"/>
        </w:rPr>
        <w:t>Reacciones locales y febriles.</w:t>
      </w:r>
      <w:r>
        <w:t xml:space="preserve"> Entre las reacciones a la vacuna triple más comunes están enrojecimiento, edema, induración y dolor al tacto en el sitio de inyección; somnolencia; inquietud; anorexia; vómitos; llanto y fiebre mínima o moderada. Las manifestaciones locales y sistémicas comentadas después de aplicar la vacuna contra tos ferina surgen en el término de horas de la vacunación y ceden espontáneamente sin dejar secuelas. Se ha señalado hinchazón que abarca todo el muslo o el brazo después de aplicar las dosis de refuerzo de diferentes vacunas acelulares de tos ferina. Las notificaciones de las reacciones en cuestión por lo común no fueron solicitadas durante estudios de inocuidad; por tal motivo, se desconoce su frecuencia real, pero se ha calculado que va de 1 a 4% después de aplicar la quinta dosis de la vacuna triple. La hinchazón de la extremidad puede acompañarse de eritema, dolor y fiebre. La hinchazón puede interferir en la marcha pero casi ningún niño muestra limitación de actividades. Se desconoce la patogenia y la frecuencia de reacciones importantes y de la hinchazón de extremidades, pero los trastornos mencionados al parecer ceden por sí solos y sin dejar secuelas.</w:t>
      </w:r>
    </w:p>
    <w:p w14:paraId="1B2923FF" w14:textId="77777777" w:rsidR="00D03C17" w:rsidRDefault="00D03C17">
      <w:pPr>
        <w:pStyle w:val="BodyText"/>
        <w:ind w:left="360" w:firstLine="380"/>
      </w:pPr>
      <w:r>
        <w:t>Se desconoce si los niños que tienen hinchazón de toda la extremidad después de recibir la cuarta dosis de la vacuna triple están expuestos a un mayor peligro de presentar la misma reacción después de la quinta dosis. Ante la importancia de la quinta dosis para proteger al menor durante los años escolares, habrá que considerar que el antecedente de hinchazón excesiva después de la cuarta dosis no constituye contraindicación para que se le aplique la quinta dosis al comenzar su ciclo escolar. Habrá que informar a los progenitores de la mayor capacidad reactiva señalada después de la cuarta y la quinta dosis de la vacuna triple.</w:t>
      </w:r>
    </w:p>
    <w:p w14:paraId="14569B45" w14:textId="77777777" w:rsidR="00D03C17" w:rsidRDefault="00D03C17">
      <w:pPr>
        <w:pStyle w:val="BodyText"/>
        <w:ind w:left="360" w:firstLine="380"/>
      </w:pPr>
      <w:r>
        <w:t>En forma global, las reacciones sistémica y local son mucho menos frecuentes con DTaP que con DTP. Los menores que las muestran, deben recibir las dosis ulteriores de la vacuna contra tos ferina conforme señale la programación o calendario.</w:t>
      </w:r>
    </w:p>
    <w:p w14:paraId="598F714B" w14:textId="77777777" w:rsidR="00D03C17" w:rsidRDefault="00D03C17">
      <w:pPr>
        <w:pStyle w:val="BodyText"/>
        <w:ind w:left="360" w:firstLine="380"/>
      </w:pPr>
      <w:r>
        <w:t>Los abscesos bacterianos o estériles en el sitio de la inyección son raros; los primeros denotan contaminación del producto o el incumplimiento de la técnica estéril y hay que notificarlos (véase “Notificación de reacciones adversas”, sección 1). Se desconoce porqué surgen los abscesos estériles, y su aparición no constituye contraindicación para aplicar las dosis siguientes de la vacuna triple.</w:t>
      </w:r>
    </w:p>
    <w:p w14:paraId="6EFA322B" w14:textId="77777777" w:rsidR="00D03C17" w:rsidRDefault="00D03C17">
      <w:pPr>
        <w:pStyle w:val="BodyText"/>
        <w:numPr>
          <w:ilvl w:val="0"/>
          <w:numId w:val="82"/>
        </w:numPr>
        <w:tabs>
          <w:tab w:val="left" w:pos="334"/>
        </w:tabs>
        <w:ind w:left="360" w:hanging="360"/>
      </w:pPr>
      <w:bookmarkStart w:id="110" w:name="bookmark1138"/>
      <w:bookmarkEnd w:id="110"/>
      <w:r>
        <w:rPr>
          <w:rFonts w:ascii="Times New Roman" w:eastAsia="Times New Roman" w:hAnsi="Times New Roman" w:cs="Times New Roman"/>
          <w:b/>
          <w:bCs/>
          <w:i/>
          <w:iCs/>
          <w:sz w:val="16"/>
          <w:szCs w:val="16"/>
        </w:rPr>
        <w:t>Reacciones alérgicas.</w:t>
      </w:r>
      <w:r>
        <w:t xml:space="preserve"> Se calcula que la cifra de reacciones anafilácticas a DTP es de unos dos casos por 100 000 inyecciones; se desconoce la incidencia de reacciones alérgicas después de la aplicación de tal vacuna. Las reacciones anafilácticas graves y las muertes que provoquen, si las hay, ocurren pocas veces después de aplicar la vacuna contra tos ferina. La urticaria transitoria que a veces surge después de la aplicación mencionada, salvo que aparezca inmediatamente (en cuestión de minutos), es probable que no tenga índole anafiláctica (mediada por IgE). Dicha urticaria tal vez represente una reacción causada por complejos de antígeno- anticuerpos circulantes a los antígenos de la vacuna de tos ferina (pertusis) y los anticuerpos correspondientes que surgieron de la aplicación de una dosis anterior o bien de un anticuerpo adquirido por vía transplacentaria. La formación de los complejos mencionados depende de un equilibrio preciso entre las concentraciones del antígeno y los anticuerpos circulantes, razón por la cual dichas reacciones pocas veces reaparecerán después de la aplicación de una dosis ulterior y no constituye contraindicación para la aplicación de más dosis.</w:t>
      </w:r>
    </w:p>
    <w:p w14:paraId="0F63995B" w14:textId="77777777" w:rsidR="00D03C17" w:rsidRDefault="00D03C17">
      <w:pPr>
        <w:pStyle w:val="BodyText"/>
        <w:spacing w:line="276" w:lineRule="auto"/>
        <w:ind w:left="360" w:firstLine="0"/>
      </w:pPr>
      <w:r>
        <w:rPr>
          <w:rFonts w:ascii="Times New Roman" w:eastAsia="Times New Roman" w:hAnsi="Times New Roman" w:cs="Times New Roman"/>
          <w:b/>
          <w:bCs/>
          <w:i/>
          <w:iCs/>
          <w:sz w:val="16"/>
          <w:szCs w:val="16"/>
        </w:rPr>
        <w:t>Convulsiones.</w:t>
      </w:r>
      <w:r>
        <w:t xml:space="preserve"> Se ha calculado que la incidencia de convulsiones en término de 48 h de administrar la vacuna del microorganismo completo de tos ferina (DTP) es de un caso por 1 750 dosis administradas. En estudios clínicos de la vacuna triple en Europa y la vigilancia de reacciones adversas después de la aprobación y distribución de la vacuna triple en Estados Unidos, se ha señalado que la incidencia notificada de convulsiones es muchísimo menor de la que ocasiona la vacuna de difteria, tos ferina y tétanos.</w:t>
      </w:r>
    </w:p>
    <w:p w14:paraId="7AFEE3BD" w14:textId="77777777" w:rsidR="00D03C17" w:rsidRDefault="00D03C17">
      <w:pPr>
        <w:pStyle w:val="BodyText"/>
        <w:ind w:left="360" w:firstLine="360"/>
      </w:pPr>
      <w:r>
        <w:t>Casi todas las convulsiones que surgieron después de la aplicación de DTP fueron breves, cedieron espontáneamente y fueron generalizadas; se observaron por lo común en niños febriles después de recibir la tercera o la cuarta dosis de la serie de vacunas. Dichas características sugieren que las convulsiones que aparecen después de aplicar la vacuna contra tos ferina por lo común tienen origen febril; no se ha demostrado que el cuadro convulsivo haga que más tarde aparezcan convulsiones no febriles (como la epilepsia) u otras secuelas neurológicas. Entre los factores que predisponen a que surjan las convulsiones en término de 48 h está un cuadro convulsivo primario, y los antecedentes personales y familiares de tal problema (véase “Lactantes y niños con trastornos neurológicos primarios”, más adelante en este mismo resumen y “Niños con el antecedente personal o familiar de convulsiones”, sección 1).</w:t>
      </w:r>
    </w:p>
    <w:p w14:paraId="1F73C5E5" w14:textId="77777777" w:rsidR="00D03C17" w:rsidRDefault="00D03C17">
      <w:pPr>
        <w:pStyle w:val="BodyText"/>
        <w:spacing w:line="276" w:lineRule="auto"/>
        <w:ind w:left="360" w:firstLine="0"/>
      </w:pPr>
      <w:r>
        <w:rPr>
          <w:rFonts w:ascii="Times New Roman" w:eastAsia="Times New Roman" w:hAnsi="Times New Roman" w:cs="Times New Roman"/>
          <w:b/>
          <w:bCs/>
          <w:i/>
          <w:iCs/>
          <w:sz w:val="16"/>
          <w:szCs w:val="16"/>
        </w:rPr>
        <w:t>Episodios hipotónicos-hiporreactivos.</w:t>
      </w:r>
      <w:r>
        <w:t xml:space="preserve"> Los señalamientos de los episodios en cuestión (llamados también colapso o estado similar a choque) indican que surgen con una frecuencia de un caso por 1 750 dosis de vacuna DTP administrada. Sin embargo, las cifras al parecer varían ampliamente y van de 3.5 a 291 casos por 100 000 vacunaciones, en otras observaciones. Se desconoce la cifra después de aplicación de la vacuna triple; sin embargo, en investigaciones sobre su eficacia, los episodios en cuestión aparecieron con una frecuencia significativamente menor después de aplicar DTaP que DTP. En el estudio de vigilancia de un grupo de niños que presentaron un episodio hipotónico-hiporreactivo </w:t>
      </w:r>
      <w:r>
        <w:rPr>
          <w:i/>
          <w:iCs/>
        </w:rPr>
        <w:t>(</w:t>
      </w:r>
      <w:r>
        <w:rPr>
          <w:rFonts w:ascii="Times New Roman" w:eastAsia="Times New Roman" w:hAnsi="Times New Roman" w:cs="Times New Roman"/>
          <w:i/>
          <w:iCs/>
          <w:sz w:val="16"/>
          <w:szCs w:val="16"/>
        </w:rPr>
        <w:t>hypotonic- hyporesponsive episode</w:t>
      </w:r>
      <w:r>
        <w:rPr>
          <w:i/>
          <w:iCs/>
        </w:rPr>
        <w:t>,</w:t>
      </w:r>
      <w:r>
        <w:t xml:space="preserve"> HHE) después de ser vacunados con DTP no se demostró prueba alguna de que más adelante quedaría daño neurológico grave o deficiencias de la esfera intelectual.</w:t>
      </w:r>
    </w:p>
    <w:p w14:paraId="377B9BF6" w14:textId="77777777" w:rsidR="00D03C17" w:rsidRDefault="00D03C17">
      <w:pPr>
        <w:pStyle w:val="BodyText"/>
        <w:spacing w:line="276" w:lineRule="auto"/>
        <w:ind w:left="360" w:firstLine="0"/>
      </w:pPr>
      <w:r>
        <w:rPr>
          <w:rFonts w:ascii="Times New Roman" w:eastAsia="Times New Roman" w:hAnsi="Times New Roman" w:cs="Times New Roman"/>
          <w:b/>
          <w:bCs/>
          <w:i/>
          <w:iCs/>
          <w:sz w:val="16"/>
          <w:szCs w:val="16"/>
        </w:rPr>
        <w:t>Temperatura de 40.5°C o más.</w:t>
      </w:r>
      <w:r>
        <w:t xml:space="preserve"> Después de aplicar la vacuna DTP se ha dicho que en cerca de 0.3% de quienes la reciben aparecen temperaturas de 40.5°C o mayores en término de 48 h. La cifra de tal complicación después de la vacuna triple (DTaP) es mucho menor.</w:t>
      </w:r>
    </w:p>
    <w:p w14:paraId="1C1B07EF" w14:textId="77777777" w:rsidR="00D03C17" w:rsidRDefault="00D03C17">
      <w:pPr>
        <w:pStyle w:val="BodyText"/>
        <w:spacing w:line="283" w:lineRule="auto"/>
        <w:ind w:left="360" w:firstLine="0"/>
      </w:pPr>
      <w:r>
        <w:rPr>
          <w:rFonts w:ascii="Times New Roman" w:eastAsia="Times New Roman" w:hAnsi="Times New Roman" w:cs="Times New Roman"/>
          <w:b/>
          <w:bCs/>
          <w:i/>
          <w:iCs/>
          <w:sz w:val="16"/>
          <w:szCs w:val="16"/>
        </w:rPr>
        <w:t>Llanto duradero.</w:t>
      </w:r>
      <w:r>
        <w:t xml:space="preserve"> A veces en término de 48 h de aplicar DTP (con una frecuencia de un caso por 100 dosis administradas) el niño llora o grita en forma persistente, intensa e incontrolable durante 3 h o más. La frecuencia del llanto incontrolable durante 3 h o más es significativamente menor después de aplicación de DTaP. Se desconoce la importancia del llanto persistente; se le ha observado después de aplicar otras vacunas distintas de la vacuna contra la tos ferina pero se desconoce si tiene algún vínculo con la aparición de secuelas.</w:t>
      </w:r>
    </w:p>
    <w:p w14:paraId="540C0DF3" w14:textId="77777777" w:rsidR="00D03C17" w:rsidRDefault="00D03C17">
      <w:pPr>
        <w:pStyle w:val="BodyText"/>
        <w:spacing w:line="276" w:lineRule="auto"/>
        <w:ind w:left="340" w:firstLine="400"/>
      </w:pPr>
      <w:r>
        <w:rPr>
          <w:rFonts w:ascii="Times New Roman" w:eastAsia="Times New Roman" w:hAnsi="Times New Roman" w:cs="Times New Roman"/>
          <w:b/>
          <w:bCs/>
          <w:i/>
          <w:iCs/>
          <w:sz w:val="16"/>
          <w:szCs w:val="16"/>
        </w:rPr>
        <w:t>Frecuencia de reacciones adversas después de vacunación con DTaP.</w:t>
      </w:r>
      <w:r>
        <w:t xml:space="preserve"> En raras ocasiones se han señalado después de la aplicación de DTaP reacciones sistémicas moderadas o graves que incluyen temperatura de 40.5°C o más, llanto persistente e inconsolable que dura 3 h o más y los episodios hipotónicos- hiporreactivos, pero cada unas de las reacciones mencionadas aparece con menor frecuencia que después de la aplicación de DTP. Cuando las reacciones mencionadas aparecen después de aplicar esta última vacuna al parecer no dejan secuelas; la experiencia escasa acumulada con el uso de DTaP sugiere resultados similares. DTaP origina con menor frecuencia fiebre alta, que DTP, razón por la cual cabe prever que habrá una menor posibilidad de convulsiones después de usar la vacuna triple (DTaP) que después de usar DTP; después de aplicar DTaP, la frecuencia ha sido sustancialmente menor que después del uso de vacuna contra difteria, tétanos y tos ferina.</w:t>
      </w:r>
    </w:p>
    <w:p w14:paraId="6D8010F8" w14:textId="77777777" w:rsidR="00D03C17" w:rsidRDefault="00D03C17">
      <w:pPr>
        <w:pStyle w:val="BodyText"/>
        <w:spacing w:line="271" w:lineRule="auto"/>
        <w:ind w:left="340" w:firstLine="400"/>
      </w:pPr>
      <w:r>
        <w:rPr>
          <w:rFonts w:ascii="Times New Roman" w:eastAsia="Times New Roman" w:hAnsi="Times New Roman" w:cs="Times New Roman"/>
          <w:b/>
          <w:bCs/>
          <w:i/>
          <w:iCs/>
          <w:sz w:val="16"/>
          <w:szCs w:val="16"/>
        </w:rPr>
        <w:t>Supuestas reacciones a la vacunación contra tos ferina.</w:t>
      </w:r>
      <w:r>
        <w:t xml:space="preserve"> El vínculo temporal de la vacunación con DTP y reacciones adversas graves como muerte, encefalopatía, comienzo de un cuadro convulsivo, retraso del desarrollo, problemas de aprendizaje o conducta no significa relación de causa y efecto. Muchas manifestaciones de las supuestas reacciones vacunales tienen otros orígenes como encefalitis vírica, infecciones coexistentes, cuadros neurológicos preexistentes y anormalidades metabólicas y congénitas de otro tipo. Por ejemplo, en tanto que los espasmos infantiles por lo común comienzan en los primeros seis meses de vida y en algunos casos se han vinculado cronológicamente con la administración de la vacuna contra la tos ferina, los datos epidemiológicos demuestran que dicha vacuna no origina los espasmos comentados. Después de aplicar DTP se ha sabido de casos del síndrome de muerte súbita del lactante </w:t>
      </w:r>
      <w:r>
        <w:rPr>
          <w:i/>
          <w:iCs/>
        </w:rPr>
        <w:t>(</w:t>
      </w:r>
      <w:r>
        <w:rPr>
          <w:rFonts w:ascii="Times New Roman" w:eastAsia="Times New Roman" w:hAnsi="Times New Roman" w:cs="Times New Roman"/>
          <w:i/>
          <w:iCs/>
          <w:sz w:val="16"/>
          <w:szCs w:val="16"/>
        </w:rPr>
        <w:t>sudden infant death syndrome</w:t>
      </w:r>
      <w:r>
        <w:rPr>
          <w:i/>
          <w:iCs/>
        </w:rPr>
        <w:t>,</w:t>
      </w:r>
      <w:r>
        <w:t xml:space="preserve"> SIDS), pero algunas investigaciones han aportado pruebas de que la aplicación de dicha vacuna no guarda relación causal con SIDS. Un gran estudio de casos y testigos de SIDS en Estados Unidos demostró que los menores que murieron no tuvieron una mayor frecuencia de haber recibido las vacunaciones con DTP que los niños testigo. Dado que SIDS aparece con mayor frecuencia en la edad en que se recomienda aplicar la vacuna DTP, cabe esperar coincidencias cronológicas entre SIDS y vacunación (la sola participación del azar).</w:t>
      </w:r>
    </w:p>
    <w:p w14:paraId="6517F74C" w14:textId="77777777" w:rsidR="00D03C17" w:rsidRDefault="00D03C17">
      <w:pPr>
        <w:pStyle w:val="BodyText"/>
        <w:spacing w:line="276" w:lineRule="auto"/>
        <w:ind w:left="340" w:firstLine="400"/>
      </w:pPr>
      <w:r>
        <w:rPr>
          <w:rFonts w:ascii="Times New Roman" w:eastAsia="Times New Roman" w:hAnsi="Times New Roman" w:cs="Times New Roman"/>
          <w:b/>
          <w:bCs/>
          <w:i/>
          <w:iCs/>
          <w:sz w:val="16"/>
          <w:szCs w:val="16"/>
        </w:rPr>
        <w:t>Evaluación de reacciones adversas vinculadas cronológicamente con la aplicación de la vacuna contra la tos ferina.</w:t>
      </w:r>
      <w:r>
        <w:t xml:space="preserve"> Se necesita emprender estudios diagnósticos apropiados para definir la causa de las reacciones adversas graves que surgen en formas temporal, con la vacunación y no suponer que son causadas por la vacuna. En los Estados Unidos, los </w:t>
      </w:r>
      <w:r>
        <w:rPr>
          <w:rFonts w:ascii="Times New Roman" w:eastAsia="Times New Roman" w:hAnsi="Times New Roman" w:cs="Times New Roman"/>
          <w:i/>
          <w:iCs/>
          <w:sz w:val="16"/>
          <w:szCs w:val="16"/>
        </w:rPr>
        <w:t xml:space="preserve">Centers for Disease Control and Prevention </w:t>
      </w:r>
      <w:r>
        <w:t xml:space="preserve">han establecido centros independientes de Evaluación de la Seguridad de la Vacunación Clínica </w:t>
      </w:r>
      <w:r>
        <w:rPr>
          <w:i/>
          <w:iCs/>
        </w:rPr>
        <w:t>(</w:t>
      </w:r>
      <w:r>
        <w:rPr>
          <w:rFonts w:ascii="Times New Roman" w:eastAsia="Times New Roman" w:hAnsi="Times New Roman" w:cs="Times New Roman"/>
          <w:i/>
          <w:iCs/>
          <w:sz w:val="16"/>
          <w:szCs w:val="16"/>
        </w:rPr>
        <w:t>Clinical Immunization Safety Assessment</w:t>
      </w:r>
      <w:r>
        <w:rPr>
          <w:i/>
          <w:iCs/>
        </w:rPr>
        <w:t>,</w:t>
      </w:r>
      <w:r>
        <w:t xml:space="preserve"> CISA) para valorar a personas con problemas adversos escogidos y plantea recomendaciones para su tratamiento. Sin embargo, no se ha definido el origen de los problemas temporalmente vinculados con la vacunación, incluso después de estudios diagnósticos.</w:t>
      </w:r>
    </w:p>
    <w:p w14:paraId="63770C87" w14:textId="77777777" w:rsidR="00D03C17" w:rsidRDefault="00D03C17">
      <w:pPr>
        <w:pStyle w:val="Bodytext20"/>
        <w:spacing w:line="314" w:lineRule="auto"/>
        <w:rPr>
          <w:sz w:val="19"/>
          <w:szCs w:val="19"/>
        </w:rPr>
      </w:pPr>
      <w:r>
        <w:rPr>
          <w:b/>
          <w:bCs/>
          <w:i/>
          <w:iCs/>
        </w:rPr>
        <w:t>Enfermedad aguda y grave del sistema nervioso y daño encefálico permanente.</w:t>
      </w:r>
      <w:r>
        <w:rPr>
          <w:rFonts w:ascii="Garamond" w:eastAsia="Garamond" w:hAnsi="Garamond" w:cs="Garamond"/>
          <w:sz w:val="19"/>
          <w:szCs w:val="19"/>
        </w:rPr>
        <w:t xml:space="preserve"> En épocas pasadas la discapacidad neurológica permanente (daño </w:t>
      </w:r>
      <w:r>
        <w:rPr>
          <w:rStyle w:val="BodyTextChar"/>
        </w:rPr>
        <w:t>encefálico) e incluso la muerte habían sido consideradas como secuelas poco comunes de reacciones neurológicas adversas, graves y raras vinculadas temporalmente con la aplicación de la vacuna hecha de microorganismos enteros de tos ferina (DTP). En tales casos no se ha identificado síndromes clínicos específicos ni hallazgos neuropatológicos, por lo que es imposible saber si la vacuna en cuestión es la causa de los déficit específicos de un niño. Los hechos adversos en cuestión pueden aparecer en niños vacunados o no vacunados, particularmente en el primer año de vida. Por tal razón, en los estudios epidemiológicos se necesita precisar el peligro de que surjan secuelas graves después de problemas agudos relacionados temporalmente con la vacunación contra la tos ferina.</w:t>
      </w:r>
    </w:p>
    <w:p w14:paraId="692882CA" w14:textId="77777777" w:rsidR="00D03C17" w:rsidRDefault="00D03C17">
      <w:pPr>
        <w:pStyle w:val="BodyText"/>
        <w:ind w:left="360" w:firstLine="340"/>
      </w:pPr>
      <w:r>
        <w:t xml:space="preserve">El único estudio de casos y testigos que abordó el problema de si los cuadros neurológicos vinculados con la aplicación de la vacuna DTP originaban daño encefálico permanente es el llamado </w:t>
      </w:r>
      <w:r>
        <w:rPr>
          <w:rFonts w:ascii="Times New Roman" w:eastAsia="Times New Roman" w:hAnsi="Times New Roman" w:cs="Times New Roman"/>
          <w:i/>
          <w:iCs/>
          <w:sz w:val="16"/>
          <w:szCs w:val="16"/>
        </w:rPr>
        <w:t>National Childhood Encephalopathy Study</w:t>
      </w:r>
      <w:r>
        <w:t xml:space="preserve"> que se hizo en Inglaterra entre 1976 y 1979.</w:t>
      </w:r>
    </w:p>
    <w:p w14:paraId="522E60DD" w14:textId="77777777" w:rsidR="00D03C17" w:rsidRDefault="00D03C17">
      <w:pPr>
        <w:pStyle w:val="BodyText"/>
        <w:spacing w:line="276" w:lineRule="auto"/>
        <w:ind w:firstLine="700"/>
      </w:pPr>
      <w:r>
        <w:t xml:space="preserve">Los resultados de tal investigación y los datos de la vigilancia decenal no confirman que exista una relación causal entre la aplicación de la vacuna de microorganismos enteros de tos ferina y los cuadros neurológicos crónicos. Otros estudios tampoco han aportado pruebas en pro de una relación causal entre la vacunación con DTP y cuadros neurológicos graves y agudos que originen daño permanente del sistema nervioso. La escasa experiencia acumulada con el uso de la vacuna de tipo acelular no permite dar conclusiones en cuanto a la frecuencia de reacciones adversas raras y graves vinculadas estructuralmente con su administración. </w:t>
      </w:r>
      <w:r>
        <w:rPr>
          <w:rFonts w:ascii="Arial" w:eastAsia="Arial" w:hAnsi="Arial" w:cs="Arial"/>
          <w:b/>
          <w:bCs/>
          <w:i/>
          <w:iCs/>
          <w:sz w:val="15"/>
          <w:szCs w:val="15"/>
        </w:rPr>
        <w:t>Contraindicaciones para la vacunación contra tos ferina.</w:t>
      </w:r>
      <w:r>
        <w:t xml:space="preserve"> Se indican a continuación las reacciones adversas que surgen después de aplicar la vacuna contra tos ferina que constituyen contraindicación para seguir aplicando la vacuna triple (DTaP).</w:t>
      </w:r>
    </w:p>
    <w:p w14:paraId="5846E430" w14:textId="77777777" w:rsidR="00D03C17" w:rsidRDefault="00D03C17">
      <w:pPr>
        <w:pStyle w:val="BodyText"/>
        <w:numPr>
          <w:ilvl w:val="0"/>
          <w:numId w:val="82"/>
        </w:numPr>
        <w:tabs>
          <w:tab w:val="left" w:pos="693"/>
        </w:tabs>
        <w:ind w:left="700" w:hanging="340"/>
      </w:pPr>
      <w:bookmarkStart w:id="111" w:name="bookmark1139"/>
      <w:bookmarkEnd w:id="111"/>
      <w:r>
        <w:rPr>
          <w:rFonts w:ascii="Times New Roman" w:eastAsia="Times New Roman" w:hAnsi="Times New Roman" w:cs="Times New Roman"/>
          <w:b/>
          <w:bCs/>
          <w:i/>
          <w:iCs/>
          <w:sz w:val="16"/>
          <w:szCs w:val="16"/>
        </w:rPr>
        <w:t>Reacción anafilattica inmediata.</w:t>
      </w:r>
      <w:r>
        <w:t xml:space="preserve"> Es necesario diferir las nuevas aplicaciones con cualquiera de los tres componentes de la vacuna triple o de DTP por la incertidumbre de si fueron originadas por algunos de los antígenos. Es posible enviar a todo niño que mostró reacciones anafilácticas de este tipo a un alergólogo para su valoración y desensibilización al toxoide tetánico si se demuestra que existe alergia específica a él.</w:t>
      </w:r>
    </w:p>
    <w:p w14:paraId="32ACE07A" w14:textId="77777777" w:rsidR="00D03C17" w:rsidRDefault="00D03C17">
      <w:pPr>
        <w:pStyle w:val="BodyText"/>
        <w:numPr>
          <w:ilvl w:val="0"/>
          <w:numId w:val="82"/>
        </w:numPr>
        <w:tabs>
          <w:tab w:val="left" w:pos="693"/>
        </w:tabs>
        <w:ind w:left="700" w:hanging="340"/>
      </w:pPr>
      <w:bookmarkStart w:id="112" w:name="bookmark1140"/>
      <w:bookmarkEnd w:id="112"/>
      <w:r>
        <w:rPr>
          <w:rFonts w:ascii="Times New Roman" w:eastAsia="Times New Roman" w:hAnsi="Times New Roman" w:cs="Times New Roman"/>
          <w:b/>
          <w:bCs/>
          <w:i/>
          <w:iCs/>
          <w:sz w:val="16"/>
          <w:szCs w:val="16"/>
        </w:rPr>
        <w:t>Encefalopatía en término de siete días.</w:t>
      </w:r>
      <w:r>
        <w:t xml:space="preserve"> El síndrome en cuestión ha sido definido como un trastorno grave y agudo del sistema nervioso central no explicado por otra causa, que puede manifestarse por intensas alteraciones de la conciencia o por convulsiones generalizadas o focales que persisten varias horas sin recuperación en término de 24 h. La prudencia justifica considerar a tal cuadro que aparece en término de siete días de aplicación de DTP, como una contraindicación posible para aplicar más dosis de la vacuna contra la tos ferina y habrá que sustituir por DT cada una de las dosis ulteriores recomendadas de los toxoides de difteria y tétanos.</w:t>
      </w:r>
    </w:p>
    <w:p w14:paraId="2D2C7666" w14:textId="77777777" w:rsidR="00D03C17" w:rsidRDefault="00D03C17">
      <w:pPr>
        <w:pStyle w:val="BodyText"/>
        <w:spacing w:line="276" w:lineRule="auto"/>
        <w:ind w:firstLine="360"/>
      </w:pPr>
      <w:r>
        <w:rPr>
          <w:rFonts w:ascii="Arial" w:eastAsia="Arial" w:hAnsi="Arial" w:cs="Arial"/>
          <w:b/>
          <w:bCs/>
          <w:i/>
          <w:iCs/>
          <w:sz w:val="15"/>
          <w:szCs w:val="15"/>
        </w:rPr>
        <w:t>Precauciones en la vacunación contra tos ferina.</w:t>
      </w:r>
      <w:r>
        <w:t xml:space="preserve"> En caso de que surjan las siguientes reacciones adversas en relación temporal o cronológica a la aplicación de DTaP, hay que analizar con todo cuidado la decisión de aplicar más dosis de la vacuna contra la tos ferina. Los hechos anteriores alguna vez fueron considerados como contraindicaciones, pero en la actualidad se les coloca dentro de la categoría de precauciones porque se ha demostrado que no originan secuelas permanentes:</w:t>
      </w:r>
    </w:p>
    <w:p w14:paraId="1DC6E4DF" w14:textId="77777777" w:rsidR="00D03C17" w:rsidRDefault="00D03C17">
      <w:pPr>
        <w:pStyle w:val="BodyText"/>
        <w:numPr>
          <w:ilvl w:val="0"/>
          <w:numId w:val="82"/>
        </w:numPr>
        <w:tabs>
          <w:tab w:val="left" w:pos="693"/>
        </w:tabs>
        <w:ind w:left="700" w:hanging="340"/>
      </w:pPr>
      <w:bookmarkStart w:id="113" w:name="bookmark1141"/>
      <w:bookmarkEnd w:id="113"/>
      <w:r>
        <w:t>Una convulsión con fiebre o sin ella, que surge en término de 72 h de la aplicación de DTP o toxoides diftérico y tetánico y pertusis acelular.</w:t>
      </w:r>
    </w:p>
    <w:p w14:paraId="7247133A" w14:textId="77777777" w:rsidR="00D03C17" w:rsidRDefault="00D03C17">
      <w:pPr>
        <w:pStyle w:val="BodyText"/>
        <w:numPr>
          <w:ilvl w:val="0"/>
          <w:numId w:val="82"/>
        </w:numPr>
        <w:tabs>
          <w:tab w:val="left" w:pos="698"/>
        </w:tabs>
        <w:ind w:left="700" w:hanging="340"/>
      </w:pPr>
      <w:bookmarkStart w:id="114" w:name="bookmark1142"/>
      <w:bookmarkEnd w:id="114"/>
      <w:r>
        <w:t>Llanto o alarido inconsolable, intenso y persistente durante 3 h o más, en término de 48 h de la vacunación.</w:t>
      </w:r>
    </w:p>
    <w:p w14:paraId="2BB99E91" w14:textId="77777777" w:rsidR="00D03C17" w:rsidRDefault="00D03C17">
      <w:pPr>
        <w:pStyle w:val="BodyText"/>
        <w:numPr>
          <w:ilvl w:val="0"/>
          <w:numId w:val="82"/>
        </w:numPr>
        <w:tabs>
          <w:tab w:val="left" w:pos="698"/>
        </w:tabs>
        <w:ind w:left="700" w:hanging="340"/>
      </w:pPr>
      <w:bookmarkStart w:id="115" w:name="bookmark1143"/>
      <w:bookmarkEnd w:id="115"/>
      <w:r>
        <w:t>Colapso o un estado similar al choque (HHE) en término de 48 h de la vacunación.</w:t>
      </w:r>
    </w:p>
    <w:p w14:paraId="0B04FC51" w14:textId="77777777" w:rsidR="00D03C17" w:rsidRDefault="00D03C17">
      <w:pPr>
        <w:pStyle w:val="BodyText"/>
        <w:numPr>
          <w:ilvl w:val="0"/>
          <w:numId w:val="82"/>
        </w:numPr>
        <w:tabs>
          <w:tab w:val="left" w:pos="698"/>
        </w:tabs>
        <w:ind w:left="700" w:hanging="340"/>
      </w:pPr>
      <w:bookmarkStart w:id="116" w:name="bookmark1144"/>
      <w:bookmarkEnd w:id="116"/>
      <w:r>
        <w:t>Temperatura de 40.5°C o mayor no explicada por otra causa, en término de 48 h de la vacunación.</w:t>
      </w:r>
    </w:p>
    <w:p w14:paraId="59506885" w14:textId="77777777" w:rsidR="00D03C17" w:rsidRDefault="00D03C17">
      <w:pPr>
        <w:pStyle w:val="BodyText"/>
        <w:ind w:firstLine="360"/>
      </w:pPr>
      <w:r>
        <w:t>Antes de aplicar cada dosis de la vacuna contra tos ferina hay que preguntar a los progenitores o al tutor de la posibilidad de que hubieran surgido reacciones adversas con las dosis anteriores.</w:t>
      </w:r>
    </w:p>
    <w:p w14:paraId="7CC69FE3" w14:textId="77777777" w:rsidR="00D03C17" w:rsidRDefault="00D03C17">
      <w:pPr>
        <w:pStyle w:val="BodyText"/>
        <w:ind w:firstLine="360"/>
      </w:pPr>
      <w:r>
        <w:t>Se desconocen los peligros de aplicar nuevas dosis de la vacuna contra la tos ferina a un niño que ha sufrido una de tales reacciones, pero la posibilidad de que surja otra de intensidad semejante o mayor pudiera justificar la interrupción de la aplicación de las vacunas contra la tos ferina. Sin embargo, en caso de haber un mayor peligro, como sería durante un brote de tos ferina en la comunidad, el posible beneficio de la vacunación quizá supere el riesgo de otra reacción. Es importante la decisión de aplicar o no aplicar las vacunas con base en la valoración clínica de las reacciones previas, la posibilidad de exposición a tos ferina en la comunidad en que vive el niño y los beneficios y riesgos posibles de aplicar la vacuna contra la enfermedad.</w:t>
      </w:r>
    </w:p>
    <w:p w14:paraId="6AF0C50B" w14:textId="77777777" w:rsidR="00D03C17" w:rsidRDefault="00D03C17">
      <w:pPr>
        <w:pStyle w:val="BodyText"/>
        <w:spacing w:line="276" w:lineRule="auto"/>
        <w:ind w:firstLine="360"/>
      </w:pPr>
      <w:r>
        <w:rPr>
          <w:rFonts w:ascii="Arial" w:eastAsia="Arial" w:hAnsi="Arial" w:cs="Arial"/>
          <w:b/>
          <w:bCs/>
          <w:i/>
          <w:iCs/>
          <w:sz w:val="15"/>
          <w:szCs w:val="15"/>
        </w:rPr>
        <w:t>Lactantes y niños con trastornos primarios del sistema nervioso.</w:t>
      </w:r>
      <w:r>
        <w:t xml:space="preserve"> Es difícil decidir si se aplica la vacuna contra tos ferina a lactantes y niños que tienen trastornos primarios del sistema nervioso, y la decisión debe tomarse sobre bases individuales después del análisis cuidadoso e ininterrumpido de los riesgos y beneficios (véase también “Niños con el antecedente personal o familiar de convulsiones”, sección 1). En raras ocasiones tales cuadros pudieran constituir una causa para diferir la vacunación contra la tos ferina, y con base en los antecedentes personales del menor, aplicar más adelante la vacuna faltante. Los brotes de tos ferina siguen apareciendo en Estados Unidos, y por ello la decisión de diferir la vacunación se revalorará en cada nueva visita para vacunación, y la decisión de aplicar la vacuna contra la tos ferina debe tomarse con base en los riesgos y consecuencias de una convulsión después de aplicar la vacuna triple (DTaP) en comparación con el riesgo de sufrir la enfermedad y sus complicaciones. Los menores que también tienen déficit del sistema nervioso pueden estar expuestos a un mayor peligro de complicaciones si se infectan de </w:t>
      </w:r>
      <w:r>
        <w:rPr>
          <w:rFonts w:ascii="Times New Roman" w:eastAsia="Times New Roman" w:hAnsi="Times New Roman" w:cs="Times New Roman"/>
          <w:i/>
          <w:iCs/>
          <w:sz w:val="16"/>
          <w:szCs w:val="16"/>
        </w:rPr>
        <w:t>B. pertussis</w:t>
      </w:r>
      <w:r>
        <w:rPr>
          <w:i/>
          <w:iCs/>
        </w:rPr>
        <w:t>.</w:t>
      </w:r>
      <w:r>
        <w:t xml:space="preserve"> Los niños que viajan a zonas endémicas o epidémicas de tos ferina o que residen en ellas están expuestos a un mayor peligro de presentar la enfermedad. Se harán intentos para asegurar la vacunación contra tos ferina de todo niño que acuda a centros de atención pediátrica, clínicas especiales o instituciones de atención a largo plazo.</w:t>
      </w:r>
    </w:p>
    <w:p w14:paraId="31C42152" w14:textId="77777777" w:rsidR="00D03C17" w:rsidRDefault="00D03C17">
      <w:pPr>
        <w:pStyle w:val="BodyText"/>
        <w:ind w:firstLine="360"/>
      </w:pPr>
      <w:r>
        <w:t>A continuación se señalan las categorías de trastornos del sistema nervioso y las recomendaciones más importantes:</w:t>
      </w:r>
    </w:p>
    <w:p w14:paraId="4C3F1709" w14:textId="77777777" w:rsidR="00D03C17" w:rsidRDefault="00D03C17">
      <w:pPr>
        <w:pStyle w:val="BodyText"/>
        <w:numPr>
          <w:ilvl w:val="0"/>
          <w:numId w:val="82"/>
        </w:numPr>
        <w:tabs>
          <w:tab w:val="left" w:pos="336"/>
        </w:tabs>
        <w:spacing w:line="276" w:lineRule="auto"/>
        <w:ind w:left="360" w:hanging="360"/>
      </w:pPr>
      <w:bookmarkStart w:id="117" w:name="bookmark1145"/>
      <w:bookmarkEnd w:id="117"/>
      <w:r>
        <w:rPr>
          <w:rFonts w:ascii="Times New Roman" w:eastAsia="Times New Roman" w:hAnsi="Times New Roman" w:cs="Times New Roman"/>
          <w:b/>
          <w:bCs/>
          <w:i/>
          <w:iCs/>
          <w:sz w:val="16"/>
          <w:szCs w:val="16"/>
        </w:rPr>
        <w:t>Trastorno progresivo del sistema nervioso que se caracteriza por retraso del desarrollo o por hallazgos neurológicos.</w:t>
      </w:r>
      <w:r>
        <w:t xml:space="preserve"> Los trastornos en cuestión constituyen una razón para diferir de manera indefinida la vacunación contra tos ferina. La aplicación de la vacuna triple (DTaP) puede coincidir con la identificación y las manifestaciones inevitables del problema o acelerarlas, y así surgir confusión en cuanto a la causalidad. Entre los ejemplos estarían los espasmos infantiles y otros cuadros epilépticos que comienzan en la lactancia. Es importante diferenciarlos de los que no son progresivos, con síntomas que a veces cambian conforme madura el niño.</w:t>
      </w:r>
    </w:p>
    <w:p w14:paraId="2B63A2B7" w14:textId="77777777" w:rsidR="00D03C17" w:rsidRDefault="00D03C17">
      <w:pPr>
        <w:pStyle w:val="BodyText"/>
        <w:numPr>
          <w:ilvl w:val="0"/>
          <w:numId w:val="82"/>
        </w:numPr>
        <w:tabs>
          <w:tab w:val="left" w:pos="336"/>
        </w:tabs>
        <w:ind w:left="360" w:hanging="360"/>
      </w:pPr>
      <w:bookmarkStart w:id="118" w:name="bookmark1146"/>
      <w:bookmarkEnd w:id="118"/>
      <w:r>
        <w:rPr>
          <w:rFonts w:ascii="Times New Roman" w:eastAsia="Times New Roman" w:hAnsi="Times New Roman" w:cs="Times New Roman"/>
          <w:b/>
          <w:bCs/>
          <w:i/>
          <w:iCs/>
          <w:sz w:val="16"/>
          <w:szCs w:val="16"/>
        </w:rPr>
        <w:t>Lactantes y niños con el antecedente de convulsiones.</w:t>
      </w:r>
      <w:r>
        <w:t xml:space="preserve"> Los menores con el antecedente de convulsiones tal vez estén expuestos a un mayor peligro de mostrarlas después de recibir DTP. Ningún dato indica que tales convulsiones vinculadas con vacunas induzcan daño encefálico permanente, causen epilepsia y agraven trastornos del sistema nervioso o afecten el pronóstico de los niños con trastornos primarios. Sin embargo, dado que aumenta el peligro de una convulsión después de la vacunación, será mejor diferir la aplicación de la vacuna contra tos ferina en niños que han sufrido recientemente convulsiones, hasta descartar un trastorno neurológico progresivo. Pueden recibir DTaP los lactantes y niños con convulsiones muy bien controladas o aquellos en quienes posiblemente no reaparezca el problema mencionado. También habría que analizar la administración de acetaminofén u otro antipirético apropiado para la fecha de la vacunación y cada 4 h en las siguientes 24 horas.</w:t>
      </w:r>
    </w:p>
    <w:p w14:paraId="28661648" w14:textId="77777777" w:rsidR="00D03C17" w:rsidRDefault="00D03C17">
      <w:pPr>
        <w:pStyle w:val="BodyText"/>
        <w:spacing w:line="276" w:lineRule="auto"/>
        <w:ind w:left="360"/>
      </w:pPr>
      <w:r>
        <w:rPr>
          <w:rFonts w:ascii="Times New Roman" w:eastAsia="Times New Roman" w:hAnsi="Times New Roman" w:cs="Times New Roman"/>
          <w:b/>
          <w:bCs/>
          <w:i/>
          <w:iCs/>
          <w:sz w:val="16"/>
          <w:szCs w:val="16"/>
        </w:rPr>
        <w:t>Lactantes y niños que tienen cuadros neurológicos (o se sospecha de su presencia) que predisponen a la aparición de convulsiones o deterioro neurológico.</w:t>
      </w:r>
      <w:r>
        <w:t xml:space="preserve"> Los trastornos en cuestión incluyen esclerosis tuberosa y algunas metabolicopatías hereditarias o enfermedades degenerativas. Hay que analizar la posibilidad de diferir la vacunación contra tos ferina en dichos pacientes. En la evolución normal de tales enfermedades pueden aparecer convulsiones o encefalopatía y, por tal razón, también pueden surgir después de cualquier vacunación. La aplicación de DTaP puede acompañarse de manifestaciones francas de los trastornos que originarán confusión en cuanto a las causas. Por todo lo expuesto, los menores con trastornos del sistema nervioso, inestables o en evolución que pudieran predisponer a convulsiones o a deterioro neurológico deben ser observados antes de la vacunación para precisar el diagnóstico y el pronóstico del trastorno neurológico primario. En cada visita hay que reconsiderar la vacunación contra tos ferina, que incluya la vacuna triple (DTaP). Si se observó resolución, corrección o erradicación del problema, será posible vacunar a los niños. </w:t>
      </w:r>
      <w:r>
        <w:rPr>
          <w:rFonts w:ascii="Times New Roman" w:eastAsia="Times New Roman" w:hAnsi="Times New Roman" w:cs="Times New Roman"/>
          <w:b/>
          <w:bCs/>
          <w:i/>
          <w:iCs/>
          <w:sz w:val="16"/>
          <w:szCs w:val="16"/>
        </w:rPr>
        <w:t>Premadurez.</w:t>
      </w:r>
      <w:r>
        <w:t xml:space="preserve"> Ningún dato indica que la premadurez, en ausencia de otros factores, agrave el peligro de convulsiones después de la vacunación, y el estado prematuro no constituye una razón para diferir la vacunación (véase “Productos pretérmino y productos con bajo peso neonatal”, sección 1). En forma semejante, cuadros neurológicos estables, como serían retraso del desarrollo o parálisis cerebral, no constituyen contraindicaciones para la aplicación de vacuna contra tos ferina.</w:t>
      </w:r>
    </w:p>
    <w:p w14:paraId="6F718CCA" w14:textId="77777777" w:rsidR="00D03C17" w:rsidRDefault="00D03C17">
      <w:pPr>
        <w:pStyle w:val="BodyText"/>
        <w:spacing w:line="276" w:lineRule="auto"/>
        <w:ind w:left="360"/>
      </w:pPr>
      <w:r>
        <w:rPr>
          <w:rFonts w:ascii="Times New Roman" w:eastAsia="Times New Roman" w:hAnsi="Times New Roman" w:cs="Times New Roman"/>
          <w:b/>
          <w:bCs/>
          <w:i/>
          <w:iCs/>
          <w:sz w:val="16"/>
          <w:szCs w:val="16"/>
        </w:rPr>
        <w:t>Aplazamiento temporal de la vacunación contra tos ferina.</w:t>
      </w:r>
      <w:r>
        <w:t xml:space="preserve"> Los niños en su primer año de vida que tienen trastornos neurológicos que obligan a aplazar en forma temporal la aplicación de la vacuna contra tos ferina no deben recibir DTaP o DT, porque en Estados Unidos es remota la posibilidad del contagio de difteria o tétanos en niños menores de un año de vida. Al cumplir el niño un año o antes de hacerlo, habrá que decidirse la aplicación de la vacuna en forma de DTaP o DT para asegurar que el niño está vacunado, cuando menos, contra difteria y tétanos; conforme comienza a caminar el menor aumenta el peligro de heridas en que fácilmente puede aparecer tétanos.</w:t>
      </w:r>
    </w:p>
    <w:p w14:paraId="723309E8" w14:textId="77777777" w:rsidR="00D03C17" w:rsidRDefault="00D03C17">
      <w:pPr>
        <w:pStyle w:val="BodyText"/>
        <w:ind w:left="360" w:firstLine="400"/>
        <w:sectPr w:rsidR="00D03C17" w:rsidSect="00D03C17">
          <w:headerReference w:type="even" r:id="rId183"/>
          <w:headerReference w:type="default" r:id="rId184"/>
          <w:footerReference w:type="even" r:id="rId185"/>
          <w:footerReference w:type="default" r:id="rId186"/>
          <w:footnotePr>
            <w:numFmt w:val="chicago"/>
          </w:footnotePr>
          <w:pgSz w:w="8501" w:h="13022"/>
          <w:pgMar w:top="707" w:right="578" w:bottom="444" w:left="521" w:header="0" w:footer="3" w:gutter="0"/>
          <w:pgNumType w:start="648"/>
          <w:cols w:space="720"/>
          <w:noEndnote/>
          <w:docGrid w:linePitch="360"/>
          <w15:footnoteColumns w:val="1"/>
        </w:sectPr>
      </w:pPr>
      <w:r>
        <w:t xml:space="preserve">Los menores con trastornos neurológicos que se identifican después de que ellos cumplen el primer año de vida muy a menudo han recibido una o más dosis de vacuna que contiene la fracción contra la tos ferina. El médico puede diferir temporalmente la aplicación de más dosis de DTaP antes de esclarecer el estado neurológico del menor. Si el facultativo señala que el niño probablemente no deba recibir más vacunas contra tos ferina, habrá que completar la vacunación con DT </w:t>
      </w:r>
    </w:p>
    <w:p w14:paraId="2B0FF21C" w14:textId="77777777" w:rsidR="00D03C17" w:rsidRDefault="00D03C17">
      <w:pPr>
        <w:pStyle w:val="BodyText"/>
        <w:ind w:left="360" w:firstLine="0"/>
      </w:pPr>
      <w:r>
        <w:t>con base en el plan o calendario recomendado (véase “Difteria”, “Tétanos”, o ambas enfermedades, en esta sección).</w:t>
      </w:r>
    </w:p>
    <w:p w14:paraId="1DC7D425" w14:textId="77777777" w:rsidR="00D03C17" w:rsidRDefault="00D03C17">
      <w:pPr>
        <w:pStyle w:val="BodyText"/>
        <w:spacing w:line="276" w:lineRule="auto"/>
        <w:ind w:firstLine="360"/>
      </w:pPr>
      <w:r>
        <w:rPr>
          <w:rFonts w:ascii="Arial" w:eastAsia="Arial" w:hAnsi="Arial" w:cs="Arial"/>
          <w:b/>
          <w:bCs/>
          <w:i/>
          <w:iCs/>
          <w:sz w:val="15"/>
          <w:szCs w:val="15"/>
        </w:rPr>
        <w:t>Niños con el antecedente familiar de convulsiones</w:t>
      </w:r>
      <w:r>
        <w:t xml:space="preserve"> (véase también “Niños con el antecedente personal o familiar de convulsiones”, sección 1). El antecedente de un cuadro convulsivo o de reacciones adversas después de la aplicación de la vacuna que contenga la fracción contra la tos ferina en el miembro de una familia, no es contraindicación para la aplicación de la vacuna contra la tos ferina. El peligro de que surjan convulsiones después de aplicar DTP en niños con el antecedente familiar de convulsiones aumenta, pero tales convulsiones por lo común provienen de un cuadro febril y generalmente tienen un pronóstico benigno. Además, el peligro de fiebre es menor después de aplicar DTaP y cualquier riesgo de una convulsión de origen febril resultante es superado notablemente por el peligro incesante de tos ferina en Estados Unidos. Se recomienda aplicar DTaP ante el número importante de niños con el antecedente familiar de convulsiones que, de no ser vacunados, persistirían en una situación susceptible a la tos ferina.</w:t>
      </w:r>
    </w:p>
    <w:p w14:paraId="16225D38" w14:textId="77777777" w:rsidR="00D03C17" w:rsidRDefault="00D03C17">
      <w:pPr>
        <w:pStyle w:val="BodyText"/>
        <w:spacing w:after="100" w:line="276" w:lineRule="auto"/>
        <w:ind w:firstLine="360"/>
      </w:pPr>
      <w:r>
        <w:rPr>
          <w:rFonts w:ascii="Arial" w:eastAsia="Arial" w:hAnsi="Arial" w:cs="Arial"/>
          <w:b/>
          <w:bCs/>
          <w:i/>
          <w:iCs/>
          <w:sz w:val="15"/>
          <w:szCs w:val="15"/>
        </w:rPr>
        <w:t xml:space="preserve">Orientación a padres de niños que están expuestos a un mayor peligro de convulsiones. </w:t>
      </w:r>
      <w:r>
        <w:t>Los progenitores de niños como los que tienen antecedentes personales o familiares de convulsiones y que pudieran estar expuestos a un mayor peligro de presentarlas después de recibir la vacuna contra la tos ferina, deben recibir información de los peligros y beneficios de la vacunación contra dicha enfermedad en tales circunstancias. Es necesario dar consejo en cuanto a la fiebre y las medidas antipiréticas (véase “Profilaxia antipirética”, páginas anteriores en este mismo resumen) y las medidas médicas apropiadas en caso de que surja remotamente una convulsión.</w:t>
      </w:r>
    </w:p>
    <w:p w14:paraId="3F5EF5A6" w14:textId="77777777" w:rsidR="00D03C17" w:rsidRDefault="00D03C17">
      <w:pPr>
        <w:pStyle w:val="Bodytext70"/>
        <w:spacing w:after="0"/>
      </w:pPr>
      <w:r>
        <w:t>Toxocariasis</w:t>
      </w:r>
    </w:p>
    <w:p w14:paraId="3902C602" w14:textId="77777777" w:rsidR="00D03C17" w:rsidRDefault="00D03C17">
      <w:pPr>
        <w:pStyle w:val="Other0"/>
        <w:spacing w:line="252" w:lineRule="auto"/>
        <w:ind w:firstLine="0"/>
        <w:rPr>
          <w:sz w:val="20"/>
          <w:szCs w:val="20"/>
        </w:rPr>
      </w:pPr>
      <w:r>
        <w:rPr>
          <w:rFonts w:ascii="Arial" w:eastAsia="Arial" w:hAnsi="Arial" w:cs="Arial"/>
          <w:b/>
          <w:bCs/>
          <w:w w:val="70"/>
          <w:sz w:val="20"/>
          <w:szCs w:val="20"/>
        </w:rPr>
        <w:t>(Larva migrans visceral, larva migrans ocular)</w:t>
      </w:r>
    </w:p>
    <w:p w14:paraId="3A73195D" w14:textId="77777777" w:rsidR="00D03C17" w:rsidRDefault="00D03C17">
      <w:pPr>
        <w:pStyle w:val="BodyText"/>
        <w:ind w:firstLine="0"/>
      </w:pPr>
      <w:r>
        <w:rPr>
          <w:b/>
          <w:bCs/>
        </w:rPr>
        <w:t>M</w:t>
      </w:r>
      <w:r>
        <w:rPr>
          <w:b/>
          <w:bCs/>
          <w:sz w:val="13"/>
          <w:szCs w:val="13"/>
        </w:rPr>
        <w:t>ANIFESTACIONES CLÍNICAS</w:t>
      </w:r>
      <w:r>
        <w:rPr>
          <w:b/>
          <w:bCs/>
        </w:rPr>
        <w:t xml:space="preserve">: </w:t>
      </w:r>
      <w:r>
        <w:t>La gravedad de los síntomas depende del número de larvas ingeridas y el grado de respuesta alérgica. Muchas personas con infección leve están asintomáticas. En forma típica la larva migrans visceral ataca a niños de uno a cuatro años de edad con antecedentes de pica, pero puede afectar a niños de mayor edad y adultos. Las manifestaciones características incluyen fiebre, leucocitosis, eosinofilia, hipergammaglobulinemia y hepatomegalia. Otras más incluyen malestar generalizado, anemia, tos y en casos raros, neumonía, miocarditis y encefalitis. Si surge la invasión ocular (endoftalmitis o granuloma retiniano) por lo común no existen otras manifestaciones de la infección, lo cual sugiere que las manifestaciones viscerales y las oculares son síndromes diferentes. Entre los signos atípicos están erupción hemorrágica y convulsiones. En algunos casos, la llamada toxocariasis “cubierta” se manifiesta sólo por eosinofilia asintomática o sibilancias pulmonares.</w:t>
      </w:r>
    </w:p>
    <w:p w14:paraId="6CA0C812" w14:textId="77777777" w:rsidR="00D03C17" w:rsidRDefault="00D03C17">
      <w:pPr>
        <w:pStyle w:val="BodyText"/>
        <w:ind w:firstLine="0"/>
      </w:pPr>
      <w:r>
        <w:rPr>
          <w:b/>
          <w:bCs/>
        </w:rPr>
        <w:t>C</w:t>
      </w:r>
      <w:r>
        <w:rPr>
          <w:b/>
          <w:bCs/>
          <w:sz w:val="13"/>
          <w:szCs w:val="13"/>
        </w:rPr>
        <w:t>AUSAS</w:t>
      </w:r>
      <w:r>
        <w:rPr>
          <w:b/>
          <w:bCs/>
        </w:rPr>
        <w:t xml:space="preserve">: </w:t>
      </w:r>
      <w:r>
        <w:t xml:space="preserve">La toxocariasis (toxocariosis) es causada por especies de </w:t>
      </w:r>
      <w:r>
        <w:rPr>
          <w:rFonts w:ascii="Times New Roman" w:eastAsia="Times New Roman" w:hAnsi="Times New Roman" w:cs="Times New Roman"/>
          <w:i/>
          <w:iCs/>
          <w:sz w:val="16"/>
          <w:szCs w:val="16"/>
        </w:rPr>
        <w:t>Toxocara</w:t>
      </w:r>
      <w:r>
        <w:t xml:space="preserve"> que son vermes redondos comunes de perros y gatos (en particular cachorritos de ambas especies), específicamente </w:t>
      </w:r>
      <w:r>
        <w:rPr>
          <w:rFonts w:ascii="Times New Roman" w:eastAsia="Times New Roman" w:hAnsi="Times New Roman" w:cs="Times New Roman"/>
          <w:i/>
          <w:iCs/>
          <w:sz w:val="16"/>
          <w:szCs w:val="16"/>
        </w:rPr>
        <w:t>Toxocara</w:t>
      </w:r>
      <w:r>
        <w:t xml:space="preserve"> canis y </w:t>
      </w:r>
      <w:r>
        <w:rPr>
          <w:rFonts w:ascii="Times New Roman" w:eastAsia="Times New Roman" w:hAnsi="Times New Roman" w:cs="Times New Roman"/>
          <w:i/>
          <w:iCs/>
          <w:sz w:val="16"/>
          <w:szCs w:val="16"/>
        </w:rPr>
        <w:t>Toxocara cati</w:t>
      </w:r>
      <w:r>
        <w:t xml:space="preserve"> en Estados Unidos; casi todos los casos son causados por la primera especie. Otros nematodos de animales originan también el síndrome, aunque en raras ocasiones.</w:t>
      </w:r>
    </w:p>
    <w:p w14:paraId="6F2838B9" w14:textId="77777777" w:rsidR="00D03C17" w:rsidRDefault="00D03C17">
      <w:pPr>
        <w:pStyle w:val="BodyText"/>
        <w:spacing w:after="40"/>
        <w:ind w:firstLine="0"/>
        <w:sectPr w:rsidR="00D03C17" w:rsidSect="00D03C17">
          <w:headerReference w:type="even" r:id="rId187"/>
          <w:headerReference w:type="default" r:id="rId188"/>
          <w:footerReference w:type="even" r:id="rId189"/>
          <w:footerReference w:type="default" r:id="rId190"/>
          <w:footnotePr>
            <w:numFmt w:val="chicago"/>
          </w:footnotePr>
          <w:type w:val="continuous"/>
          <w:pgSz w:w="8501" w:h="13022"/>
          <w:pgMar w:top="707" w:right="578" w:bottom="444" w:left="521" w:header="0" w:footer="16" w:gutter="0"/>
          <w:cols w:space="720"/>
          <w:noEndnote/>
          <w:docGrid w:linePitch="360"/>
          <w15:footnoteColumns w:val="1"/>
        </w:sectPr>
      </w:pPr>
      <w:r>
        <w:rPr>
          <w:b/>
          <w:bCs/>
        </w:rPr>
        <w:t>A</w:t>
      </w:r>
      <w:r>
        <w:rPr>
          <w:b/>
          <w:bCs/>
          <w:sz w:val="13"/>
          <w:szCs w:val="13"/>
        </w:rPr>
        <w:t>SPECTOS EPIDEMIOLÓGICOS</w:t>
      </w:r>
      <w:r>
        <w:rPr>
          <w:b/>
          <w:bCs/>
        </w:rPr>
        <w:t xml:space="preserve">: </w:t>
      </w:r>
      <w:r>
        <w:t>Los seres humanos se infectan al ingerir tierra que contiene huevecillos infectantes del parásito. Es frecuente el antecedente de pica, en particular la ingestión de tierra. El contacto directo con perros asume importancia secundaria porque los huevos no son infectantes inmediatamente cuando son expulsados al exterior con las heces. Casi todos los casos publicados incluyen niños. La toxocariasis es endémica en Puerto Rico y las zonas vecinas de Estados Unidos. La</w:t>
      </w:r>
    </w:p>
    <w:p w14:paraId="7514F77B" w14:textId="77777777" w:rsidR="00D03C17" w:rsidRDefault="00D03C17">
      <w:pPr>
        <w:pStyle w:val="BodyText"/>
        <w:ind w:firstLine="0"/>
      </w:pPr>
      <w:r>
        <w:t xml:space="preserve">de los leucocitos infectados. Se utiliza a </w:t>
      </w:r>
      <w:r>
        <w:rPr>
          <w:rFonts w:ascii="Times New Roman" w:eastAsia="Times New Roman" w:hAnsi="Times New Roman" w:cs="Times New Roman"/>
          <w:i/>
          <w:iCs/>
          <w:sz w:val="16"/>
          <w:szCs w:val="16"/>
        </w:rPr>
        <w:t>Ehrlichia chaffeensis</w:t>
      </w:r>
      <w:r>
        <w:t xml:space="preserve"> como el antígeno para el diagnóstico serológico de HME, y a A. phagocytophila con la misma finalidad en cuantificaciones para el diagnóstico de HGE. Los métodos en cuestión se practican en laboratorios especializados, en algunos de tipo comercial y en los departamentos sanitarios estatales, así como en los CDC en Estados Unidos. El estudio de frotis de sangre periférica para detectar mórulas en monocitos o granulocitos en dicho líquido no es sensible. Al parecer, el empleo de la reacción en cadena de polimerasa para amplificar el ácido nucleico de sangre periférica obtenida en la fase aguda de sujetos con ehrlichiosis parece sensible, específico y promisorio para un diagnóstico oportuno. </w:t>
      </w:r>
      <w:r>
        <w:rPr>
          <w:b/>
          <w:bCs/>
        </w:rPr>
        <w:t>T</w:t>
      </w:r>
      <w:r>
        <w:rPr>
          <w:b/>
          <w:bCs/>
          <w:sz w:val="13"/>
          <w:szCs w:val="13"/>
        </w:rPr>
        <w:t>RATAMIENTO</w:t>
      </w:r>
      <w:r>
        <w:rPr>
          <w:b/>
          <w:bCs/>
        </w:rPr>
        <w:t xml:space="preserve">: </w:t>
      </w:r>
      <w:r>
        <w:t xml:space="preserve">La doxiciclina es el fármaco más indicado para tratar las ehrlichiosis de seres humanos. La dosis recomendada es de 4.4 mg/kg de peso al día, cada 12 h por vía intravenosa u oral (máximo 100 mg/dosis). Las ehrlichiosis pueden ser graves o letales en personas no tratadas, y emprender el tratamiento en los comienzos de la evolución del trastorno permite llevar al mínimo las complicaciones de la enfermedad. Si el sujeto no mejora con doxiciclina en término de las primeras 72 h, ello sugerirá infección con un agente diferente de la especie de </w:t>
      </w:r>
      <w:r>
        <w:rPr>
          <w:rFonts w:ascii="Times New Roman" w:eastAsia="Times New Roman" w:hAnsi="Times New Roman" w:cs="Times New Roman"/>
          <w:i/>
          <w:iCs/>
          <w:sz w:val="16"/>
          <w:szCs w:val="16"/>
        </w:rPr>
        <w:t>Ehrlichia</w:t>
      </w:r>
      <w:r>
        <w:t>. A pesar de las preocupaciones por las manchas que originan las tetraciclinas en los dientes de los niños de corta edad (véase “Antimicrobianos y fármacos similares”, sección 4), la doxiciclina constituye un fármaco mejor para esta enfermedad que puede ser letal. Los datos disponible sugieren que los ciclos de doxiciclina de 14 días o menos no originan manchas importantes en los dientes permanentes. El tratamiento debe continuar durante tres días, como mínimo, después de la defervescencia hasta completar un ciclo total mínimo de cinco a 10 días; para la semana por lo regular se manifestarán en forma inequívoca signos de mejoría clínica. La enfermedad grave o complicada obliga a seguir ciclos más largos de tratamiento.</w:t>
      </w:r>
    </w:p>
    <w:p w14:paraId="406727A3" w14:textId="77777777" w:rsidR="00D03C17" w:rsidRDefault="00D03C17">
      <w:pPr>
        <w:pStyle w:val="BodyText"/>
        <w:ind w:firstLine="360"/>
      </w:pPr>
      <w:r>
        <w:t>A veces hay superposición de las manifestaciones clínicas y las distribuciones geográficas de las ehrlichiosis y de la fiebre maculada de las Montañas Rocosas. Como ocurre con otras rickettsiosis, si se hace un diagnóstico presuncional de ehrlichiosis habrá que emprender la administración de doxiciclina.</w:t>
      </w:r>
    </w:p>
    <w:p w14:paraId="50687F17" w14:textId="77777777" w:rsidR="00D03C17" w:rsidRDefault="00D03C17">
      <w:pPr>
        <w:pStyle w:val="BodyText"/>
        <w:spacing w:line="262" w:lineRule="auto"/>
        <w:ind w:firstLine="0"/>
      </w:pPr>
      <w:r>
        <w:rPr>
          <w:b/>
          <w:bCs/>
          <w:smallCaps/>
          <w:sz w:val="20"/>
          <w:szCs w:val="20"/>
        </w:rPr>
        <w:t>A</w:t>
      </w:r>
      <w:r>
        <w:rPr>
          <w:b/>
          <w:bCs/>
          <w:smallCaps/>
          <w:sz w:val="16"/>
          <w:szCs w:val="16"/>
        </w:rPr>
        <w:t>islamiento del paciente hospitalizado</w:t>
      </w:r>
      <w:r>
        <w:rPr>
          <w:b/>
          <w:bCs/>
          <w:smallCaps/>
          <w:sz w:val="20"/>
          <w:szCs w:val="20"/>
        </w:rPr>
        <w:t>:</w:t>
      </w:r>
      <w:r>
        <w:t xml:space="preserve"> Se recomienda cumplir con las precauciones estándar.</w:t>
      </w:r>
    </w:p>
    <w:p w14:paraId="53E07E41" w14:textId="77777777" w:rsidR="00D03C17" w:rsidRDefault="00D03C17">
      <w:pPr>
        <w:pStyle w:val="BodyText"/>
        <w:spacing w:after="100"/>
        <w:ind w:firstLine="0"/>
      </w:pPr>
      <w:r>
        <w:rPr>
          <w:b/>
          <w:bCs/>
        </w:rPr>
        <w:t>M</w:t>
      </w:r>
      <w:r>
        <w:rPr>
          <w:b/>
          <w:bCs/>
          <w:sz w:val="13"/>
          <w:szCs w:val="13"/>
        </w:rPr>
        <w:t>EDIDAS PREVENTIVAS</w:t>
      </w:r>
      <w:r>
        <w:rPr>
          <w:b/>
          <w:bCs/>
        </w:rPr>
        <w:t xml:space="preserve">: </w:t>
      </w:r>
      <w:r>
        <w:t>Las medidas específicas se orientan a limitar la exposición a garrapatas, y son semejantes a las que se siguen en la fiebre maculada de las Montañas Rocosas y otras enfermedades por garrapatas (véase “Prevención de infecciones transmitidas por garrapatas”, sección 2). No está indicada la administración profiláctica de doxiciclina después de la picadura de garrapata ante el poco riesgo de infección en tales casos.</w:t>
      </w:r>
    </w:p>
    <w:p w14:paraId="665868D7" w14:textId="77777777" w:rsidR="00D03C17" w:rsidRDefault="00D03C17">
      <w:pPr>
        <w:pStyle w:val="Bodytext70"/>
        <w:spacing w:after="0"/>
      </w:pPr>
      <w:r>
        <w:t>Enterobiasis</w:t>
      </w:r>
    </w:p>
    <w:p w14:paraId="68BAE927" w14:textId="77777777" w:rsidR="00D03C17" w:rsidRDefault="00D03C17">
      <w:pPr>
        <w:pStyle w:val="Bodytext80"/>
        <w:rPr>
          <w:sz w:val="15"/>
          <w:szCs w:val="15"/>
        </w:rPr>
      </w:pPr>
      <w:r>
        <w:rPr>
          <w:b/>
          <w:bCs/>
          <w:w w:val="70"/>
          <w:sz w:val="20"/>
          <w:szCs w:val="20"/>
        </w:rPr>
        <w:t xml:space="preserve">(Infección por </w:t>
      </w:r>
      <w:r>
        <w:rPr>
          <w:b/>
          <w:bCs/>
          <w:i/>
          <w:iCs/>
          <w:sz w:val="15"/>
          <w:szCs w:val="15"/>
        </w:rPr>
        <w:t>Enterobius vermicularis)</w:t>
      </w:r>
    </w:p>
    <w:p w14:paraId="658F7055" w14:textId="77777777" w:rsidR="00D03C17" w:rsidRDefault="00D03C17">
      <w:pPr>
        <w:pStyle w:val="BodyText"/>
        <w:spacing w:after="60"/>
        <w:ind w:firstLine="0"/>
      </w:pPr>
      <w:r>
        <w:rPr>
          <w:b/>
          <w:bCs/>
        </w:rPr>
        <w:t>M</w:t>
      </w:r>
      <w:r>
        <w:rPr>
          <w:b/>
          <w:bCs/>
          <w:sz w:val="13"/>
          <w:szCs w:val="13"/>
        </w:rPr>
        <w:t>ANIFESTACIONES CLÍNICAS</w:t>
      </w:r>
      <w:r>
        <w:rPr>
          <w:b/>
          <w:bCs/>
        </w:rPr>
        <w:t xml:space="preserve">: </w:t>
      </w:r>
      <w:r>
        <w:t>Algunos niños están asintomáticos, pero la enterobiasis o infección por enterobios puede causar prurito anal y en raras ocasiones prurito de la vulva. Se han detectado enterobios en el interior del apéndice pero casi todos los datos indican que no guardan relación causal con la apendicitis aguda. Algunos signos clínicos, como el bruxismo nocturno, pérdida ponderal y diuresis, se han atribuido a las infecciones por los enterobios u oxiuros, pero no se ha obtenido una prueba de relación causal. Pueden surgir uretritis, vaginitis, salpingitis o peritonitis pélvica por la migración aberrante del verme adulto, desde el perineo.</w:t>
      </w:r>
    </w:p>
    <w:p w14:paraId="4AD54DB0" w14:textId="77777777" w:rsidR="00D03C17" w:rsidRDefault="00D03C17">
      <w:pPr>
        <w:pStyle w:val="BodyText"/>
        <w:ind w:firstLine="0"/>
      </w:pPr>
      <w:r>
        <w:rPr>
          <w:b/>
          <w:bCs/>
        </w:rPr>
        <w:t>C</w:t>
      </w:r>
      <w:r>
        <w:rPr>
          <w:b/>
          <w:bCs/>
          <w:sz w:val="13"/>
          <w:szCs w:val="13"/>
        </w:rPr>
        <w:t>AUSAS</w:t>
      </w:r>
      <w:r>
        <w:rPr>
          <w:b/>
          <w:bCs/>
        </w:rPr>
        <w:t xml:space="preserve">: </w:t>
      </w:r>
      <w:r>
        <w:rPr>
          <w:rFonts w:ascii="Times New Roman" w:eastAsia="Times New Roman" w:hAnsi="Times New Roman" w:cs="Times New Roman"/>
          <w:i/>
          <w:iCs/>
          <w:sz w:val="16"/>
          <w:szCs w:val="16"/>
        </w:rPr>
        <w:t>Enterobius vermicularis</w:t>
      </w:r>
      <w:r>
        <w:t xml:space="preserve"> es un nematodo o verme redondo.</w:t>
      </w:r>
    </w:p>
    <w:p w14:paraId="7412267C" w14:textId="77777777" w:rsidR="00D03C17" w:rsidRDefault="00D03C17">
      <w:pPr>
        <w:pStyle w:val="BodyText"/>
        <w:ind w:firstLine="0"/>
      </w:pPr>
      <w:r>
        <w:rPr>
          <w:b/>
          <w:bCs/>
        </w:rPr>
        <w:t>A</w:t>
      </w:r>
      <w:r>
        <w:rPr>
          <w:b/>
          <w:bCs/>
          <w:sz w:val="13"/>
          <w:szCs w:val="13"/>
        </w:rPr>
        <w:t>SPECTOS EPIDEMIOLÓGICOS</w:t>
      </w:r>
      <w:r>
        <w:rPr>
          <w:b/>
          <w:bCs/>
        </w:rPr>
        <w:t xml:space="preserve">: </w:t>
      </w:r>
      <w:r>
        <w:t>La enfermedad tiene distribución mundial y a menudo aparece en cúmulos dentro de grupos familiares. En el pasado se calculaba que 5 a 15% de la población estadounidense estaba infectaba pero tal cifra de incidencia ha disminuido. Las cifras de prevalencia son mayores en preescolares y escolares, en cuidadores primarios de niños infectados y en personas dentro de instituciones de atención a largo plazo; incluso la mitad de las poblaciones mencionadas pueden estar infectadas.</w:t>
      </w:r>
    </w:p>
    <w:p w14:paraId="775B632C" w14:textId="77777777" w:rsidR="00D03C17" w:rsidRDefault="00D03C17">
      <w:pPr>
        <w:pStyle w:val="BodyText"/>
        <w:spacing w:line="276" w:lineRule="auto"/>
        <w:ind w:firstLine="360"/>
        <w:rPr>
          <w:sz w:val="16"/>
          <w:szCs w:val="16"/>
        </w:rPr>
      </w:pPr>
      <w:r>
        <w:t xml:space="preserve">La transmisión de huevos se hace por la vía fecal-oral directamente, de manera indirecta o inadvertida por manos u objetos contaminados como juguetes, ropas personales y de cama, asientos de retrete y baños contaminados. Los gusanos hembra por lo común fallecen después de depositar sus huevos en la piel perianal. La persona se reinfecta al ingerir de nuevo los huevos (es decir, autoinfección) o al llegar ellos de una nueva fuente. El niño permanece infectante en la medida en que los nematodos hembra depositen huevos en la piel perianal. Estos últimos permanecen infectantes en un entorno bajo techo, por lo común dos a tres semanas. Los seres humanos son los únicos hospedadores naturales conocidos, y los perros y los gatos no albergan </w:t>
      </w:r>
      <w:r>
        <w:rPr>
          <w:rFonts w:ascii="Times New Roman" w:eastAsia="Times New Roman" w:hAnsi="Times New Roman" w:cs="Times New Roman"/>
          <w:i/>
          <w:iCs/>
          <w:sz w:val="16"/>
          <w:szCs w:val="16"/>
        </w:rPr>
        <w:t>E. vermicularis.</w:t>
      </w:r>
    </w:p>
    <w:p w14:paraId="07F88034" w14:textId="77777777" w:rsidR="00D03C17" w:rsidRDefault="00D03C17">
      <w:pPr>
        <w:pStyle w:val="BodyText"/>
        <w:ind w:firstLine="360"/>
        <w:sectPr w:rsidR="00D03C17" w:rsidSect="00D03C17">
          <w:headerReference w:type="even" r:id="rId191"/>
          <w:headerReference w:type="default" r:id="rId192"/>
          <w:footerReference w:type="even" r:id="rId193"/>
          <w:footerReference w:type="default" r:id="rId194"/>
          <w:headerReference w:type="first" r:id="rId195"/>
          <w:footerReference w:type="first" r:id="rId196"/>
          <w:footnotePr>
            <w:numFmt w:val="chicago"/>
          </w:footnotePr>
          <w:pgSz w:w="8501" w:h="13022"/>
          <w:pgMar w:top="707" w:right="578" w:bottom="444" w:left="521" w:header="0" w:footer="3" w:gutter="0"/>
          <w:pgNumType w:start="641"/>
          <w:cols w:space="720"/>
          <w:noEndnote/>
          <w:titlePg/>
          <w:docGrid w:linePitch="360"/>
          <w15:footnoteColumns w:val="1"/>
        </w:sectPr>
      </w:pPr>
      <w:r>
        <w:t xml:space="preserve">El </w:t>
      </w:r>
      <w:r>
        <w:rPr>
          <w:b/>
          <w:bCs/>
        </w:rPr>
        <w:t xml:space="preserve">periodo de incubación </w:t>
      </w:r>
      <w:r>
        <w:t xml:space="preserve">que media desde la ingestión de un huevecillo hasta que la hembra adulta grávida migra a la región perianal es de uno a dos meses o más. </w:t>
      </w:r>
      <w:r>
        <w:rPr>
          <w:b/>
          <w:bCs/>
        </w:rPr>
        <w:t>M</w:t>
      </w:r>
      <w:r>
        <w:rPr>
          <w:b/>
          <w:bCs/>
          <w:sz w:val="13"/>
          <w:szCs w:val="13"/>
        </w:rPr>
        <w:t>ÉTODOS DIAGNÓSTICOS</w:t>
      </w:r>
      <w:r>
        <w:rPr>
          <w:b/>
          <w:bCs/>
        </w:rPr>
        <w:t xml:space="preserve">: </w:t>
      </w:r>
      <w:r>
        <w:t xml:space="preserve">El diagnóstico por lo común se hace cuando los vermes adultos se identifican en la región perianal, y tal zona se explora mejor 2 a 3 h después que el niño duerme. En los excrementos se identifican muy escasos huevos; por tal causa no se recomienda el estudio de las muestras de heces en busca de huevos y parásitos. Como otra posibilidad cabe aplicar a la piel perianal segmentos de cinta adhesiva (no translúcida) pero sí transparente para reunir cualquier huevecillo que pudiera estar presente; después se aplica la cinta a una laminilla de vidrio y se estudia con una lente de poca amplificación del microscopio. Hay que obtener tres muestras consecutivas, en el momento en que el paciente se despierta por la mañana antes de lavarse. </w:t>
      </w:r>
      <w:r>
        <w:rPr>
          <w:b/>
          <w:bCs/>
        </w:rPr>
        <w:t>T</w:t>
      </w:r>
      <w:r>
        <w:rPr>
          <w:b/>
          <w:bCs/>
          <w:sz w:val="13"/>
          <w:szCs w:val="13"/>
        </w:rPr>
        <w:t>RATAMIENTO</w:t>
      </w:r>
      <w:r>
        <w:rPr>
          <w:b/>
          <w:bCs/>
        </w:rPr>
        <w:t xml:space="preserve">: </w:t>
      </w:r>
      <w:r>
        <w:t>Los fármacos más indicados son mebendazol, pamoato de pirantel y albendazol, que se usan en una sola dosis y que se repite en término de dos semanas. Para niños menores de dos años en quienes es escasa la experiencia con los tres fármacos mencionados, habrá que valorar los riesgos y los beneficios antes de administrarlos. Otros fármacos a los que cabe recurrir son la piperacina y el pamoato de pirivinio, aunque son menos eficaces y más difíciles de usar. Es fácil que el niño se infecte de nuevo con oxiuros; hay que instruir sobre la prevención al emprender el tratamiento. Las personas infectadas deben bañarse por la mañana porque con el baño se elimina una proporción importante de huevos. Los cambios frecuentes de ropa interior, ropa de cama y sábanas que use la persona infectada puede disminuir la contaminación por huevecillos en el entorno local y aminorar el peligro de reinfección. Algunas medidas específicas de higiene personal (como la higiene meticulosa de las manos antes de comer o preparar alimentos; tener cortas las uñas de los dedos, no rascarse la región perianal ni morderse las uñas) pueden disminuir el peligro de autoinfección y de continuar la transmisión. Quizá no se necesiten medidas como la limpieza o la aspiración (con aspiradora al vacío) de toda la casa o lavado de ropas de cama y sábanas. Las infecciones repetidas se tratarán con el mismo método usado contra la primera infección. Todos los miembros de la familia deben ser tratados en forma de grupo en situaciones en que aparecen infecciones sintomáticas múltiples o repetitivas. La vaginitis es un cuadro que cede por sí solo y no necesita tratamiento especial y separado.</w:t>
      </w:r>
    </w:p>
    <w:p w14:paraId="635B100C" w14:textId="77777777" w:rsidR="00D03C17" w:rsidRDefault="00D03C17">
      <w:pPr>
        <w:pStyle w:val="BodyText"/>
        <w:ind w:firstLine="0"/>
      </w:pPr>
      <w:r>
        <w:rPr>
          <w:b/>
          <w:bCs/>
        </w:rPr>
        <w:t>A</w:t>
      </w:r>
      <w:r>
        <w:rPr>
          <w:b/>
          <w:bCs/>
          <w:sz w:val="13"/>
          <w:szCs w:val="13"/>
        </w:rPr>
        <w:t>ISLAMIENTO DEL PACIENTE HOSPITALIZADO</w:t>
      </w:r>
      <w:r>
        <w:rPr>
          <w:b/>
          <w:bCs/>
        </w:rPr>
        <w:t xml:space="preserve">: </w:t>
      </w:r>
      <w:r>
        <w:t>Conviene practicar las precauciones estándar.</w:t>
      </w:r>
    </w:p>
    <w:p w14:paraId="37838F4D" w14:textId="77777777" w:rsidR="00D03C17" w:rsidRDefault="00D03C17">
      <w:pPr>
        <w:pStyle w:val="BodyText"/>
        <w:spacing w:after="100"/>
        <w:ind w:firstLine="0"/>
      </w:pPr>
      <w:r>
        <w:rPr>
          <w:b/>
          <w:bCs/>
        </w:rPr>
        <w:t>M</w:t>
      </w:r>
      <w:r>
        <w:rPr>
          <w:b/>
          <w:bCs/>
          <w:sz w:val="13"/>
          <w:szCs w:val="13"/>
        </w:rPr>
        <w:t>EDIDAS PREVENTIVAS</w:t>
      </w:r>
      <w:r>
        <w:rPr>
          <w:b/>
          <w:bCs/>
        </w:rPr>
        <w:t xml:space="preserve">: </w:t>
      </w:r>
      <w:r>
        <w:t>La erradicación de la oxiuriasis es difícil en centros de atención infantil y escuelas porque la cifra de reinfección es grande. En instituciones, puede ser eficaz el tratamiento en masas y simultáneo que se repetirá en dos semanas. El método más eficaz de planeación es la higiene satisfactoria de las manos.</w:t>
      </w:r>
    </w:p>
    <w:p w14:paraId="4D1D48E0" w14:textId="77777777" w:rsidR="00D03C17" w:rsidRDefault="00D03C17">
      <w:pPr>
        <w:pStyle w:val="Bodytext70"/>
        <w:spacing w:after="0"/>
      </w:pPr>
      <w:r>
        <w:t>Enterovirus, infecciones (no poliomielíticos)</w:t>
      </w:r>
    </w:p>
    <w:p w14:paraId="77819349" w14:textId="77777777" w:rsidR="00D03C17" w:rsidRDefault="00D03C17">
      <w:pPr>
        <w:pStyle w:val="Other0"/>
        <w:spacing w:line="252" w:lineRule="auto"/>
        <w:ind w:firstLine="0"/>
        <w:rPr>
          <w:sz w:val="20"/>
          <w:szCs w:val="20"/>
        </w:rPr>
      </w:pPr>
      <w:r>
        <w:rPr>
          <w:rFonts w:ascii="Arial" w:eastAsia="Arial" w:hAnsi="Arial" w:cs="Arial"/>
          <w:b/>
          <w:bCs/>
          <w:w w:val="70"/>
          <w:sz w:val="20"/>
          <w:szCs w:val="20"/>
        </w:rPr>
        <w:t>(Virus coxsackie grupos A y B, echovirus y enterovirus)</w:t>
      </w:r>
    </w:p>
    <w:p w14:paraId="40FC5686" w14:textId="77777777" w:rsidR="00D03C17" w:rsidRDefault="00D03C17">
      <w:pPr>
        <w:pStyle w:val="BodyText"/>
        <w:ind w:firstLine="0"/>
      </w:pPr>
      <w:r>
        <w:rPr>
          <w:b/>
          <w:bCs/>
        </w:rPr>
        <w:t>M</w:t>
      </w:r>
      <w:r>
        <w:rPr>
          <w:b/>
          <w:bCs/>
          <w:sz w:val="13"/>
          <w:szCs w:val="13"/>
        </w:rPr>
        <w:t>ANIFESTACIONES CLÍNICAS</w:t>
      </w:r>
      <w:r>
        <w:rPr>
          <w:b/>
          <w:bCs/>
        </w:rPr>
        <w:t xml:space="preserve">: </w:t>
      </w:r>
      <w:r>
        <w:t>Los enterovirus diferentes del virus poliomielítico son los que causan enfermedades importantes y frecuentes en lactantes y niños, y generan manifestaciones clínicas proteicas. La manifestación más frecuente es un cuadro febril inespecífico que en niños de corta edad puede conducir a una valoración en busca de sepsis bacteriana. Los neonatos que adquieren infección sin anticuerpos de la madre están expuestos a enfermedad grave con una tasa de mortalidad alta. Las manifestaciones incluyen las siguientes: 1) de tipo respiratorio: resfriado común, faringitis, angina herpética, estomatitis, neumonía y pleurodinia; 2) piel: exantema; 3) sistema nervioso: meningitis aséptica, encefalitis y parálisis; 4) vías gastrointestinales: vómitos, diarreas, dolor en abdomen y hepatitis; 5) oculares: conjuntivitis hemorrágica aguda y 6) corazón: miopericarditis. Cada una de las manifestaciones en cuestión puede ser causada por diferentes enterovirus, pero hay que destacar algunos vínculos entre virus específicos y enfermedades particulares. Tales vínculos incluyen el ataque por virus coxsackie A16 y enterovirus 71 con el síndrome de mano, pie y boca; la variante A24 de virus coxsackie y enterovirus 70 con conjuntivitis hemorrágica aguda; el enterovirus 71 con encefalitis del tallo encefálico y parálisis similar a la causada por virus de poliomielitis; echovirus 9 con un exantema petequial y meningitis, y los virus coxsackie B1 a B5 con pleurodinia y miopericarditis.</w:t>
      </w:r>
    </w:p>
    <w:p w14:paraId="2B902806" w14:textId="77777777" w:rsidR="00D03C17" w:rsidRDefault="00D03C17">
      <w:pPr>
        <w:pStyle w:val="BodyText"/>
        <w:ind w:firstLine="360"/>
      </w:pPr>
      <w:r>
        <w:t xml:space="preserve">Los pacientes inmunodeficientes que muestran perturbaciones de tipo humoral en su inmunidad pueden mostrar infecciones persistentes del sistema nervioso central, un síndrome similar a dermatomiositis o ambos cuadros que duren meses o más. </w:t>
      </w:r>
      <w:r>
        <w:rPr>
          <w:b/>
          <w:bCs/>
        </w:rPr>
        <w:t>C</w:t>
      </w:r>
      <w:r>
        <w:rPr>
          <w:b/>
          <w:bCs/>
          <w:sz w:val="13"/>
          <w:szCs w:val="13"/>
        </w:rPr>
        <w:t>AUSAS</w:t>
      </w:r>
      <w:r>
        <w:rPr>
          <w:b/>
          <w:bCs/>
        </w:rPr>
        <w:t xml:space="preserve">: </w:t>
      </w:r>
      <w:r>
        <w:t xml:space="preserve">Incluyen los enterovirus no poliomielíticos, que son virus de RNA, y que abarcan 23 virus coxsackie de grupo A (tipos A1 a A24, excepto el tipo A23, reclasificado como echovirus 9), seis virus coxsackie de grupo B (tipos B1 a B6), 28 echovirus (tipos 1 a 33, excepto los tipos 8, 10, 22, 23 y 28) y cinco enterovirus (tipos 68 a 71 y 73). </w:t>
      </w:r>
      <w:r>
        <w:rPr>
          <w:b/>
          <w:bCs/>
        </w:rPr>
        <w:t>A</w:t>
      </w:r>
      <w:r>
        <w:rPr>
          <w:b/>
          <w:bCs/>
          <w:sz w:val="13"/>
          <w:szCs w:val="13"/>
        </w:rPr>
        <w:t>SPECTOS EPIDEMIOLÓGICOS</w:t>
      </w:r>
      <w:r>
        <w:rPr>
          <w:b/>
          <w:bCs/>
        </w:rPr>
        <w:t xml:space="preserve">: </w:t>
      </w:r>
      <w:r>
        <w:t>Las infecciones por enterovirus son frecuentes y se propagan por las vías fecal-oral y respiratoria, así como de la madre a su hijo en la etapa periparto. Los enterovirus pueden sobrevivir en superficies del entorno por lapsos lo suficientemente largos para ser transmitidos desde artículos inanimados. De manera típica las infecciones y los ataques clínicos son máximos en niños de corta edad, y las infecciones aparecen con mayor frecuencia en áreas tropicales y en casos de deficiencia de la higiene. En climas templados, las infecciones por enterovirus son más frecuentes en el verano y comienzos del otoño, pero los perfiles estacionales son menos manifiestos en los trópicos. La propagación del virus por los excrementos puede persistir durante varias semanas de haber comenzado la infección, pero la propagación desde el aparato respiratorio generalmente se limita a una semana o menos. La excreción de virus surge a veces sin signos de enfermedad clínica.</w:t>
      </w:r>
    </w:p>
    <w:p w14:paraId="545C43BF" w14:textId="77777777" w:rsidR="00D03C17" w:rsidRDefault="00D03C17">
      <w:pPr>
        <w:pStyle w:val="BodyText"/>
        <w:ind w:firstLine="360"/>
      </w:pPr>
      <w:r>
        <w:t xml:space="preserve">El </w:t>
      </w:r>
      <w:r>
        <w:rPr>
          <w:b/>
          <w:bCs/>
        </w:rPr>
        <w:t xml:space="preserve">periodo de incubación </w:t>
      </w:r>
      <w:r>
        <w:t xml:space="preserve">usual va de tres a seis días, excepto la conjuntivitis hemorrágica aguda, en que tal periodo es de 24 a 72 horas. con datos de resultados clínicos en cuanto al empleo de otras cefalosporinas como la ceftizoxima, la cefotaxima y la ceftriaxona sódicas. Algunos expertos piensan que los agentes mencionados pueden sustituir a la cefoxitina sódica o al cefotetán disódico en el tratamiento de PID; sin embargo, estos dos últimos antibióticos son más activos contra anaerobios. En Estados Unidos la </w:t>
      </w:r>
      <w:r>
        <w:rPr>
          <w:rFonts w:ascii="Times New Roman" w:eastAsia="Times New Roman" w:hAnsi="Times New Roman" w:cs="Times New Roman"/>
          <w:i/>
          <w:iCs/>
          <w:sz w:val="16"/>
          <w:szCs w:val="16"/>
        </w:rPr>
        <w:t>Food and Drug Administration</w:t>
      </w:r>
      <w:r>
        <w:t xml:space="preserve"> no ha aprobado el uso de fluoroquinolonas para mujeres menores de 18 años. Hay que considerar la selección de un régimen antimicrobiano que sea eficaz contra </w:t>
      </w:r>
      <w:r>
        <w:rPr>
          <w:rFonts w:ascii="Times New Roman" w:eastAsia="Times New Roman" w:hAnsi="Times New Roman" w:cs="Times New Roman"/>
          <w:i/>
          <w:iCs/>
          <w:sz w:val="16"/>
          <w:szCs w:val="16"/>
        </w:rPr>
        <w:t>N. gonorrhoeae</w:t>
      </w:r>
      <w:r>
        <w:t xml:space="preserve"> y </w:t>
      </w:r>
      <w:r>
        <w:rPr>
          <w:rFonts w:ascii="Times New Roman" w:eastAsia="Times New Roman" w:hAnsi="Times New Roman" w:cs="Times New Roman"/>
          <w:i/>
          <w:iCs/>
          <w:sz w:val="16"/>
          <w:szCs w:val="16"/>
        </w:rPr>
        <w:t xml:space="preserve">C. trachomatis. </w:t>
      </w:r>
      <w:r>
        <w:t>En el caso de abscesos tuboováricos, PID recurrente u operación reciente en el aparato genital, habrá que buscar protección amplia contra anaerobios (clindamicina o metronidazol). Si la mujer tiene un dispositivo intrauterino habrá que extraerlo inmediatamente. Cuando se da tratamiento con productos orales o parenterales cabe esperar la mejoría clínica en término de 72 h de haber emprendido la terapia. Sobre tal base habrá que revalorar sistemáticamente a las pacientes ambulatorias, en el tercero o cuarto día de la terapéutica.</w:t>
      </w:r>
    </w:p>
    <w:p w14:paraId="729FE0DB" w14:textId="77777777" w:rsidR="00D03C17" w:rsidRDefault="00D03C17">
      <w:pPr>
        <w:pStyle w:val="BodyText"/>
        <w:spacing w:line="262" w:lineRule="auto"/>
        <w:ind w:firstLine="0"/>
      </w:pPr>
      <w:r>
        <w:rPr>
          <w:b/>
          <w:bCs/>
          <w:smallCaps/>
          <w:sz w:val="20"/>
          <w:szCs w:val="20"/>
        </w:rPr>
        <w:t>A</w:t>
      </w:r>
      <w:r>
        <w:rPr>
          <w:b/>
          <w:bCs/>
          <w:smallCaps/>
          <w:sz w:val="16"/>
          <w:szCs w:val="16"/>
        </w:rPr>
        <w:t>islamiento de la paciente hospitalizada</w:t>
      </w:r>
      <w:r>
        <w:rPr>
          <w:b/>
          <w:bCs/>
          <w:smallCaps/>
          <w:sz w:val="20"/>
          <w:szCs w:val="20"/>
        </w:rPr>
        <w:t>:</w:t>
      </w:r>
      <w:r>
        <w:t xml:space="preserve"> En estos casos se recomiendan las precauciones estándar.</w:t>
      </w:r>
    </w:p>
    <w:p w14:paraId="7A823607" w14:textId="77777777" w:rsidR="00D03C17" w:rsidRDefault="00D03C17">
      <w:pPr>
        <w:pStyle w:val="Other0"/>
        <w:spacing w:line="257" w:lineRule="auto"/>
        <w:ind w:firstLine="0"/>
        <w:rPr>
          <w:sz w:val="20"/>
          <w:szCs w:val="20"/>
        </w:rPr>
      </w:pPr>
      <w:r>
        <w:rPr>
          <w:b/>
          <w:bCs/>
          <w:smallCaps/>
          <w:sz w:val="20"/>
          <w:szCs w:val="20"/>
        </w:rPr>
        <w:t>M</w:t>
      </w:r>
      <w:r>
        <w:rPr>
          <w:b/>
          <w:bCs/>
          <w:smallCaps/>
          <w:sz w:val="16"/>
          <w:szCs w:val="16"/>
        </w:rPr>
        <w:t>edidas preventivas</w:t>
      </w:r>
      <w:r>
        <w:rPr>
          <w:b/>
          <w:bCs/>
          <w:smallCaps/>
          <w:sz w:val="20"/>
          <w:szCs w:val="20"/>
        </w:rPr>
        <w:t>:</w:t>
      </w:r>
    </w:p>
    <w:p w14:paraId="705FB023" w14:textId="77777777" w:rsidR="00D03C17" w:rsidRDefault="00D03C17">
      <w:pPr>
        <w:pStyle w:val="BodyText"/>
        <w:numPr>
          <w:ilvl w:val="0"/>
          <w:numId w:val="87"/>
        </w:numPr>
        <w:tabs>
          <w:tab w:val="left" w:pos="339"/>
        </w:tabs>
        <w:ind w:left="360" w:hanging="360"/>
      </w:pPr>
      <w:bookmarkStart w:id="119" w:name="bookmark1147"/>
      <w:bookmarkEnd w:id="119"/>
      <w:r>
        <w:t>Los varones que tengan relaciones sexuales con mujeres con PID deben ser sometidos a valoración diagnóstica en busca de uretritis gonocócica y clamidiásica; posteriormente recibirán tratamiento provisional contra ambas infecciones, si el contacto sexual que tuvieron se efectuó en término de los 60 días anteriores al comienzo de los síntomas en la mujer. Una gran proporción de los varones será asintomática.</w:t>
      </w:r>
    </w:p>
    <w:p w14:paraId="21F529D3" w14:textId="77777777" w:rsidR="00D03C17" w:rsidRDefault="00D03C17">
      <w:pPr>
        <w:pStyle w:val="BodyText"/>
        <w:numPr>
          <w:ilvl w:val="0"/>
          <w:numId w:val="87"/>
        </w:numPr>
        <w:tabs>
          <w:tab w:val="left" w:pos="339"/>
        </w:tabs>
        <w:ind w:left="360" w:hanging="360"/>
      </w:pPr>
      <w:bookmarkStart w:id="120" w:name="bookmark1148"/>
      <w:bookmarkEnd w:id="120"/>
      <w:r>
        <w:t>La mujer debe abstenerse de las relaciones sexuales hasta que ella y sus compañeros hayan completado el tratamiento.</w:t>
      </w:r>
    </w:p>
    <w:p w14:paraId="555247E9" w14:textId="77777777" w:rsidR="00D03C17" w:rsidRDefault="00D03C17">
      <w:pPr>
        <w:pStyle w:val="BodyText"/>
        <w:numPr>
          <w:ilvl w:val="0"/>
          <w:numId w:val="87"/>
        </w:numPr>
        <w:tabs>
          <w:tab w:val="left" w:pos="339"/>
        </w:tabs>
        <w:ind w:firstLine="0"/>
      </w:pPr>
      <w:bookmarkStart w:id="121" w:name="bookmark1149"/>
      <w:bookmarkEnd w:id="121"/>
      <w:r>
        <w:t>Es importante instar a la mujer y a sus compañeros a que usen siempre condones.</w:t>
      </w:r>
    </w:p>
    <w:p w14:paraId="509DA1B1" w14:textId="77777777" w:rsidR="00D03C17" w:rsidRDefault="00D03C17">
      <w:pPr>
        <w:pStyle w:val="BodyText"/>
        <w:numPr>
          <w:ilvl w:val="0"/>
          <w:numId w:val="87"/>
        </w:numPr>
        <w:tabs>
          <w:tab w:val="left" w:pos="339"/>
        </w:tabs>
        <w:ind w:left="360" w:hanging="360"/>
      </w:pPr>
      <w:bookmarkStart w:id="122" w:name="bookmark1150"/>
      <w:bookmarkEnd w:id="122"/>
      <w:r>
        <w:t>Habrá que emprender estudios para detectar sífilis e infección por VIH, y también se realizará un frotis de Papanicolaou.</w:t>
      </w:r>
    </w:p>
    <w:p w14:paraId="4A50DA4B" w14:textId="77777777" w:rsidR="00D03C17" w:rsidRDefault="00D03C17">
      <w:pPr>
        <w:pStyle w:val="BodyText"/>
        <w:numPr>
          <w:ilvl w:val="0"/>
          <w:numId w:val="87"/>
        </w:numPr>
        <w:tabs>
          <w:tab w:val="left" w:pos="339"/>
        </w:tabs>
        <w:ind w:left="360" w:hanging="360"/>
      </w:pPr>
      <w:bookmarkStart w:id="123" w:name="bookmark1151"/>
      <w:bookmarkEnd w:id="123"/>
      <w:r>
        <w:t>Las mujeres no vacunadas o vacunadas de manera incompleta deben comenzar la serie de vacunas contra hepatitis B o completarla (véase “Calendario recomendado de vacunaciones en niños y adolescentes”, sección 1).</w:t>
      </w:r>
    </w:p>
    <w:p w14:paraId="1AD344AB" w14:textId="77777777" w:rsidR="00D03C17" w:rsidRDefault="00D03C17">
      <w:pPr>
        <w:pStyle w:val="BodyText"/>
        <w:numPr>
          <w:ilvl w:val="0"/>
          <w:numId w:val="87"/>
        </w:numPr>
        <w:tabs>
          <w:tab w:val="left" w:pos="339"/>
        </w:tabs>
        <w:ind w:left="360" w:hanging="360"/>
      </w:pPr>
      <w:bookmarkStart w:id="124" w:name="bookmark1152"/>
      <w:bookmarkEnd w:id="124"/>
      <w:r>
        <w:t xml:space="preserve">Ante el peligro de reinfección, algunos expertos recomiendan en el caso de que se identifiquen </w:t>
      </w:r>
      <w:r>
        <w:rPr>
          <w:rFonts w:ascii="Times New Roman" w:eastAsia="Times New Roman" w:hAnsi="Times New Roman" w:cs="Times New Roman"/>
          <w:i/>
          <w:iCs/>
          <w:sz w:val="16"/>
          <w:szCs w:val="16"/>
        </w:rPr>
        <w:t>N. gonorrhoeae</w:t>
      </w:r>
      <w:r>
        <w:t xml:space="preserve"> y </w:t>
      </w:r>
      <w:r>
        <w:rPr>
          <w:rFonts w:ascii="Times New Roman" w:eastAsia="Times New Roman" w:hAnsi="Times New Roman" w:cs="Times New Roman"/>
          <w:i/>
          <w:iCs/>
          <w:sz w:val="16"/>
          <w:szCs w:val="16"/>
        </w:rPr>
        <w:t>C. trachomatis</w:t>
      </w:r>
      <w:r>
        <w:t xml:space="preserve"> en la prueba inicial, repetir tales pruebas en la mujer con PID cuatro a seis semanas después de completar el tratamiento.</w:t>
      </w:r>
    </w:p>
    <w:p w14:paraId="35FE0A4C" w14:textId="77777777" w:rsidR="00D03C17" w:rsidRDefault="00D03C17">
      <w:pPr>
        <w:pStyle w:val="BodyText"/>
        <w:numPr>
          <w:ilvl w:val="0"/>
          <w:numId w:val="87"/>
        </w:numPr>
        <w:tabs>
          <w:tab w:val="left" w:pos="339"/>
        </w:tabs>
        <w:spacing w:after="100"/>
        <w:ind w:left="360" w:hanging="360"/>
      </w:pPr>
      <w:bookmarkStart w:id="125" w:name="bookmark1153"/>
      <w:bookmarkEnd w:id="125"/>
      <w:r>
        <w:t>El diagnóstico de PID ofrece la oportunidad de enseñarle a la adolescente todo lo referente a la prevención de enfermedades de transmisión sexual (STD), incluidas abstinencia, el empleo constante de métodos de barrera para su protección y la importancia de someterse periódicamente a métodos de detección sistemática de enfermedades de transmisión sexual.</w:t>
      </w:r>
    </w:p>
    <w:p w14:paraId="6DDDC598" w14:textId="77777777" w:rsidR="00D03C17" w:rsidRDefault="00D03C17">
      <w:pPr>
        <w:pStyle w:val="Bodytext70"/>
        <w:spacing w:after="0"/>
      </w:pPr>
      <w:r>
        <w:t>Peste</w:t>
      </w:r>
    </w:p>
    <w:p w14:paraId="6FF25D10" w14:textId="77777777" w:rsidR="00D03C17" w:rsidRDefault="00D03C17">
      <w:pPr>
        <w:pStyle w:val="BodyText"/>
        <w:ind w:firstLine="0"/>
        <w:sectPr w:rsidR="00D03C17" w:rsidSect="00D03C17">
          <w:headerReference w:type="even" r:id="rId197"/>
          <w:headerReference w:type="default" r:id="rId198"/>
          <w:footerReference w:type="even" r:id="rId199"/>
          <w:footerReference w:type="default" r:id="rId200"/>
          <w:headerReference w:type="first" r:id="rId201"/>
          <w:footerReference w:type="first" r:id="rId202"/>
          <w:footnotePr>
            <w:numFmt w:val="chicago"/>
          </w:footnotePr>
          <w:pgSz w:w="8501" w:h="13022"/>
          <w:pgMar w:top="707" w:right="578" w:bottom="444" w:left="521" w:header="0" w:footer="3" w:gutter="0"/>
          <w:cols w:space="720"/>
          <w:noEndnote/>
          <w:titlePg/>
          <w:docGrid w:linePitch="360"/>
          <w15:footnoteColumns w:val="1"/>
        </w:sectPr>
      </w:pPr>
      <w:r>
        <w:rPr>
          <w:b/>
          <w:bCs/>
        </w:rPr>
        <w:t>M</w:t>
      </w:r>
      <w:r>
        <w:rPr>
          <w:b/>
          <w:bCs/>
          <w:sz w:val="13"/>
          <w:szCs w:val="13"/>
        </w:rPr>
        <w:t xml:space="preserve">ANIFESTACIONES </w:t>
      </w:r>
      <w:r>
        <w:rPr>
          <w:b/>
          <w:bCs/>
          <w:smallCaps/>
          <w:sz w:val="16"/>
          <w:szCs w:val="16"/>
        </w:rPr>
        <w:t>clínicas</w:t>
      </w:r>
      <w:r>
        <w:rPr>
          <w:b/>
          <w:bCs/>
          <w:smallCaps/>
          <w:sz w:val="20"/>
          <w:szCs w:val="20"/>
        </w:rPr>
        <w:t>:</w:t>
      </w:r>
      <w:r>
        <w:t xml:space="preserve"> La peste suele manifestarse en su forma bubónica en que hay fiebre de comienzo agudo e hinchazón y dolor de ganglios linfáticos regionales (bubas). Las bubas surgen más a menudo en la región inguinal aunque pueden hacerlo en zonas axilar o cervical. Con menor frecuencia, la peste asume la forma septicémica (hipotensión, cuadro disneico agudo, coagulopatía intravascular) o peste neumónica (tos, fiebre, disnea, o hemoptisis) y en raras ocasiones la forma meníngea. En todos los casos los signos característicos son fiebre, escalofríos, cefalea y debilidad de evolución rápida. En ocasiones, los enfermos tienen síntomas de linfadenitis leve o manifestaciones </w:t>
      </w:r>
    </w:p>
    <w:p w14:paraId="3FE930F7" w14:textId="77777777" w:rsidR="00D03C17" w:rsidRDefault="00D03C17">
      <w:pPr>
        <w:pStyle w:val="BodyText"/>
        <w:ind w:firstLine="0"/>
      </w:pPr>
      <w:r>
        <w:t>intensas de vías gastrointestinales que pueden disimular el diagnóstico exacto.</w:t>
      </w:r>
    </w:p>
    <w:p w14:paraId="70083AD6" w14:textId="77777777" w:rsidR="00D03C17" w:rsidRDefault="00D03C17">
      <w:pPr>
        <w:pStyle w:val="BodyText"/>
        <w:ind w:firstLine="0"/>
      </w:pPr>
      <w:r>
        <w:rPr>
          <w:b/>
          <w:bCs/>
        </w:rPr>
        <w:t>C</w:t>
      </w:r>
      <w:r>
        <w:rPr>
          <w:b/>
          <w:bCs/>
          <w:sz w:val="13"/>
          <w:szCs w:val="13"/>
        </w:rPr>
        <w:t>AUSAS</w:t>
      </w:r>
      <w:r>
        <w:rPr>
          <w:b/>
          <w:bCs/>
        </w:rPr>
        <w:t xml:space="preserve">: </w:t>
      </w:r>
      <w:r>
        <w:t xml:space="preserve">La peste es causada por </w:t>
      </w:r>
      <w:r>
        <w:rPr>
          <w:rFonts w:ascii="Times New Roman" w:eastAsia="Times New Roman" w:hAnsi="Times New Roman" w:cs="Times New Roman"/>
          <w:i/>
          <w:iCs/>
          <w:sz w:val="16"/>
          <w:szCs w:val="16"/>
        </w:rPr>
        <w:t>Yersinia pestis</w:t>
      </w:r>
      <w:r>
        <w:rPr>
          <w:i/>
          <w:iCs/>
        </w:rPr>
        <w:t>,</w:t>
      </w:r>
      <w:r>
        <w:t xml:space="preserve"> un cocobacilo gramnegativo de tinción bipolar y pleomórfico.</w:t>
      </w:r>
    </w:p>
    <w:p w14:paraId="06C60C0C" w14:textId="77777777" w:rsidR="00D03C17" w:rsidRDefault="00D03C17">
      <w:pPr>
        <w:pStyle w:val="BodyText"/>
        <w:ind w:firstLine="0"/>
      </w:pPr>
      <w:r>
        <w:rPr>
          <w:b/>
          <w:bCs/>
        </w:rPr>
        <w:t>A</w:t>
      </w:r>
      <w:r>
        <w:rPr>
          <w:b/>
          <w:bCs/>
          <w:sz w:val="13"/>
          <w:szCs w:val="13"/>
        </w:rPr>
        <w:t>SPECTOS EPIDEMIOLÓGICOS</w:t>
      </w:r>
      <w:r>
        <w:rPr>
          <w:b/>
          <w:bCs/>
        </w:rPr>
        <w:t xml:space="preserve">: </w:t>
      </w:r>
      <w:r>
        <w:t xml:space="preserve">La peste es una zoonosis de roedores, carnívoros y sus pulgas, que aparece en muchas zonas del mundo. Se le ha notificado en toda la región occidental de Estados Unidos, pero la mayor parte de los casos en seres humanos se observa en Nuevo México, Arizona, California y Colorado, en la forma de casos aislados de grupos pequeños. En el verano hay más casos que los que se observan después de inviernos benignos y primaveras húmedas. En Estados Unidos, la peste de seres humanos es una enfermedad rural que suele provenir de infecciones epizoóticas en ardillas terrestres, perrillos de la pradera y otros roedores salvajes. La peste bubónica suele ser transmitida por picaduras de pulgas infectadas de los roedores y pocas veces por contacto directo con tejidos y líquidos de roedores infectados u otros mamíferos incluidos gatos domésticos. La peste septicémica surge más a menudo como complicación de la peste bubónica, pero puede aparecer por contacto directo con materiales infecciosos o la picadura de una pulga infectada. La peste neumónica primaria se adquiere por inhalación de gotículas de vías respiratorias de un ser humano o un animal con la peste respiratoria o por exposición a aerosoles en el laboratorio. La peste neumónica secundaria ocurre por la siembra hematógena de los pulmones con </w:t>
      </w:r>
      <w:r>
        <w:rPr>
          <w:rFonts w:ascii="Times New Roman" w:eastAsia="Times New Roman" w:hAnsi="Times New Roman" w:cs="Times New Roman"/>
          <w:i/>
          <w:iCs/>
          <w:sz w:val="16"/>
          <w:szCs w:val="16"/>
        </w:rPr>
        <w:t>Y</w:t>
      </w:r>
      <w:r>
        <w:rPr>
          <w:i/>
          <w:iCs/>
        </w:rPr>
        <w:t xml:space="preserve">. </w:t>
      </w:r>
      <w:r>
        <w:rPr>
          <w:rFonts w:ascii="Times New Roman" w:eastAsia="Times New Roman" w:hAnsi="Times New Roman" w:cs="Times New Roman"/>
          <w:i/>
          <w:iCs/>
          <w:sz w:val="16"/>
          <w:szCs w:val="16"/>
        </w:rPr>
        <w:t>pestis</w:t>
      </w:r>
      <w:r>
        <w:t xml:space="preserve"> en sujetos con las variedades bubónica o septicémica. Las epidemias de pestes de seres humanos suelen aparecer como consecuencia de epizootias en roedores domésticos o después de exposiciones a la peste neumónica.</w:t>
      </w:r>
    </w:p>
    <w:p w14:paraId="76C8D5D6" w14:textId="77777777" w:rsidR="00D03C17" w:rsidRDefault="00D03C17">
      <w:pPr>
        <w:pStyle w:val="BodyText"/>
        <w:ind w:firstLine="360"/>
      </w:pPr>
      <w:r>
        <w:t xml:space="preserve">El </w:t>
      </w:r>
      <w:r>
        <w:rPr>
          <w:b/>
          <w:bCs/>
        </w:rPr>
        <w:t xml:space="preserve">periodo de incubación </w:t>
      </w:r>
      <w:r>
        <w:t>es de dos a seis días en la peste bubónica y de dos a cuatro días en la peste neumónica primaria.</w:t>
      </w:r>
    </w:p>
    <w:p w14:paraId="11C07CC3" w14:textId="77777777" w:rsidR="00D03C17" w:rsidRDefault="00D03C17">
      <w:pPr>
        <w:pStyle w:val="BodyText"/>
        <w:spacing w:line="271" w:lineRule="auto"/>
        <w:ind w:firstLine="0"/>
      </w:pPr>
      <w:r>
        <w:rPr>
          <w:b/>
          <w:bCs/>
        </w:rPr>
        <w:t>M</w:t>
      </w:r>
      <w:r>
        <w:rPr>
          <w:b/>
          <w:bCs/>
          <w:sz w:val="13"/>
          <w:szCs w:val="13"/>
        </w:rPr>
        <w:t>ÉTODOS DIAGNÓSTICOS</w:t>
      </w:r>
      <w:r>
        <w:rPr>
          <w:b/>
          <w:bCs/>
        </w:rPr>
        <w:t xml:space="preserve">: </w:t>
      </w:r>
      <w:r>
        <w:t xml:space="preserve">La enfermedad se caracteriza por la proliferación masiva de </w:t>
      </w:r>
      <w:r>
        <w:rPr>
          <w:rFonts w:ascii="Times New Roman" w:eastAsia="Times New Roman" w:hAnsi="Times New Roman" w:cs="Times New Roman"/>
          <w:i/>
          <w:iCs/>
          <w:sz w:val="16"/>
          <w:szCs w:val="16"/>
        </w:rPr>
        <w:t>Ypestis</w:t>
      </w:r>
      <w:r>
        <w:t xml:space="preserve"> en tejidos afectados, en particular ganglios linfáticos, bazo e hígado. El microorganismo tiene una imagen bipolar (en alfiler de seguridad) cuando se le estudia después de tinciones de Wayson o Gram. El laboratorio de microbiología que estudia las muestras debe recibir información cuando se sospeche la presencia del microorganismo de la peste para reducir al mínimo los peligros de transmisión a su personal. La positividad en la prueba de anticuerpos fluorescentes en cuanto a la presencia de </w:t>
      </w:r>
      <w:r>
        <w:rPr>
          <w:rFonts w:ascii="Times New Roman" w:eastAsia="Times New Roman" w:hAnsi="Times New Roman" w:cs="Times New Roman"/>
          <w:i/>
          <w:iCs/>
          <w:sz w:val="16"/>
          <w:szCs w:val="16"/>
        </w:rPr>
        <w:t>Y. pestis</w:t>
      </w:r>
      <w:r>
        <w:t xml:space="preserve"> en frotis directos o cultivos del material de aspiración de una buba, del esputo de líquido cefalorraquídeo o de una muestra de sangre, constituyen pruebas provisionales de la infección por </w:t>
      </w:r>
      <w:r>
        <w:rPr>
          <w:rFonts w:ascii="Times New Roman" w:eastAsia="Times New Roman" w:hAnsi="Times New Roman" w:cs="Times New Roman"/>
          <w:i/>
          <w:iCs/>
          <w:sz w:val="16"/>
          <w:szCs w:val="16"/>
        </w:rPr>
        <w:t>Y. pestis</w:t>
      </w:r>
      <w:r>
        <w:t xml:space="preserve">. Un solo resultado serológico positivo por el método de hemaglutinación pasiva o inmunoanálisis enzimático en un paciente no vacunado que no ha sufrido peste también constituye prueba presuncional o provisional de infección. La seroconversión, la diferencia cuádruple en el título de anticuerpos entre dos muestras de suero obtenidas con una diferencia de cuatro semanas a tres meses, o ambos elementos, permite la confirmación serológica. El diagnóstico de peste suele confirmarse por el cultivo de </w:t>
      </w:r>
      <w:r>
        <w:rPr>
          <w:rFonts w:ascii="Times New Roman" w:eastAsia="Times New Roman" w:hAnsi="Times New Roman" w:cs="Times New Roman"/>
          <w:i/>
          <w:iCs/>
          <w:sz w:val="16"/>
          <w:szCs w:val="16"/>
        </w:rPr>
        <w:t>Y. pestis</w:t>
      </w:r>
      <w:r>
        <w:t xml:space="preserve"> de sangre, material de aspiración de una buba u otras muestras clínicas. La reacción en cadena de polimerasa o la tinción inmunohistoquímica para el diagnóstico rápido de </w:t>
      </w:r>
      <w:r>
        <w:rPr>
          <w:rFonts w:ascii="Times New Roman" w:eastAsia="Times New Roman" w:hAnsi="Times New Roman" w:cs="Times New Roman"/>
          <w:i/>
          <w:iCs/>
          <w:sz w:val="16"/>
          <w:szCs w:val="16"/>
        </w:rPr>
        <w:t>Y. pestis</w:t>
      </w:r>
      <w:r>
        <w:t xml:space="preserve"> se practican en algunos laboratorios especializados o de sanidad pública. Cuando se sospeche que el microorganismo aislado es </w:t>
      </w:r>
      <w:r>
        <w:rPr>
          <w:rFonts w:ascii="Times New Roman" w:eastAsia="Times New Roman" w:hAnsi="Times New Roman" w:cs="Times New Roman"/>
          <w:i/>
          <w:iCs/>
          <w:sz w:val="16"/>
          <w:szCs w:val="16"/>
        </w:rPr>
        <w:t>Y. pestis</w:t>
      </w:r>
      <w:r>
        <w:rPr>
          <w:i/>
          <w:iCs/>
        </w:rPr>
        <w:t xml:space="preserve">, </w:t>
      </w:r>
      <w:r>
        <w:t xml:space="preserve">habrá que notificarlo inmediatamente al departamento sanitario estatal y enviar una muestra a la Division of Vector-Borne </w:t>
      </w:r>
      <w:r>
        <w:rPr>
          <w:rFonts w:ascii="Times New Roman" w:eastAsia="Times New Roman" w:hAnsi="Times New Roman" w:cs="Times New Roman"/>
          <w:i/>
          <w:iCs/>
          <w:sz w:val="16"/>
          <w:szCs w:val="16"/>
        </w:rPr>
        <w:t>Infectious Diseases de los Centers for Disease Control and Prevention (CDC)</w:t>
      </w:r>
      <w:r>
        <w:rPr>
          <w:i/>
          <w:iCs/>
        </w:rPr>
        <w:t>.</w:t>
      </w:r>
    </w:p>
    <w:p w14:paraId="207F0ECC" w14:textId="77777777" w:rsidR="00D03C17" w:rsidRDefault="00D03C17">
      <w:pPr>
        <w:pStyle w:val="BodyText"/>
        <w:ind w:firstLine="0"/>
      </w:pPr>
      <w:r>
        <w:rPr>
          <w:b/>
          <w:bCs/>
        </w:rPr>
        <w:t>T</w:t>
      </w:r>
      <w:r>
        <w:rPr>
          <w:b/>
          <w:bCs/>
          <w:sz w:val="13"/>
          <w:szCs w:val="13"/>
        </w:rPr>
        <w:t>RATAMIENTO</w:t>
      </w:r>
      <w:r>
        <w:rPr>
          <w:b/>
          <w:bCs/>
        </w:rPr>
        <w:t xml:space="preserve">: </w:t>
      </w:r>
      <w:r>
        <w:t>El tratamiento más indicado en casi todos los casos en niños es el sulfato de estreptomicina (30 mg/kg de peso al día en dos a tres fracciones, por vía intramuscular). Tiene igual eficacia en vez de la estreptomicina el sulfato de gentamicina en las dosis habituales correspondientes a cada grupo de edad, por vías intramuscular o intravenosa. Son eficaces también antibióticos como tetraciclina, doxiciclina o cloranfenicol. No se administrarán doxiciclina ni tetraciclina a niños menores de ocho años, salvo que los beneficios con su empleo superen los peligros de manchas en los dientes (véase “Antimicrobianos y fármacos similares”, sección 4). El cloranfenicol es el tratamiento preferido en la peste meningítica. La duración usual del tratamiento con antimicrobianos es de siete a 10 días o hasta algunos días después de que la fiebre cedió por lisis.</w:t>
      </w:r>
    </w:p>
    <w:p w14:paraId="4567664D" w14:textId="77777777" w:rsidR="00D03C17" w:rsidRDefault="00D03C17">
      <w:pPr>
        <w:pStyle w:val="BodyText"/>
        <w:ind w:firstLine="360"/>
      </w:pPr>
      <w:r>
        <w:t>A veces se necesita drenar la bubas abscesadas; el material de drenaje es infectante hasta que se haya administrado terapia antimicrobiana eficaz.</w:t>
      </w:r>
    </w:p>
    <w:p w14:paraId="2ACC68AC" w14:textId="77777777" w:rsidR="00D03C17" w:rsidRDefault="00D03C17">
      <w:pPr>
        <w:pStyle w:val="BodyText"/>
        <w:spacing w:line="266" w:lineRule="auto"/>
        <w:ind w:firstLine="0"/>
      </w:pPr>
      <w:r>
        <w:rPr>
          <w:b/>
          <w:bCs/>
          <w:smallCaps/>
          <w:sz w:val="20"/>
          <w:szCs w:val="20"/>
        </w:rPr>
        <w:t>A</w:t>
      </w:r>
      <w:r>
        <w:rPr>
          <w:b/>
          <w:bCs/>
          <w:smallCaps/>
          <w:sz w:val="16"/>
          <w:szCs w:val="16"/>
        </w:rPr>
        <w:t>islamiento del paciente hospitalizado</w:t>
      </w:r>
      <w:r>
        <w:rPr>
          <w:b/>
          <w:bCs/>
          <w:smallCaps/>
          <w:sz w:val="20"/>
          <w:szCs w:val="20"/>
        </w:rPr>
        <w:t>:</w:t>
      </w:r>
      <w:r>
        <w:t xml:space="preserve"> En personas con la peste bubónica se recomienda seguir las precauciones estándar. Las precauciones para evitar la transmisión por gotículas están indicadas en todos los enfermos hasta que se elimine la neumonía y se haya emprendido la terapia apropiada. En niños con la peste neumónica habrá que continuar con las precauciones para evitar la transmisión por gotículas 48 h después de haber comenzado el tratamiento apropiado.</w:t>
      </w:r>
    </w:p>
    <w:p w14:paraId="7ED85A02" w14:textId="77777777" w:rsidR="00D03C17" w:rsidRDefault="00D03C17">
      <w:pPr>
        <w:pStyle w:val="Other0"/>
        <w:spacing w:line="257" w:lineRule="auto"/>
        <w:ind w:firstLine="0"/>
        <w:rPr>
          <w:sz w:val="20"/>
          <w:szCs w:val="20"/>
        </w:rPr>
      </w:pPr>
      <w:r>
        <w:rPr>
          <w:b/>
          <w:bCs/>
          <w:smallCaps/>
          <w:sz w:val="20"/>
          <w:szCs w:val="20"/>
        </w:rPr>
        <w:t>M</w:t>
      </w:r>
      <w:r>
        <w:rPr>
          <w:b/>
          <w:bCs/>
          <w:smallCaps/>
          <w:sz w:val="16"/>
          <w:szCs w:val="16"/>
        </w:rPr>
        <w:t>edidas preventivas</w:t>
      </w:r>
      <w:r>
        <w:rPr>
          <w:b/>
          <w:bCs/>
          <w:smallCaps/>
          <w:sz w:val="20"/>
          <w:szCs w:val="20"/>
        </w:rPr>
        <w:t>:</w:t>
      </w:r>
    </w:p>
    <w:p w14:paraId="4D020286" w14:textId="77777777" w:rsidR="00D03C17" w:rsidRDefault="00D03C17">
      <w:pPr>
        <w:pStyle w:val="BodyText"/>
        <w:spacing w:line="276" w:lineRule="auto"/>
        <w:ind w:firstLine="0"/>
      </w:pPr>
      <w:r>
        <w:rPr>
          <w:rFonts w:ascii="Arial" w:eastAsia="Arial" w:hAnsi="Arial" w:cs="Arial"/>
          <w:b/>
          <w:bCs/>
          <w:i/>
          <w:iCs/>
          <w:sz w:val="15"/>
          <w:szCs w:val="15"/>
        </w:rPr>
        <w:t>Cuidados de personas expuestas.</w:t>
      </w:r>
      <w:r>
        <w:t xml:space="preserve"> Es importante que todo miembro del círculo familiar y otras personas con exposición muy cercana al paciente con peste señalen a su médico cualquier signos de fiebre u otro trastorno. Los individuos con exposición muy cercana a la persona con peste neumónica deben recibir profilaxia con antimicrobianos. En épocas pasadas se recomendaba con fin profiláctico el trimetoprim-sulfametoxazol para niños menores de ocho años, pero se desconoce su eficacia. Para adultos y niños de ocho años y mayores, y para los que tienen menos de esa edad y que están expuestos a grave riesgo, se recomienda la doxiciclina. La profilaxia se hace durante siete días en las dosis terapéuticas usuales.</w:t>
      </w:r>
    </w:p>
    <w:p w14:paraId="6127BC00" w14:textId="77777777" w:rsidR="00D03C17" w:rsidRDefault="00D03C17">
      <w:pPr>
        <w:pStyle w:val="BodyText"/>
        <w:spacing w:line="276" w:lineRule="auto"/>
        <w:ind w:firstLine="360"/>
      </w:pPr>
      <w:r>
        <w:rPr>
          <w:rFonts w:ascii="Arial" w:eastAsia="Arial" w:hAnsi="Arial" w:cs="Arial"/>
          <w:b/>
          <w:bCs/>
          <w:i/>
          <w:iCs/>
          <w:sz w:val="15"/>
          <w:szCs w:val="15"/>
        </w:rPr>
        <w:t>Otras medidas.</w:t>
      </w:r>
      <w:r>
        <w:t xml:space="preserve"> Es importante notificar inmediatamente a las autoridades estatales de salud pública cualquier caso sospechado de peste en seres humanos. Habrá que orientar al público en cuanto a los factores de riesgo de contraer la enfermedad, medidas para evitarla y signos y síntomas de la infección. También se informará a personas que viven en zonas endémicas la función que cumplen los perros y gatos al transportar roedores infectados por la peste y sus pulgas hacia los entornos peridomésticos, la necesidad de erradicar pulgas y confinar a las mascotas y la importancia de no tener contacto con animales enfermos o muertos. Otras medidas preventivas incluyen vigilancia de las poblaciones de roedores y el empleo de insecticidas y medidas de erradicación por rodenticidas, que realizarán las autoridades sanitarias cuando la vigilancia denote la aparición de epizootias de peste.</w:t>
      </w:r>
    </w:p>
    <w:p w14:paraId="4C64265D" w14:textId="77777777" w:rsidR="00D03C17" w:rsidRDefault="00D03C17">
      <w:pPr>
        <w:pStyle w:val="BodyText"/>
        <w:spacing w:line="276" w:lineRule="auto"/>
        <w:ind w:firstLine="360"/>
        <w:sectPr w:rsidR="00D03C17" w:rsidSect="00D03C17">
          <w:headerReference w:type="even" r:id="rId203"/>
          <w:headerReference w:type="default" r:id="rId204"/>
          <w:footerReference w:type="even" r:id="rId205"/>
          <w:footerReference w:type="default" r:id="rId206"/>
          <w:headerReference w:type="first" r:id="rId207"/>
          <w:footerReference w:type="first" r:id="rId208"/>
          <w:footnotePr>
            <w:numFmt w:val="chicago"/>
          </w:footnotePr>
          <w:pgSz w:w="8501" w:h="13022"/>
          <w:pgMar w:top="707" w:right="578" w:bottom="444" w:left="521" w:header="0" w:footer="3" w:gutter="0"/>
          <w:cols w:space="720"/>
          <w:noEndnote/>
          <w:titlePg/>
          <w:docGrid w:linePitch="360"/>
          <w15:footnoteColumns w:val="1"/>
        </w:sectPr>
      </w:pPr>
      <w:r>
        <w:rPr>
          <w:rFonts w:ascii="Arial" w:eastAsia="Arial" w:hAnsi="Arial" w:cs="Arial"/>
          <w:b/>
          <w:bCs/>
          <w:i/>
          <w:iCs/>
          <w:sz w:val="15"/>
          <w:szCs w:val="15"/>
        </w:rPr>
        <w:t>Vacuna.</w:t>
      </w:r>
      <w:r>
        <w:t xml:space="preserve"> Anteriormente se contaba con una vacuna a base de </w:t>
      </w:r>
      <w:r>
        <w:rPr>
          <w:rFonts w:ascii="Times New Roman" w:eastAsia="Times New Roman" w:hAnsi="Times New Roman" w:cs="Times New Roman"/>
          <w:i/>
          <w:iCs/>
          <w:sz w:val="16"/>
          <w:szCs w:val="16"/>
        </w:rPr>
        <w:t>Y. pestis</w:t>
      </w:r>
      <w:r>
        <w:t xml:space="preserve"> en su forma integral, es decir todo el microorganismo, pero inactivado, y se recomendaba para personas cuya ocupación los situaba regularmente en una posición de alto riesgo de exposición a </w:t>
      </w:r>
      <w:r>
        <w:rPr>
          <w:rFonts w:ascii="Times New Roman" w:eastAsia="Times New Roman" w:hAnsi="Times New Roman" w:cs="Times New Roman"/>
          <w:i/>
          <w:iCs/>
          <w:sz w:val="16"/>
          <w:szCs w:val="16"/>
        </w:rPr>
        <w:t>Y. pesti</w:t>
      </w:r>
      <w:r>
        <w:rPr>
          <w:i/>
          <w:iCs/>
        </w:rPr>
        <w:t>s</w:t>
      </w:r>
      <w:r>
        <w:t xml:space="preserve"> o a roedores infectados por la peste (como serían algunos biólogos de campo y trabajadores de laboratorio). En la actualidad en Estados Unidos no se cuenta en el comercio con una vacuna contra la peste. La información en cuanto a la disponibilidad de este tipo de productos biológicos se puede obtener en la </w:t>
      </w:r>
      <w:r>
        <w:rPr>
          <w:rFonts w:ascii="Times New Roman" w:eastAsia="Times New Roman" w:hAnsi="Times New Roman" w:cs="Times New Roman"/>
          <w:i/>
          <w:iCs/>
          <w:sz w:val="16"/>
          <w:szCs w:val="16"/>
        </w:rPr>
        <w:t>Division of Vector-Borne Infectious Diseases</w:t>
      </w:r>
      <w:r>
        <w:t xml:space="preserve"> de los CDC.</w:t>
      </w:r>
    </w:p>
    <w:p w14:paraId="392099DF" w14:textId="77777777" w:rsidR="00D03C17" w:rsidRDefault="00D03C17">
      <w:pPr>
        <w:pStyle w:val="BodyText"/>
        <w:spacing w:after="100"/>
        <w:ind w:firstLine="0"/>
      </w:pPr>
      <w:r>
        <w:t>drepanocitica, la aplicación de medidas profilácticas a base de eritromicina (u otro macrólido) o tetraciclina durante la fase aguda de la enfermedad del paciente original o indice.</w:t>
      </w:r>
    </w:p>
    <w:p w14:paraId="32BBE2EB" w14:textId="77777777" w:rsidR="00D03C17" w:rsidRDefault="00D03C17">
      <w:pPr>
        <w:pStyle w:val="Bodytext70"/>
        <w:spacing w:after="0"/>
      </w:pPr>
      <w:r>
        <w:t>Neumococos, infecciones</w:t>
      </w:r>
      <w:r>
        <w:footnoteReference w:id="15"/>
      </w:r>
    </w:p>
    <w:p w14:paraId="6CFD2237" w14:textId="77777777" w:rsidR="00D03C17" w:rsidRDefault="00D03C17">
      <w:pPr>
        <w:pStyle w:val="BodyText"/>
        <w:ind w:firstLine="0"/>
      </w:pPr>
      <w:r>
        <w:rPr>
          <w:b/>
          <w:bCs/>
        </w:rPr>
        <w:t>M</w:t>
      </w:r>
      <w:r>
        <w:rPr>
          <w:b/>
          <w:bCs/>
          <w:sz w:val="13"/>
          <w:szCs w:val="13"/>
        </w:rPr>
        <w:t>ANIFESTACIONES CLÍNICAS</w:t>
      </w:r>
      <w:r>
        <w:rPr>
          <w:b/>
          <w:bCs/>
        </w:rPr>
        <w:t xml:space="preserve">: </w:t>
      </w:r>
      <w:r>
        <w:t>El neumococo es la bacteria que con mayor frecuencia origina otitis media aguda e infecciones bacterianas invasoras en los niños. Muchos menores con bacteriemia no tienen un foco primario identificable de la infección. Los neumococos también son causa común de sinusitis, neumonía de origen comunitario y conjuntivitis. Las dos causas más frecuentes de meningitis bacteriana en lactantes y niños de corta edad son los neumococos y los meningococos. Estos últimos a veces originan endocarditis, osteomielitis, pericarditis, artritis piógena, infección de partes blandas y septicemia neonatal de comienzo temprano.</w:t>
      </w:r>
    </w:p>
    <w:p w14:paraId="461697CF" w14:textId="77777777" w:rsidR="00D03C17" w:rsidRDefault="00D03C17">
      <w:pPr>
        <w:pStyle w:val="BodyText"/>
        <w:ind w:firstLine="0"/>
      </w:pPr>
      <w:r>
        <w:rPr>
          <w:b/>
          <w:bCs/>
        </w:rPr>
        <w:t>C</w:t>
      </w:r>
      <w:r>
        <w:rPr>
          <w:b/>
          <w:bCs/>
          <w:sz w:val="13"/>
          <w:szCs w:val="13"/>
        </w:rPr>
        <w:t>AUSAS</w:t>
      </w:r>
      <w:r>
        <w:rPr>
          <w:b/>
          <w:bCs/>
        </w:rPr>
        <w:t xml:space="preserve">: </w:t>
      </w:r>
      <w:r>
        <w:rPr>
          <w:rFonts w:ascii="Times New Roman" w:eastAsia="Times New Roman" w:hAnsi="Times New Roman" w:cs="Times New Roman"/>
          <w:i/>
          <w:iCs/>
          <w:sz w:val="16"/>
          <w:szCs w:val="16"/>
        </w:rPr>
        <w:t>Streptococcus pneumoniae</w:t>
      </w:r>
      <w:r>
        <w:t xml:space="preserve"> (neumococos) son diplococos grampositivos en forma de lanceta. Se han identificado 90 serotipos de ellos. Las infecciones más invasoras en los niños en Estados Unidos son causadas por los serotipos 4, 6B, 9V, 14, 18C, 19F y 23F (sistema danés de serotipificación), y son los siete tipos que incluye la vacuna heptavalente aprobada a base de conjugado neumocócico. Los serotipos 6B, 9V, 14, 19A, 19F y 23F son los aislados con mayor frecuencia y que muestran resistencia a la penicilina.</w:t>
      </w:r>
    </w:p>
    <w:p w14:paraId="6BCAB58A" w14:textId="77777777" w:rsidR="00D03C17" w:rsidRDefault="00D03C17">
      <w:pPr>
        <w:pStyle w:val="BodyText"/>
        <w:ind w:firstLine="0"/>
      </w:pPr>
      <w:r>
        <w:rPr>
          <w:b/>
          <w:bCs/>
        </w:rPr>
        <w:t>A</w:t>
      </w:r>
      <w:r>
        <w:rPr>
          <w:b/>
          <w:bCs/>
          <w:sz w:val="13"/>
          <w:szCs w:val="13"/>
        </w:rPr>
        <w:t>SPECTOS EPIDEMIOLÓGICOS</w:t>
      </w:r>
      <w:r>
        <w:rPr>
          <w:b/>
          <w:bCs/>
        </w:rPr>
        <w:t xml:space="preserve">: </w:t>
      </w:r>
      <w:r>
        <w:t>Los neumococos están distribuidos de manera generalizada y en muchas personas hay colonización de la porción alta de las vías respiratorias por ellos. La transmisión se hace en forma directa, es decir de una persona a otra, quizá por contacto con gotículas de secreciones de vías respiratorias. Se desconoce el periodo de transmisibilidad y tal vez corresponda al tiempo en que está el microorganismo en las secreciones de las vías mencionadas, pero quizá sea menor de 24 h después de comenzar la terapia eficaz con antimicrobianos. En los niños de corta edad en quienes aparece un nuevo serotipo neumocócico en la nasofaringe, se manifiesta en alrededor de 15% de ellos un cuadro clínico (como sería otitis media), en el término de 30 días del contagio. Las infecciones víricas de la porción alta de las vías respiratorias, incluida la influenza, pueden predisponer a infecciones neumocócicas. Estas últimas son más prevalentes en los meses de invierno; más comunes en lactantes, niños de corta edad y ancianos, y más frecuentes en personas de raza negra y algunas poblaciones de indios norteamericanos que en otros grupos raciales y étnicos. Asimismo, aumenta la incidencia y la intensidad de las infecciones en cuestión en personas con inmunodeficiencia humoral adquirida (como agammaglobulinemia), infección por virus de inmunodeficiencia humana (VIH) o ausencia o deficiencia de la función esplénica (enfermedad drepanocítica, asplenia congénita o quirúrgica). Otras categorías que están expuestas a un supuesto riesgo alto o moderado se incluyen en el cuadro 3-47.</w:t>
      </w:r>
    </w:p>
    <w:p w14:paraId="5AA36B10" w14:textId="77777777" w:rsidR="00D03C17" w:rsidRDefault="00D03C17">
      <w:pPr>
        <w:pStyle w:val="BodyText"/>
        <w:ind w:firstLine="360"/>
      </w:pPr>
      <w:r>
        <w:t xml:space="preserve">El </w:t>
      </w:r>
      <w:r>
        <w:rPr>
          <w:b/>
          <w:bCs/>
        </w:rPr>
        <w:t xml:space="preserve">periodo de incubación </w:t>
      </w:r>
      <w:r>
        <w:t>varía con el tipo de infección y puede ser incluso de uno a tres días.</w:t>
      </w:r>
    </w:p>
    <w:p w14:paraId="4A4F2F6F" w14:textId="77777777" w:rsidR="00D03C17" w:rsidRDefault="00D03C17">
      <w:pPr>
        <w:pStyle w:val="BodyText"/>
        <w:ind w:firstLine="0"/>
      </w:pPr>
      <w:r>
        <w:rPr>
          <w:b/>
          <w:bCs/>
        </w:rPr>
        <w:t>M</w:t>
      </w:r>
      <w:r>
        <w:rPr>
          <w:b/>
          <w:bCs/>
          <w:sz w:val="13"/>
          <w:szCs w:val="13"/>
        </w:rPr>
        <w:t>ÉTODOS DIAGNÓSTICOS</w:t>
      </w:r>
      <w:r>
        <w:rPr>
          <w:b/>
          <w:bCs/>
        </w:rPr>
        <w:t xml:space="preserve">: </w:t>
      </w:r>
      <w:r>
        <w:t>El material obtenido del pus de un foco supurado debe teñirse con técnica de Gram y cultivarse por medio de técnicas microbiológicas</w:t>
      </w:r>
    </w:p>
    <w:p w14:paraId="5ADBA15F" w14:textId="77777777" w:rsidR="00D03C17" w:rsidRDefault="00D03C17">
      <w:pPr>
        <w:pStyle w:val="Heading31"/>
        <w:keepNext/>
        <w:keepLines/>
        <w:pBdr>
          <w:bottom w:val="single" w:sz="4" w:space="0" w:color="auto"/>
        </w:pBdr>
        <w:spacing w:after="400" w:line="211" w:lineRule="auto"/>
        <w:jc w:val="center"/>
      </w:pPr>
      <w:bookmarkStart w:id="126" w:name="bookmark1154"/>
      <w:bookmarkStart w:id="127" w:name="bookmark1155"/>
      <w:bookmarkStart w:id="128" w:name="bookmark1156"/>
      <w:r>
        <w:rPr>
          <w:b w:val="0"/>
          <w:bCs w:val="0"/>
        </w:rPr>
        <w:t xml:space="preserve">Cuadro 3-47. </w:t>
      </w:r>
      <w:r>
        <w:t>Niños expuestos a riesgo alto o moderado de mostrar</w:t>
      </w:r>
      <w:r>
        <w:br/>
        <w:t>infección neumocócica invasora</w:t>
      </w:r>
      <w:bookmarkEnd w:id="126"/>
      <w:bookmarkEnd w:id="127"/>
      <w:bookmarkEnd w:id="128"/>
    </w:p>
    <w:p w14:paraId="36CA9081" w14:textId="77777777" w:rsidR="00D03C17" w:rsidRDefault="00D03C17">
      <w:pPr>
        <w:pStyle w:val="Bodytext20"/>
      </w:pPr>
      <w:r>
        <w:rPr>
          <w:b/>
          <w:bCs/>
        </w:rPr>
        <w:t>Riesgo alto (cifra de ataque de enfermedad neumocócica invasora, de 150 casos o más/ 100 000 personas al año)</w:t>
      </w:r>
    </w:p>
    <w:p w14:paraId="14167A49" w14:textId="77777777" w:rsidR="00D03C17" w:rsidRDefault="00D03C17">
      <w:pPr>
        <w:pStyle w:val="Bodytext20"/>
        <w:numPr>
          <w:ilvl w:val="0"/>
          <w:numId w:val="87"/>
        </w:numPr>
        <w:tabs>
          <w:tab w:val="left" w:pos="280"/>
        </w:tabs>
      </w:pPr>
      <w:bookmarkStart w:id="129" w:name="bookmark1157"/>
      <w:bookmarkEnd w:id="129"/>
      <w:r>
        <w:t>Enfermedad drepanocítica, asplenia congénita o adquirida o disfunción esplénica</w:t>
      </w:r>
    </w:p>
    <w:p w14:paraId="3D5DF8B1" w14:textId="77777777" w:rsidR="00D03C17" w:rsidRDefault="00D03C17">
      <w:pPr>
        <w:pStyle w:val="Bodytext20"/>
        <w:numPr>
          <w:ilvl w:val="0"/>
          <w:numId w:val="87"/>
        </w:numPr>
        <w:tabs>
          <w:tab w:val="left" w:pos="280"/>
        </w:tabs>
      </w:pPr>
      <w:bookmarkStart w:id="130" w:name="bookmark1158"/>
      <w:bookmarkEnd w:id="130"/>
      <w:r>
        <w:t>Infección por virus de inmunodeficiencia humana</w:t>
      </w:r>
    </w:p>
    <w:p w14:paraId="591A84A7" w14:textId="77777777" w:rsidR="00D03C17" w:rsidRDefault="00D03C17">
      <w:pPr>
        <w:pStyle w:val="Bodytext20"/>
      </w:pPr>
      <w:r>
        <w:rPr>
          <w:b/>
          <w:bCs/>
        </w:rPr>
        <w:t>Riesgo alto supuesto (no se calculan los índices de ataque)</w:t>
      </w:r>
    </w:p>
    <w:p w14:paraId="695FD926" w14:textId="77777777" w:rsidR="00D03C17" w:rsidRDefault="00D03C17">
      <w:pPr>
        <w:pStyle w:val="Bodytext20"/>
        <w:numPr>
          <w:ilvl w:val="0"/>
          <w:numId w:val="87"/>
        </w:numPr>
        <w:tabs>
          <w:tab w:val="left" w:pos="280"/>
        </w:tabs>
        <w:ind w:left="360" w:hanging="360"/>
      </w:pPr>
      <w:bookmarkStart w:id="131" w:name="bookmark1159"/>
      <w:bookmarkEnd w:id="131"/>
      <w:r>
        <w:t>Deficiencia inmunitaria congénita; algunas deficiencias de linfocitos B (humoral) o linfocitos T; deficiencias de complemento (particularmente las fracciones C1, C2, C3 y C4) o trastornos fagocíticos (se excluye la enfermedad granulomatosa crónica)</w:t>
      </w:r>
    </w:p>
    <w:p w14:paraId="1D1A88E2" w14:textId="77777777" w:rsidR="00D03C17" w:rsidRDefault="00D03C17">
      <w:pPr>
        <w:pStyle w:val="Bodytext20"/>
        <w:numPr>
          <w:ilvl w:val="0"/>
          <w:numId w:val="87"/>
        </w:numPr>
        <w:tabs>
          <w:tab w:val="left" w:pos="280"/>
        </w:tabs>
      </w:pPr>
      <w:bookmarkStart w:id="132" w:name="bookmark1160"/>
      <w:bookmarkEnd w:id="132"/>
      <w:r>
        <w:t>Cardiopatía crónica (en particular la congénita cianótica y la insuficiencia cardiaca)</w:t>
      </w:r>
    </w:p>
    <w:p w14:paraId="1E02062B" w14:textId="77777777" w:rsidR="00D03C17" w:rsidRDefault="00D03C17">
      <w:pPr>
        <w:pStyle w:val="Bodytext20"/>
        <w:numPr>
          <w:ilvl w:val="0"/>
          <w:numId w:val="87"/>
        </w:numPr>
        <w:tabs>
          <w:tab w:val="left" w:pos="280"/>
        </w:tabs>
      </w:pPr>
      <w:bookmarkStart w:id="133" w:name="bookmark1161"/>
      <w:bookmarkEnd w:id="133"/>
      <w:r>
        <w:t>Neumopatía crónica (incluido el asma tratado con dosis altas de corticosteroides ingeribles)</w:t>
      </w:r>
    </w:p>
    <w:p w14:paraId="4EB35EB6" w14:textId="77777777" w:rsidR="00D03C17" w:rsidRDefault="00D03C17">
      <w:pPr>
        <w:pStyle w:val="Bodytext20"/>
        <w:numPr>
          <w:ilvl w:val="0"/>
          <w:numId w:val="87"/>
        </w:numPr>
        <w:tabs>
          <w:tab w:val="left" w:pos="280"/>
        </w:tabs>
        <w:ind w:left="360" w:hanging="360"/>
      </w:pPr>
      <w:bookmarkStart w:id="134" w:name="bookmark1162"/>
      <w:bookmarkEnd w:id="134"/>
      <w:r>
        <w:t>Fugas de líquido cefalorraquídeo por malformaciones congénitas, fractura de cráneo o métodos en el sistema nervioso</w:t>
      </w:r>
    </w:p>
    <w:p w14:paraId="524543B5" w14:textId="77777777" w:rsidR="00D03C17" w:rsidRDefault="00D03C17">
      <w:pPr>
        <w:pStyle w:val="Bodytext20"/>
        <w:numPr>
          <w:ilvl w:val="0"/>
          <w:numId w:val="87"/>
        </w:numPr>
        <w:tabs>
          <w:tab w:val="left" w:pos="280"/>
        </w:tabs>
      </w:pPr>
      <w:bookmarkStart w:id="135" w:name="bookmark1163"/>
      <w:bookmarkEnd w:id="135"/>
      <w:r>
        <w:t>Insuficiencia renal crónica, incluido el síndrome nefrótico</w:t>
      </w:r>
    </w:p>
    <w:p w14:paraId="46435D8E" w14:textId="77777777" w:rsidR="00D03C17" w:rsidRDefault="00D03C17">
      <w:pPr>
        <w:pStyle w:val="Bodytext20"/>
        <w:numPr>
          <w:ilvl w:val="0"/>
          <w:numId w:val="87"/>
        </w:numPr>
        <w:tabs>
          <w:tab w:val="left" w:pos="280"/>
        </w:tabs>
        <w:ind w:left="360" w:hanging="360"/>
      </w:pPr>
      <w:bookmarkStart w:id="136" w:name="bookmark1164"/>
      <w:bookmarkEnd w:id="136"/>
      <w:r>
        <w:t>Enfermedades en que se utiliza terapia inmunosupresora o radioterapia (incluidas neoplasias malignas, leucemias, linfomas y enfermedad de Hodgkin) y trasplante de órgano sólido</w:t>
      </w:r>
    </w:p>
    <w:p w14:paraId="2168F285" w14:textId="77777777" w:rsidR="00D03C17" w:rsidRDefault="00D03C17">
      <w:pPr>
        <w:pStyle w:val="Bodytext20"/>
        <w:numPr>
          <w:ilvl w:val="0"/>
          <w:numId w:val="87"/>
        </w:numPr>
        <w:tabs>
          <w:tab w:val="left" w:pos="280"/>
        </w:tabs>
      </w:pPr>
      <w:bookmarkStart w:id="137" w:name="bookmark1165"/>
      <w:bookmarkEnd w:id="137"/>
      <w:r>
        <w:t>Diabetes mellitus</w:t>
      </w:r>
    </w:p>
    <w:p w14:paraId="522C9B4D" w14:textId="77777777" w:rsidR="00D03C17" w:rsidRDefault="00D03C17">
      <w:pPr>
        <w:pStyle w:val="Bodytext20"/>
        <w:numPr>
          <w:ilvl w:val="0"/>
          <w:numId w:val="87"/>
        </w:numPr>
        <w:tabs>
          <w:tab w:val="left" w:pos="280"/>
        </w:tabs>
      </w:pPr>
      <w:bookmarkStart w:id="138" w:name="bookmark1166"/>
      <w:bookmarkEnd w:id="138"/>
      <w:r>
        <w:t>Implantes de caracol (cocleares)</w:t>
      </w:r>
    </w:p>
    <w:p w14:paraId="144EC1A7" w14:textId="77777777" w:rsidR="00D03C17" w:rsidRDefault="00D03C17">
      <w:pPr>
        <w:pStyle w:val="Bodytext20"/>
      </w:pPr>
      <w:r>
        <w:rPr>
          <w:b/>
          <w:bCs/>
        </w:rPr>
        <w:t>Riesgo moderado (cifra de ataque de la enfermedad neumocócica invasora de 20 casos o más/100 000 personas, cada año)</w:t>
      </w:r>
    </w:p>
    <w:p w14:paraId="2C67CDA1" w14:textId="77777777" w:rsidR="00D03C17" w:rsidRDefault="00D03C17">
      <w:pPr>
        <w:pStyle w:val="Bodytext20"/>
        <w:numPr>
          <w:ilvl w:val="0"/>
          <w:numId w:val="87"/>
        </w:numPr>
        <w:tabs>
          <w:tab w:val="left" w:pos="280"/>
        </w:tabs>
      </w:pPr>
      <w:bookmarkStart w:id="139" w:name="bookmark1167"/>
      <w:bookmarkEnd w:id="139"/>
      <w:r>
        <w:t>Todos los niños de 24 a 35 meses de edad</w:t>
      </w:r>
    </w:p>
    <w:p w14:paraId="2548688A" w14:textId="77777777" w:rsidR="00D03C17" w:rsidRDefault="00D03C17">
      <w:pPr>
        <w:pStyle w:val="Bodytext20"/>
        <w:numPr>
          <w:ilvl w:val="0"/>
          <w:numId w:val="87"/>
        </w:numPr>
        <w:tabs>
          <w:tab w:val="left" w:pos="280"/>
        </w:tabs>
      </w:pPr>
      <w:bookmarkStart w:id="140" w:name="bookmark1168"/>
      <w:bookmarkEnd w:id="140"/>
      <w:r>
        <w:t>Niños de 36 a 59 meses de edad que son atendidos en el sistema extrahogareño asistencial</w:t>
      </w:r>
    </w:p>
    <w:p w14:paraId="65DF41CF" w14:textId="77777777" w:rsidR="00D03C17" w:rsidRDefault="00D03C17">
      <w:pPr>
        <w:pStyle w:val="Bodytext20"/>
        <w:numPr>
          <w:ilvl w:val="0"/>
          <w:numId w:val="87"/>
        </w:numPr>
        <w:pBdr>
          <w:bottom w:val="single" w:sz="4" w:space="0" w:color="auto"/>
        </w:pBdr>
        <w:tabs>
          <w:tab w:val="left" w:pos="280"/>
        </w:tabs>
        <w:spacing w:after="580"/>
        <w:ind w:left="360" w:hanging="360"/>
      </w:pPr>
      <w:bookmarkStart w:id="141" w:name="bookmark1169"/>
      <w:bookmarkEnd w:id="141"/>
      <w:r>
        <w:t>Niños de 36 a 59 meses de vida de extracción negra o descendientes de indios estadounidenses/nativos de Alaska</w:t>
      </w:r>
    </w:p>
    <w:p w14:paraId="40EC8D92" w14:textId="77777777" w:rsidR="00D03C17" w:rsidRDefault="00D03C17">
      <w:pPr>
        <w:pStyle w:val="BodyText"/>
        <w:ind w:firstLine="0"/>
      </w:pPr>
      <w:r>
        <w:t xml:space="preserve">apropiadas. Es importante practicar cultivos de sangre obtenida de todos los pacientes en quienes se sospecha enfermedad invasora por neumococos; también puede convenir la práctica de cultivos de líquido cefalorraquídeo (LCR) y otros líquidos (como el pleural). El recuento leucocítico pudiera ser útil en sujetos en quienes se sospecha bacteriemia causada por </w:t>
      </w:r>
      <w:r>
        <w:rPr>
          <w:rFonts w:ascii="Times New Roman" w:eastAsia="Times New Roman" w:hAnsi="Times New Roman" w:cs="Times New Roman"/>
          <w:i/>
          <w:iCs/>
          <w:sz w:val="16"/>
          <w:szCs w:val="16"/>
        </w:rPr>
        <w:t>S. pneumoniae</w:t>
      </w:r>
      <w:r>
        <w:rPr>
          <w:i/>
          <w:iCs/>
        </w:rPr>
        <w:t>;</w:t>
      </w:r>
      <w:r>
        <w:t xml:space="preserve"> los niños de corta edad con temperaturas elevadas y leucocitosis (particularmente el recuento leucocítico mayor de 15 000 células/ml [&gt;15.0 x 10</w:t>
      </w:r>
      <w:r>
        <w:rPr>
          <w:rFonts w:ascii="Times New Roman" w:eastAsia="Times New Roman" w:hAnsi="Times New Roman" w:cs="Times New Roman"/>
          <w:sz w:val="11"/>
          <w:szCs w:val="11"/>
        </w:rPr>
        <w:t>9</w:t>
      </w:r>
      <w:r>
        <w:t>/L]) tienen una mayor posibilidad de mostrar bacteriemia. No es grande el valor predictivo de la leucocitosis en cuanto a la presencia de bacteriemia neumocócica, pero el recuento normal permite predecir definitivamente la ausencia de tal trastorno. Identificar los neumococos en el cultivo del material de la zona alta de las vías respiratorias no equivale al diagnóstico etiológico del ataque neumocócico en el oído medio, vías bajas respiratorias o senos de la cara. Los métodos rápidos para detectar antígeno capsular neumocócico en los líquidos cefalorraquídeo, pleural y sinovial y la orina concentrada generalmente no tienen la suficiente sensibilidad ni especificidad para ser útiles en la clínica.</w:t>
      </w:r>
    </w:p>
    <w:p w14:paraId="4DFFFF0B" w14:textId="77777777" w:rsidR="00D03C17" w:rsidRDefault="00D03C17">
      <w:pPr>
        <w:pStyle w:val="BodyText"/>
        <w:spacing w:after="320" w:line="288" w:lineRule="auto"/>
        <w:ind w:firstLine="360"/>
      </w:pPr>
      <w:r>
        <w:rPr>
          <w:rFonts w:ascii="Arial" w:eastAsia="Arial" w:hAnsi="Arial" w:cs="Arial"/>
          <w:b/>
          <w:bCs/>
          <w:i/>
          <w:iCs/>
          <w:sz w:val="15"/>
          <w:szCs w:val="15"/>
        </w:rPr>
        <w:t>Métodos para valorar la susceptibilidad.</w:t>
      </w:r>
      <w:r>
        <w:rPr>
          <w:i/>
          <w:iCs/>
        </w:rPr>
        <w:footnoteReference w:id="16"/>
      </w:r>
      <w:r>
        <w:t xml:space="preserve"> Es importante someter a todos los microorganismos </w:t>
      </w:r>
      <w:r>
        <w:rPr>
          <w:rFonts w:ascii="Times New Roman" w:eastAsia="Times New Roman" w:hAnsi="Times New Roman" w:cs="Times New Roman"/>
          <w:i/>
          <w:iCs/>
          <w:sz w:val="16"/>
          <w:szCs w:val="16"/>
        </w:rPr>
        <w:t>S. pneumoniae</w:t>
      </w:r>
      <w:r>
        <w:t xml:space="preserve"> obtenidos de líquidos corporales normalmente estériles (como LCR, sangre, oído medio o líquido pleural o sinovial) a métodos para medir </w:t>
      </w:r>
      <w:r>
        <w:rPr>
          <w:rFonts w:ascii="Times New Roman" w:eastAsia="Times New Roman" w:hAnsi="Times New Roman" w:cs="Times New Roman"/>
          <w:i/>
          <w:iCs/>
          <w:sz w:val="16"/>
          <w:szCs w:val="16"/>
        </w:rPr>
        <w:t>in</w:t>
      </w:r>
      <w:r>
        <w:rPr>
          <w:rFonts w:ascii="Times New Roman" w:eastAsia="Times New Roman" w:hAnsi="Times New Roman" w:cs="Times New Roman"/>
          <w:i/>
          <w:iCs/>
          <w:sz w:val="16"/>
          <w:szCs w:val="16"/>
        </w:rPr>
        <w:br w:type="page"/>
        <w:t>vitro</w:t>
      </w:r>
      <w:r>
        <w:t xml:space="preserve"> la susceptibilidad a antimicrobianos y conocer la concentración inhibitoria mínima </w:t>
      </w:r>
      <w:r>
        <w:rPr>
          <w:rFonts w:ascii="Times New Roman" w:eastAsia="Times New Roman" w:hAnsi="Times New Roman" w:cs="Times New Roman"/>
          <w:i/>
          <w:iCs/>
          <w:sz w:val="16"/>
          <w:szCs w:val="16"/>
        </w:rPr>
        <w:t>(minimum inhibitory concentration, MIC)</w:t>
      </w:r>
      <w:r>
        <w:t xml:space="preserve"> a la penicilina y la cefotaxima o la ceftriaxona sódica. El término no susceptible se ha definido de modo que incluya a gérmenes con resistencia intermedia y resistencia grande. Sobre tal base, las definiciones actuales de la susceptibilidad </w:t>
      </w:r>
      <w:r>
        <w:rPr>
          <w:rFonts w:ascii="Times New Roman" w:eastAsia="Times New Roman" w:hAnsi="Times New Roman" w:cs="Times New Roman"/>
          <w:i/>
          <w:iCs/>
          <w:sz w:val="16"/>
          <w:szCs w:val="16"/>
        </w:rPr>
        <w:t>in vitro</w:t>
      </w:r>
      <w:r>
        <w:t xml:space="preserve"> y la falta de susceptibilidad son las siguientes en lo que se refiere a los microorganismos no meníngeos y meníngeos:</w:t>
      </w:r>
    </w:p>
    <w:p w14:paraId="70E81D23" w14:textId="77777777" w:rsidR="00D03C17" w:rsidRDefault="00D03C17">
      <w:pPr>
        <w:pStyle w:val="Other0"/>
        <w:pBdr>
          <w:top w:val="single" w:sz="0" w:space="0" w:color="231F20"/>
          <w:left w:val="single" w:sz="0" w:space="0" w:color="231F20"/>
          <w:bottom w:val="single" w:sz="0" w:space="0" w:color="231F20"/>
          <w:right w:val="single" w:sz="0" w:space="0" w:color="231F20"/>
        </w:pBdr>
        <w:shd w:val="clear" w:color="auto" w:fill="231F20"/>
        <w:spacing w:after="80" w:line="240" w:lineRule="auto"/>
        <w:ind w:firstLine="0"/>
        <w:rPr>
          <w:sz w:val="24"/>
          <w:szCs w:val="24"/>
        </w:rPr>
      </w:pPr>
      <w:r>
        <w:rPr>
          <w:noProof/>
        </w:rPr>
        <mc:AlternateContent>
          <mc:Choice Requires="wps">
            <w:drawing>
              <wp:anchor distT="3175" distB="0" distL="114300" distR="1443355" simplePos="0" relativeHeight="251661312" behindDoc="0" locked="0" layoutInCell="1" allowOverlap="1" wp14:anchorId="5294A3B2" wp14:editId="2B58D170">
                <wp:simplePos x="0" y="0"/>
                <wp:positionH relativeFrom="page">
                  <wp:posOffset>542925</wp:posOffset>
                </wp:positionH>
                <wp:positionV relativeFrom="paragraph">
                  <wp:posOffset>193675</wp:posOffset>
                </wp:positionV>
                <wp:extent cx="1024255" cy="362585"/>
                <wp:effectExtent l="0" t="0" r="0" b="0"/>
                <wp:wrapSquare wrapText="right"/>
                <wp:docPr id="1501" name="Shape 1501"/>
                <wp:cNvGraphicFramePr/>
                <a:graphic xmlns:a="http://schemas.openxmlformats.org/drawingml/2006/main">
                  <a:graphicData uri="http://schemas.microsoft.com/office/word/2010/wordprocessingShape">
                    <wps:wsp>
                      <wps:cNvSpPr txBox="1"/>
                      <wps:spPr>
                        <a:xfrm>
                          <a:off x="0" y="0"/>
                          <a:ext cx="1024255" cy="362585"/>
                        </a:xfrm>
                        <a:prstGeom prst="rect">
                          <a:avLst/>
                        </a:prstGeom>
                        <a:solidFill>
                          <a:srgbClr val="231F20"/>
                        </a:solidFill>
                      </wps:spPr>
                      <wps:txbx>
                        <w:txbxContent>
                          <w:p w14:paraId="6AEEB298" w14:textId="77777777" w:rsidR="00D03C17" w:rsidRDefault="00D03C17">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Fármaco y sitio del germen aislado</w:t>
                            </w:r>
                          </w:p>
                        </w:txbxContent>
                      </wps:txbx>
                      <wps:bodyPr lIns="0" tIns="0" rIns="0" bIns="0"/>
                    </wps:wsp>
                  </a:graphicData>
                </a:graphic>
              </wp:anchor>
            </w:drawing>
          </mc:Choice>
          <mc:Fallback>
            <w:pict>
              <v:shape w14:anchorId="5294A3B2" id="Shape 1501" o:spid="_x0000_s1028" type="#_x0000_t202" style="position:absolute;margin-left:42.75pt;margin-top:15.25pt;width:80.65pt;height:28.55pt;z-index:251661312;visibility:visible;mso-wrap-style:square;mso-wrap-distance-left:9pt;mso-wrap-distance-top:.25pt;mso-wrap-distance-right:113.65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" fillcolor="#231f20" stroked="f">
                <v:textbox inset="0,0,0,0">
                  <w:txbxContent>
                    <w:p w14:paraId="6AEEB298" w14:textId="77777777" w:rsidR="00D03C17" w:rsidRDefault="00D03C17">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Fármaco y sitio del germen aislado</w:t>
                      </w:r>
                    </w:p>
                  </w:txbxContent>
                </v:textbox>
                <w10:wrap type="square" side="right" anchorx="page"/>
              </v:shape>
            </w:pict>
          </mc:Fallback>
        </mc:AlternateContent>
      </w:r>
      <w:r>
        <w:rPr>
          <w:noProof/>
        </w:rPr>
        <mc:AlternateContent>
          <mc:Choice Requires="wps">
            <w:drawing>
              <wp:anchor distT="0" distB="0" distL="1363980" distR="114300" simplePos="0" relativeHeight="251662336" behindDoc="0" locked="0" layoutInCell="1" allowOverlap="1" wp14:anchorId="09676D23" wp14:editId="5FD29B13">
                <wp:simplePos x="0" y="0"/>
                <wp:positionH relativeFrom="page">
                  <wp:posOffset>1792605</wp:posOffset>
                </wp:positionH>
                <wp:positionV relativeFrom="paragraph">
                  <wp:posOffset>190500</wp:posOffset>
                </wp:positionV>
                <wp:extent cx="1103630" cy="365760"/>
                <wp:effectExtent l="0" t="0" r="0" b="0"/>
                <wp:wrapSquare wrapText="right"/>
                <wp:docPr id="1503" name="Shape 1503"/>
                <wp:cNvGraphicFramePr/>
                <a:graphic xmlns:a="http://schemas.openxmlformats.org/drawingml/2006/main">
                  <a:graphicData uri="http://schemas.microsoft.com/office/word/2010/wordprocessingShape">
                    <wps:wsp>
                      <wps:cNvSpPr txBox="1"/>
                      <wps:spPr>
                        <a:xfrm>
                          <a:off x="0" y="0"/>
                          <a:ext cx="1103630" cy="365760"/>
                        </a:xfrm>
                        <a:prstGeom prst="rect">
                          <a:avLst/>
                        </a:prstGeom>
                        <a:solidFill>
                          <a:srgbClr val="231F20"/>
                        </a:solidFill>
                      </wps:spPr>
                      <wps:txbx>
                        <w:txbxContent>
                          <w:p w14:paraId="403E333A" w14:textId="77777777" w:rsidR="00D03C17" w:rsidRDefault="00D03C17">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Germen susceptible, mg/ml</w:t>
                            </w:r>
                          </w:p>
                        </w:txbxContent>
                      </wps:txbx>
                      <wps:bodyPr lIns="0" tIns="0" rIns="0" bIns="0"/>
                    </wps:wsp>
                  </a:graphicData>
                </a:graphic>
              </wp:anchor>
            </w:drawing>
          </mc:Choice>
          <mc:Fallback>
            <w:pict>
              <v:shape w14:anchorId="09676D23" id="Shape 1503" o:spid="_x0000_s1029" type="#_x0000_t202" style="position:absolute;margin-left:141.15pt;margin-top:15pt;width:86.9pt;height:28.8pt;z-index:251662336;visibility:visible;mso-wrap-style:square;mso-wrap-distance-left:107.4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" fillcolor="#231f20" stroked="f">
                <v:textbox inset="0,0,0,0">
                  <w:txbxContent>
                    <w:p w14:paraId="403E333A" w14:textId="77777777" w:rsidR="00D03C17" w:rsidRDefault="00D03C17">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Germen susceptible, mg/ml</w:t>
                      </w:r>
                    </w:p>
                  </w:txbxContent>
                </v:textbox>
                <w10:wrap type="square" side="right" anchorx="page"/>
              </v:shape>
            </w:pict>
          </mc:Fallback>
        </mc:AlternateContent>
      </w:r>
      <w:r>
        <w:rPr>
          <w:rFonts w:ascii="Arial" w:eastAsia="Arial" w:hAnsi="Arial" w:cs="Arial"/>
          <w:b/>
          <w:bCs/>
          <w:color w:val="FFFFFF"/>
          <w:w w:val="70"/>
          <w:sz w:val="24"/>
          <w:szCs w:val="24"/>
          <w:u w:val="single"/>
        </w:rPr>
        <w:t xml:space="preserve">Germen no susceptible, pg/ml </w:t>
      </w:r>
      <w:r>
        <w:rPr>
          <w:rFonts w:ascii="Arial" w:eastAsia="Arial" w:hAnsi="Arial" w:cs="Arial"/>
          <w:b/>
          <w:bCs/>
          <w:color w:val="FFFFFF"/>
          <w:w w:val="70"/>
          <w:sz w:val="24"/>
          <w:szCs w:val="24"/>
        </w:rPr>
        <w:t>Germen con Resistente susceptibilidad intermedia</w:t>
      </w:r>
    </w:p>
    <w:tbl>
      <w:tblPr>
        <w:tblOverlap w:val="never"/>
        <w:tblW w:w="0" w:type="auto"/>
        <w:tblLayout w:type="fixed"/>
        <w:tblCellMar>
          <w:left w:w="10" w:type="dxa"/>
          <w:right w:w="10" w:type="dxa"/>
        </w:tblCellMar>
        <w:tblLook w:val="04A0" w:firstRow="1" w:lastRow="0" w:firstColumn="1" w:lastColumn="0" w:noHBand="0" w:noVBand="1"/>
      </w:tblPr>
      <w:tblGrid>
        <w:gridCol w:w="1915"/>
        <w:gridCol w:w="1267"/>
        <w:gridCol w:w="1829"/>
        <w:gridCol w:w="898"/>
      </w:tblGrid>
      <w:tr w:rsidR="00D03C17" w14:paraId="698A20A3" w14:textId="77777777">
        <w:tblPrEx>
          <w:tblCellMar>
            <w:top w:w="0" w:type="dxa"/>
            <w:bottom w:w="0" w:type="dxa"/>
          </w:tblCellMar>
        </w:tblPrEx>
        <w:trPr>
          <w:trHeight w:hRule="exact" w:val="202"/>
        </w:trPr>
        <w:tc>
          <w:tcPr>
            <w:tcW w:w="1915" w:type="dxa"/>
            <w:shd w:val="clear" w:color="auto" w:fill="FFFFFF"/>
          </w:tcPr>
          <w:p w14:paraId="13B2C73F"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Penicilina/amoxicilina</w:t>
            </w:r>
          </w:p>
        </w:tc>
        <w:tc>
          <w:tcPr>
            <w:tcW w:w="1267" w:type="dxa"/>
            <w:shd w:val="clear" w:color="auto" w:fill="FFFFFF"/>
          </w:tcPr>
          <w:p w14:paraId="4C92755B"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20"/>
                <w:szCs w:val="20"/>
              </w:rPr>
              <w:t>&lt;</w:t>
            </w:r>
            <w:r>
              <w:rPr>
                <w:rFonts w:ascii="Times New Roman" w:eastAsia="Times New Roman" w:hAnsi="Times New Roman" w:cs="Times New Roman"/>
                <w:sz w:val="16"/>
                <w:szCs w:val="16"/>
              </w:rPr>
              <w:t>0.06</w:t>
            </w:r>
          </w:p>
        </w:tc>
        <w:tc>
          <w:tcPr>
            <w:tcW w:w="1829" w:type="dxa"/>
            <w:shd w:val="clear" w:color="auto" w:fill="FFFFFF"/>
          </w:tcPr>
          <w:p w14:paraId="29AD0A1D" w14:textId="77777777" w:rsidR="00D03C17" w:rsidRDefault="00D03C17">
            <w:pPr>
              <w:pStyle w:val="Other0"/>
              <w:spacing w:line="240" w:lineRule="auto"/>
              <w:ind w:firstLine="760"/>
              <w:rPr>
                <w:sz w:val="16"/>
                <w:szCs w:val="16"/>
              </w:rPr>
            </w:pPr>
            <w:r>
              <w:rPr>
                <w:rFonts w:ascii="Times New Roman" w:eastAsia="Times New Roman" w:hAnsi="Times New Roman" w:cs="Times New Roman"/>
                <w:sz w:val="16"/>
                <w:szCs w:val="16"/>
              </w:rPr>
              <w:t>0.1-1.0</w:t>
            </w:r>
          </w:p>
        </w:tc>
        <w:tc>
          <w:tcPr>
            <w:tcW w:w="898" w:type="dxa"/>
            <w:shd w:val="clear" w:color="auto" w:fill="FFFFFF"/>
          </w:tcPr>
          <w:p w14:paraId="6E69BD25" w14:textId="77777777" w:rsidR="00D03C17" w:rsidRDefault="00D03C17">
            <w:pPr>
              <w:pStyle w:val="Other0"/>
              <w:spacing w:line="240" w:lineRule="auto"/>
              <w:ind w:firstLine="540"/>
              <w:jc w:val="both"/>
              <w:rPr>
                <w:sz w:val="16"/>
                <w:szCs w:val="16"/>
              </w:rPr>
            </w:pPr>
            <w:r>
              <w:rPr>
                <w:rFonts w:ascii="Times New Roman" w:eastAsia="Times New Roman" w:hAnsi="Times New Roman" w:cs="Times New Roman"/>
                <w:sz w:val="20"/>
                <w:szCs w:val="20"/>
              </w:rPr>
              <w:t>&gt;</w:t>
            </w:r>
            <w:r>
              <w:rPr>
                <w:rFonts w:ascii="Times New Roman" w:eastAsia="Times New Roman" w:hAnsi="Times New Roman" w:cs="Times New Roman"/>
                <w:sz w:val="16"/>
                <w:szCs w:val="16"/>
              </w:rPr>
              <w:t>2.0</w:t>
            </w:r>
          </w:p>
        </w:tc>
      </w:tr>
      <w:tr w:rsidR="00D03C17" w14:paraId="1802E986" w14:textId="77777777">
        <w:tblPrEx>
          <w:tblCellMar>
            <w:top w:w="0" w:type="dxa"/>
            <w:bottom w:w="0" w:type="dxa"/>
          </w:tblCellMar>
        </w:tblPrEx>
        <w:trPr>
          <w:trHeight w:hRule="exact" w:val="221"/>
        </w:trPr>
        <w:tc>
          <w:tcPr>
            <w:tcW w:w="1915" w:type="dxa"/>
            <w:shd w:val="clear" w:color="auto" w:fill="FFFFFF"/>
          </w:tcPr>
          <w:p w14:paraId="7312F224"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 xml:space="preserve">Cefotaxima </w:t>
            </w:r>
            <w:r>
              <w:rPr>
                <w:rFonts w:ascii="Times New Roman" w:eastAsia="Times New Roman" w:hAnsi="Times New Roman" w:cs="Times New Roman"/>
                <w:b/>
                <w:bCs/>
                <w:sz w:val="16"/>
                <w:szCs w:val="16"/>
              </w:rPr>
              <w:t xml:space="preserve">O </w:t>
            </w:r>
            <w:r>
              <w:rPr>
                <w:rFonts w:ascii="Times New Roman" w:eastAsia="Times New Roman" w:hAnsi="Times New Roman" w:cs="Times New Roman"/>
                <w:sz w:val="16"/>
                <w:szCs w:val="16"/>
              </w:rPr>
              <w:t>ceftriaxona</w:t>
            </w:r>
          </w:p>
        </w:tc>
        <w:tc>
          <w:tcPr>
            <w:tcW w:w="1267" w:type="dxa"/>
            <w:shd w:val="clear" w:color="auto" w:fill="FFFFFF"/>
          </w:tcPr>
          <w:p w14:paraId="38E0429E" w14:textId="77777777" w:rsidR="00D03C17" w:rsidRDefault="00D03C17">
            <w:pPr>
              <w:rPr>
                <w:sz w:val="10"/>
                <w:szCs w:val="10"/>
              </w:rPr>
            </w:pPr>
          </w:p>
        </w:tc>
        <w:tc>
          <w:tcPr>
            <w:tcW w:w="1829" w:type="dxa"/>
            <w:shd w:val="clear" w:color="auto" w:fill="FFFFFF"/>
          </w:tcPr>
          <w:p w14:paraId="0E6884D6" w14:textId="77777777" w:rsidR="00D03C17" w:rsidRDefault="00D03C17">
            <w:pPr>
              <w:rPr>
                <w:sz w:val="10"/>
                <w:szCs w:val="10"/>
              </w:rPr>
            </w:pPr>
          </w:p>
        </w:tc>
        <w:tc>
          <w:tcPr>
            <w:tcW w:w="898" w:type="dxa"/>
            <w:shd w:val="clear" w:color="auto" w:fill="FFFFFF"/>
          </w:tcPr>
          <w:p w14:paraId="5ABCCCA0" w14:textId="77777777" w:rsidR="00D03C17" w:rsidRDefault="00D03C17">
            <w:pPr>
              <w:rPr>
                <w:sz w:val="10"/>
                <w:szCs w:val="10"/>
              </w:rPr>
            </w:pPr>
          </w:p>
        </w:tc>
      </w:tr>
      <w:tr w:rsidR="00D03C17" w14:paraId="3ED506B8" w14:textId="77777777">
        <w:tblPrEx>
          <w:tblCellMar>
            <w:top w:w="0" w:type="dxa"/>
            <w:bottom w:w="0" w:type="dxa"/>
          </w:tblCellMar>
        </w:tblPrEx>
        <w:trPr>
          <w:trHeight w:hRule="exact" w:val="235"/>
        </w:trPr>
        <w:tc>
          <w:tcPr>
            <w:tcW w:w="1915" w:type="dxa"/>
            <w:shd w:val="clear" w:color="auto" w:fill="FFFFFF"/>
          </w:tcPr>
          <w:p w14:paraId="42C57386"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No meníngeo</w:t>
            </w:r>
          </w:p>
        </w:tc>
        <w:tc>
          <w:tcPr>
            <w:tcW w:w="1267" w:type="dxa"/>
            <w:shd w:val="clear" w:color="auto" w:fill="FFFFFF"/>
          </w:tcPr>
          <w:p w14:paraId="2BEDBE36"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20"/>
                <w:szCs w:val="20"/>
              </w:rPr>
              <w:t>&lt;</w:t>
            </w:r>
            <w:r>
              <w:rPr>
                <w:rFonts w:ascii="Times New Roman" w:eastAsia="Times New Roman" w:hAnsi="Times New Roman" w:cs="Times New Roman"/>
                <w:sz w:val="16"/>
                <w:szCs w:val="16"/>
              </w:rPr>
              <w:t>1.0</w:t>
            </w:r>
          </w:p>
        </w:tc>
        <w:tc>
          <w:tcPr>
            <w:tcW w:w="1829" w:type="dxa"/>
            <w:shd w:val="clear" w:color="auto" w:fill="FFFFFF"/>
          </w:tcPr>
          <w:p w14:paraId="5AA6F1FC" w14:textId="77777777" w:rsidR="00D03C17" w:rsidRDefault="00D03C17">
            <w:pPr>
              <w:pStyle w:val="Other0"/>
              <w:spacing w:line="240" w:lineRule="auto"/>
              <w:ind w:firstLine="760"/>
              <w:rPr>
                <w:sz w:val="16"/>
                <w:szCs w:val="16"/>
              </w:rPr>
            </w:pPr>
            <w:r>
              <w:rPr>
                <w:rFonts w:ascii="Times New Roman" w:eastAsia="Times New Roman" w:hAnsi="Times New Roman" w:cs="Times New Roman"/>
                <w:sz w:val="16"/>
                <w:szCs w:val="16"/>
              </w:rPr>
              <w:t>2.0</w:t>
            </w:r>
          </w:p>
        </w:tc>
        <w:tc>
          <w:tcPr>
            <w:tcW w:w="898" w:type="dxa"/>
            <w:shd w:val="clear" w:color="auto" w:fill="FFFFFF"/>
          </w:tcPr>
          <w:p w14:paraId="519E3E9E" w14:textId="77777777" w:rsidR="00D03C17" w:rsidRDefault="00D03C17">
            <w:pPr>
              <w:pStyle w:val="Other0"/>
              <w:spacing w:line="240" w:lineRule="auto"/>
              <w:ind w:firstLine="540"/>
              <w:jc w:val="both"/>
              <w:rPr>
                <w:sz w:val="16"/>
                <w:szCs w:val="16"/>
              </w:rPr>
            </w:pPr>
            <w:r>
              <w:rPr>
                <w:rFonts w:ascii="Times New Roman" w:eastAsia="Times New Roman" w:hAnsi="Times New Roman" w:cs="Times New Roman"/>
                <w:sz w:val="20"/>
                <w:szCs w:val="20"/>
              </w:rPr>
              <w:t>&gt;</w:t>
            </w:r>
            <w:r>
              <w:rPr>
                <w:rFonts w:ascii="Times New Roman" w:eastAsia="Times New Roman" w:hAnsi="Times New Roman" w:cs="Times New Roman"/>
                <w:sz w:val="16"/>
                <w:szCs w:val="16"/>
              </w:rPr>
              <w:t>4.0</w:t>
            </w:r>
          </w:p>
        </w:tc>
      </w:tr>
      <w:tr w:rsidR="00D03C17" w14:paraId="6007459E" w14:textId="77777777">
        <w:tblPrEx>
          <w:tblCellMar>
            <w:top w:w="0" w:type="dxa"/>
            <w:bottom w:w="0" w:type="dxa"/>
          </w:tblCellMar>
        </w:tblPrEx>
        <w:trPr>
          <w:trHeight w:hRule="exact" w:val="226"/>
        </w:trPr>
        <w:tc>
          <w:tcPr>
            <w:tcW w:w="1915" w:type="dxa"/>
            <w:tcBorders>
              <w:bottom w:val="single" w:sz="4" w:space="0" w:color="auto"/>
            </w:tcBorders>
            <w:shd w:val="clear" w:color="auto" w:fill="FFFFFF"/>
          </w:tcPr>
          <w:p w14:paraId="0D6F9A16"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Meníngeo</w:t>
            </w:r>
          </w:p>
        </w:tc>
        <w:tc>
          <w:tcPr>
            <w:tcW w:w="1267" w:type="dxa"/>
            <w:tcBorders>
              <w:bottom w:val="single" w:sz="4" w:space="0" w:color="auto"/>
            </w:tcBorders>
            <w:shd w:val="clear" w:color="auto" w:fill="FFFFFF"/>
          </w:tcPr>
          <w:p w14:paraId="0D76FE49"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20"/>
                <w:szCs w:val="20"/>
              </w:rPr>
              <w:t>&lt;</w:t>
            </w:r>
            <w:r>
              <w:rPr>
                <w:rFonts w:ascii="Times New Roman" w:eastAsia="Times New Roman" w:hAnsi="Times New Roman" w:cs="Times New Roman"/>
                <w:sz w:val="16"/>
                <w:szCs w:val="16"/>
              </w:rPr>
              <w:t>0.5</w:t>
            </w:r>
          </w:p>
        </w:tc>
        <w:tc>
          <w:tcPr>
            <w:tcW w:w="1829" w:type="dxa"/>
            <w:tcBorders>
              <w:bottom w:val="single" w:sz="4" w:space="0" w:color="auto"/>
            </w:tcBorders>
            <w:shd w:val="clear" w:color="auto" w:fill="FFFFFF"/>
          </w:tcPr>
          <w:p w14:paraId="2905E427" w14:textId="77777777" w:rsidR="00D03C17" w:rsidRDefault="00D03C17">
            <w:pPr>
              <w:pStyle w:val="Other0"/>
              <w:spacing w:line="240" w:lineRule="auto"/>
              <w:ind w:firstLine="760"/>
              <w:rPr>
                <w:sz w:val="16"/>
                <w:szCs w:val="16"/>
              </w:rPr>
            </w:pPr>
            <w:r>
              <w:rPr>
                <w:rFonts w:ascii="Times New Roman" w:eastAsia="Times New Roman" w:hAnsi="Times New Roman" w:cs="Times New Roman"/>
                <w:sz w:val="16"/>
                <w:szCs w:val="16"/>
              </w:rPr>
              <w:t>1.0</w:t>
            </w:r>
          </w:p>
        </w:tc>
        <w:tc>
          <w:tcPr>
            <w:tcW w:w="898" w:type="dxa"/>
            <w:tcBorders>
              <w:bottom w:val="single" w:sz="4" w:space="0" w:color="auto"/>
            </w:tcBorders>
            <w:shd w:val="clear" w:color="auto" w:fill="FFFFFF"/>
          </w:tcPr>
          <w:p w14:paraId="620E7765" w14:textId="77777777" w:rsidR="00D03C17" w:rsidRDefault="00D03C17">
            <w:pPr>
              <w:pStyle w:val="Other0"/>
              <w:spacing w:line="240" w:lineRule="auto"/>
              <w:ind w:firstLine="540"/>
              <w:jc w:val="both"/>
              <w:rPr>
                <w:sz w:val="16"/>
                <w:szCs w:val="16"/>
              </w:rPr>
            </w:pPr>
            <w:r>
              <w:rPr>
                <w:rFonts w:ascii="Times New Roman" w:eastAsia="Times New Roman" w:hAnsi="Times New Roman" w:cs="Times New Roman"/>
                <w:sz w:val="20"/>
                <w:szCs w:val="20"/>
              </w:rPr>
              <w:t>&gt;</w:t>
            </w:r>
            <w:r>
              <w:rPr>
                <w:rFonts w:ascii="Times New Roman" w:eastAsia="Times New Roman" w:hAnsi="Times New Roman" w:cs="Times New Roman"/>
                <w:sz w:val="16"/>
                <w:szCs w:val="16"/>
              </w:rPr>
              <w:t>2.0</w:t>
            </w:r>
          </w:p>
        </w:tc>
      </w:tr>
    </w:tbl>
    <w:p w14:paraId="120695C5" w14:textId="77777777" w:rsidR="00D03C17" w:rsidRDefault="00D03C17">
      <w:pPr>
        <w:pStyle w:val="BodyText"/>
        <w:ind w:left="560" w:firstLine="340"/>
      </w:pPr>
      <w:r>
        <w:t>Se presentan algunas recomendaciones para el tratamiento de infecciones por neumococos.</w:t>
      </w:r>
    </w:p>
    <w:p w14:paraId="21AC521A" w14:textId="77777777" w:rsidR="00D03C17" w:rsidRDefault="00D03C17">
      <w:pPr>
        <w:pStyle w:val="BodyText"/>
        <w:spacing w:line="288" w:lineRule="auto"/>
        <w:ind w:left="560" w:firstLine="340"/>
      </w:pPr>
      <w:r>
        <w:rPr>
          <w:rFonts w:ascii="Arial" w:eastAsia="Arial" w:hAnsi="Arial" w:cs="Arial"/>
          <w:b/>
          <w:bCs/>
          <w:i/>
          <w:iCs/>
          <w:sz w:val="15"/>
          <w:szCs w:val="15"/>
        </w:rPr>
        <w:t>Meningitis bacteriana posiblemente causada por</w:t>
      </w:r>
      <w:r>
        <w:rPr>
          <w:rFonts w:ascii="Arial" w:eastAsia="Arial" w:hAnsi="Arial" w:cs="Arial"/>
          <w:b/>
          <w:bCs/>
          <w:w w:val="70"/>
          <w:sz w:val="20"/>
          <w:szCs w:val="20"/>
        </w:rPr>
        <w:t xml:space="preserve"> S. pneumoniae </w:t>
      </w:r>
      <w:r>
        <w:rPr>
          <w:rFonts w:ascii="Arial" w:eastAsia="Arial" w:hAnsi="Arial" w:cs="Arial"/>
          <w:b/>
          <w:bCs/>
          <w:i/>
          <w:iCs/>
          <w:sz w:val="15"/>
          <w:szCs w:val="15"/>
        </w:rPr>
        <w:t>o causada con certeza por él.</w:t>
      </w:r>
      <w:r>
        <w:t xml:space="preserve"> Es importante administrar inicialmente la terapia mixta con vancomicina y cefotaxima o ceftriaxona en todo niño de un mes de vida o mayor que tiene meningitis bacteriana definida o probable, ante el incremento de la prevalencia de </w:t>
      </w:r>
      <w:r>
        <w:rPr>
          <w:rFonts w:ascii="Times New Roman" w:eastAsia="Times New Roman" w:hAnsi="Times New Roman" w:cs="Times New Roman"/>
          <w:i/>
          <w:iCs/>
          <w:sz w:val="16"/>
          <w:szCs w:val="16"/>
        </w:rPr>
        <w:t>S’, pneumoniae</w:t>
      </w:r>
      <w:r>
        <w:t xml:space="preserve"> resistente a penicilina, cefotaxima y ceftriaxona. Algunos expertos recomiendan no usar vancomicina si hay pruebas precisas que indiquen que el germen causal no es </w:t>
      </w:r>
      <w:r>
        <w:rPr>
          <w:rFonts w:ascii="Times New Roman" w:eastAsia="Times New Roman" w:hAnsi="Times New Roman" w:cs="Times New Roman"/>
          <w:i/>
          <w:iCs/>
          <w:sz w:val="16"/>
          <w:szCs w:val="16"/>
        </w:rPr>
        <w:t>S, pneumoniae</w:t>
      </w:r>
      <w:r>
        <w:t xml:space="preserve"> (p. ej., los diplococos gramnegativos en un frotis de líquido cefalorraquídeo durante un brote de enfermedad meningocócica).</w:t>
      </w:r>
    </w:p>
    <w:p w14:paraId="6AD67760" w14:textId="77777777" w:rsidR="00D03C17" w:rsidRDefault="00D03C17">
      <w:pPr>
        <w:pStyle w:val="BodyText"/>
        <w:ind w:left="560" w:firstLine="340"/>
      </w:pPr>
      <w:r>
        <w:t>En niños con hipersensibilidad a antimicrobianos lactámicos beta (como penicilinas y cefalosporinas), hay que pensar en la combinación de vancomicina y rifampicina. La primera no debe utilizarse sola porque es difícil conservar concentraciones bactericidas en LCR, y es mínima la experiencia clínica para confirmar el uso de dicho antibiótico como único fármaco. La rifampicina no debe administrarse sola porque durante su uso puede surgir resistencia. Otros antimicrobianos que pueden utilizarse para tratar la meningitis neumocócica son meropenem o cloranfenicol (que deben administrarse únicamente contra la meningitis neumocócica si la concentración bactericida mínima es de 4 pg/ml o menos).</w:t>
      </w:r>
    </w:p>
    <w:p w14:paraId="40AE861A" w14:textId="77777777" w:rsidR="00D03C17" w:rsidRDefault="00D03C17">
      <w:pPr>
        <w:pStyle w:val="BodyText"/>
        <w:ind w:left="560" w:firstLine="340"/>
      </w:pPr>
      <w:r>
        <w:t>Habrá que entrever la posibilidad de hacer una punción lumbar después de 24 a 48 h de tratamiento, en las circunstancias siguientes: 1) el microorganismo no es susceptible a la penicilina, según datos del disco de oxacilina o métodos cuantitativos (MIC), no se cuenta con los resultados de los métodos de susceptibilidad cuantitativos de cefotaxima y ceftriaxona, y el estado del niño no ha mejorado o incluso ha empeorado; o 2) el niño ha recibido dexametasona que podría interferir en la capacidad de interpretar la respuesta clínica como sería la resolución de la fiebre.</w:t>
      </w:r>
    </w:p>
    <w:p w14:paraId="025B6067" w14:textId="77777777" w:rsidR="00D03C17" w:rsidRDefault="00D03C17">
      <w:pPr>
        <w:pStyle w:val="BodyText"/>
        <w:ind w:left="560" w:firstLine="340"/>
      </w:pPr>
      <w:r>
        <w:t>El tratamiento debe modificarse con base en las directrices del cuadro 3-48 con base en los datos disponibles de los métodos de susceptibilidad (antibioticograma) de los neumococos aislados. Si ellos son susceptibles a penicilina, cefotaxima o ceftriaxona será mejor interrumpir el uso de la vancomicina y continuar con el de los tres antibióticos recién mencionados. Habrá que continuar el empleo de vancomicina sólo si el microorganismo no es susceptible a la penicilina y a la cefotaxima o la ceftriaxona.</w:t>
      </w:r>
    </w:p>
    <w:p w14:paraId="068DF170" w14:textId="77777777" w:rsidR="00D03C17" w:rsidRDefault="00D03C17">
      <w:pPr>
        <w:pStyle w:val="BodyText"/>
        <w:ind w:left="560" w:firstLine="340"/>
      </w:pPr>
      <w:r>
        <w:t>Hay que valorar la adición de rifampicina a la vancomicina después de 24 a 48 h de tratamiento si el microorganismo es susceptible a rifampicina y 1) después de 24 a 48 h que el estado clínico ha empeorado a pesar de la administración de vancomicina y cefotaxima o ceftriaxona; 2) el cultivo siguiente de LCR denota que no se ha erradicado el microorganismo o que no ha disminuido sustancialmente su número; o 3) el microorganismo presenta MIC respecto a cefotaxima o ceftriaxona extraordinariamente alta (</w:t>
      </w:r>
      <w:r>
        <w:rPr>
          <w:rFonts w:ascii="Arial" w:eastAsia="Arial" w:hAnsi="Arial" w:cs="Arial"/>
        </w:rPr>
        <w:t>&gt;</w:t>
      </w:r>
      <w:r>
        <w:t>4 pg/ml). En tales circunstancias conviene analizar la posibilidad de consultar a un infectólogo.</w:t>
      </w:r>
    </w:p>
    <w:p w14:paraId="0E741B00" w14:textId="77777777" w:rsidR="00D03C17" w:rsidRDefault="00D03C17">
      <w:pPr>
        <w:pStyle w:val="BodyText"/>
        <w:spacing w:line="276" w:lineRule="auto"/>
        <w:ind w:left="560" w:firstLine="340"/>
      </w:pPr>
      <w:r>
        <w:rPr>
          <w:rFonts w:ascii="Arial" w:eastAsia="Arial" w:hAnsi="Arial" w:cs="Arial"/>
          <w:b/>
          <w:bCs/>
          <w:i/>
          <w:iCs/>
          <w:sz w:val="15"/>
          <w:szCs w:val="15"/>
        </w:rPr>
        <w:t>Dexametasona.</w:t>
      </w:r>
      <w:r>
        <w:t xml:space="preserve"> En el caso de lactantes y niños de seis semanas de edad y mayores cabe considerar la adición de dexametasona como fármaco complementario después de comparar los posibles beneficios con los riesgos factibles. Los expertos varían en su recomendación del empleo de corticosteroides en la meningitis neumocócica y no hay datos suficientes para demostrar que con ello se obtiene un beneficio neto en niños.</w:t>
      </w:r>
    </w:p>
    <w:p w14:paraId="173C9A26" w14:textId="77777777" w:rsidR="00D03C17" w:rsidRDefault="00D03C17">
      <w:pPr>
        <w:pStyle w:val="BodyText"/>
        <w:spacing w:line="288" w:lineRule="auto"/>
        <w:ind w:left="560" w:firstLine="340"/>
      </w:pPr>
      <w:r>
        <w:rPr>
          <w:rFonts w:ascii="Arial" w:eastAsia="Arial" w:hAnsi="Arial" w:cs="Arial"/>
          <w:b/>
          <w:bCs/>
          <w:i/>
          <w:iCs/>
          <w:sz w:val="15"/>
          <w:szCs w:val="15"/>
        </w:rPr>
        <w:t>Infecciones neumocócicas invasoras no meníngeas que obligan a hospitalización.</w:t>
      </w:r>
      <w:r>
        <w:t xml:space="preserve"> En el caso de infecciones invasoras no meníngeas en niños que habían estado sanos y que no están en estado crítico, habrá que emprender la administración de antimicrobianos</w:t>
      </w:r>
    </w:p>
    <w:p w14:paraId="0AF24F27" w14:textId="77777777" w:rsidR="00D03C17" w:rsidRDefault="00D03C17">
      <w:pPr>
        <w:pStyle w:val="Heading31"/>
        <w:keepNext/>
        <w:keepLines/>
        <w:spacing w:after="40" w:line="214" w:lineRule="auto"/>
        <w:jc w:val="center"/>
      </w:pPr>
      <w:bookmarkStart w:id="142" w:name="bookmark1170"/>
      <w:bookmarkStart w:id="143" w:name="bookmark1171"/>
      <w:bookmarkStart w:id="144" w:name="bookmark1172"/>
      <w:r>
        <w:rPr>
          <w:b w:val="0"/>
          <w:bCs w:val="0"/>
        </w:rPr>
        <w:t xml:space="preserve">Cuadro 3-48. </w:t>
      </w:r>
      <w:r>
        <w:t>Antimicrobianos para lactantes y niños con meningitis</w:t>
      </w:r>
      <w:r>
        <w:br/>
        <w:t xml:space="preserve">cruzada por </w:t>
      </w:r>
      <w:r>
        <w:rPr>
          <w:i/>
          <w:iCs/>
        </w:rPr>
        <w:t>Streptococcus pneumoniae</w:t>
      </w:r>
      <w:r>
        <w:t xml:space="preserve"> con base en los resultados</w:t>
      </w:r>
      <w:r>
        <w:br/>
        <w:t>de estudios de susceptibilidad (antibioticogramas)</w:t>
      </w:r>
      <w:bookmarkEnd w:id="142"/>
      <w:bookmarkEnd w:id="143"/>
      <w:bookmarkEnd w:id="144"/>
    </w:p>
    <w:p w14:paraId="0CD354DD" w14:textId="77777777" w:rsidR="00D03C17" w:rsidRDefault="00D03C17">
      <w:pPr>
        <w:pStyle w:val="Heading41"/>
        <w:keepNext/>
        <w:keepLines/>
        <w:pBdr>
          <w:top w:val="single" w:sz="0" w:space="0" w:color="231F20"/>
          <w:left w:val="single" w:sz="0" w:space="0" w:color="231F20"/>
          <w:bottom w:val="single" w:sz="0" w:space="3" w:color="231F20"/>
          <w:right w:val="single" w:sz="0" w:space="0" w:color="231F20"/>
        </w:pBdr>
        <w:shd w:val="clear" w:color="auto" w:fill="231F20"/>
        <w:spacing w:after="22"/>
        <w:ind w:firstLine="520"/>
        <w:rPr>
          <w:sz w:val="8"/>
          <w:szCs w:val="8"/>
        </w:rPr>
      </w:pPr>
      <w:bookmarkStart w:id="145" w:name="bookmark1173"/>
      <w:bookmarkStart w:id="146" w:name="bookmark1174"/>
      <w:bookmarkStart w:id="147" w:name="bookmark1175"/>
      <w:r>
        <w:rPr>
          <w:color w:val="FFFFFF"/>
        </w:rPr>
        <w:t>Resultados de los antibioticogramas Tratamiento con antimicrobianos</w:t>
      </w:r>
      <w:r>
        <w:rPr>
          <w:rFonts w:ascii="Times New Roman" w:eastAsia="Times New Roman" w:hAnsi="Times New Roman" w:cs="Times New Roman"/>
          <w:b w:val="0"/>
          <w:bCs w:val="0"/>
          <w:color w:val="FFFFFF"/>
          <w:w w:val="100"/>
          <w:sz w:val="8"/>
          <w:szCs w:val="8"/>
          <w:vertAlign w:val="superscript"/>
        </w:rPr>
        <w:t>1</w:t>
      </w:r>
      <w:bookmarkEnd w:id="145"/>
      <w:bookmarkEnd w:id="146"/>
      <w:bookmarkEnd w:id="147"/>
    </w:p>
    <w:tbl>
      <w:tblPr>
        <w:tblOverlap w:val="never"/>
        <w:tblW w:w="0" w:type="auto"/>
        <w:jc w:val="center"/>
        <w:tblLayout w:type="fixed"/>
        <w:tblCellMar>
          <w:left w:w="10" w:type="dxa"/>
          <w:right w:w="10" w:type="dxa"/>
        </w:tblCellMar>
        <w:tblLook w:val="04A0" w:firstRow="1" w:lastRow="0" w:firstColumn="1" w:lastColumn="0" w:noHBand="0" w:noVBand="1"/>
      </w:tblPr>
      <w:tblGrid>
        <w:gridCol w:w="3782"/>
        <w:gridCol w:w="3619"/>
      </w:tblGrid>
      <w:tr w:rsidR="00D03C17" w14:paraId="06C27395" w14:textId="77777777">
        <w:tblPrEx>
          <w:tblCellMar>
            <w:top w:w="0" w:type="dxa"/>
            <w:bottom w:w="0" w:type="dxa"/>
          </w:tblCellMar>
        </w:tblPrEx>
        <w:trPr>
          <w:trHeight w:hRule="exact" w:val="1075"/>
          <w:jc w:val="center"/>
        </w:trPr>
        <w:tc>
          <w:tcPr>
            <w:tcW w:w="3782" w:type="dxa"/>
            <w:shd w:val="clear" w:color="auto" w:fill="FFFFFF"/>
          </w:tcPr>
          <w:p w14:paraId="226B5B45" w14:textId="77777777" w:rsidR="00D03C17" w:rsidRDefault="00D03C17">
            <w:pPr>
              <w:pStyle w:val="Other0"/>
              <w:spacing w:line="240" w:lineRule="auto"/>
              <w:ind w:firstLine="580"/>
              <w:rPr>
                <w:sz w:val="16"/>
                <w:szCs w:val="16"/>
              </w:rPr>
            </w:pPr>
            <w:r>
              <w:rPr>
                <w:rFonts w:ascii="Times New Roman" w:eastAsia="Times New Roman" w:hAnsi="Times New Roman" w:cs="Times New Roman"/>
                <w:i/>
                <w:iCs/>
                <w:sz w:val="16"/>
                <w:szCs w:val="16"/>
              </w:rPr>
              <w:t>Susceptible</w:t>
            </w:r>
            <w:r>
              <w:rPr>
                <w:rFonts w:ascii="Times New Roman" w:eastAsia="Times New Roman" w:hAnsi="Times New Roman" w:cs="Times New Roman"/>
                <w:sz w:val="16"/>
                <w:szCs w:val="16"/>
              </w:rPr>
              <w:t xml:space="preserve"> a penicilina</w:t>
            </w:r>
          </w:p>
        </w:tc>
        <w:tc>
          <w:tcPr>
            <w:tcW w:w="3619" w:type="dxa"/>
            <w:shd w:val="clear" w:color="auto" w:fill="FFFFFF"/>
          </w:tcPr>
          <w:p w14:paraId="0B993202" w14:textId="77777777" w:rsidR="00D03C17" w:rsidRDefault="00D03C17">
            <w:pPr>
              <w:pStyle w:val="Other0"/>
              <w:spacing w:line="240" w:lineRule="auto"/>
              <w:ind w:firstLine="140"/>
              <w:rPr>
                <w:sz w:val="16"/>
                <w:szCs w:val="16"/>
              </w:rPr>
            </w:pPr>
            <w:r>
              <w:rPr>
                <w:rFonts w:ascii="Times New Roman" w:eastAsia="Times New Roman" w:hAnsi="Times New Roman" w:cs="Times New Roman"/>
                <w:b/>
                <w:bCs/>
                <w:sz w:val="16"/>
                <w:szCs w:val="16"/>
              </w:rPr>
              <w:t>Interrumpir el uso de vancomicina</w:t>
            </w:r>
          </w:p>
          <w:p w14:paraId="0F2040F2" w14:textId="77777777" w:rsidR="00D03C17" w:rsidRDefault="00D03C17">
            <w:pPr>
              <w:pStyle w:val="Other0"/>
              <w:spacing w:line="240" w:lineRule="auto"/>
              <w:ind w:firstLine="140"/>
              <w:rPr>
                <w:sz w:val="16"/>
                <w:szCs w:val="16"/>
              </w:rPr>
            </w:pPr>
            <w:r>
              <w:rPr>
                <w:rFonts w:ascii="Times New Roman" w:eastAsia="Times New Roman" w:hAnsi="Times New Roman" w:cs="Times New Roman"/>
                <w:b/>
                <w:bCs/>
                <w:sz w:val="16"/>
                <w:szCs w:val="16"/>
              </w:rPr>
              <w:t>Y</w:t>
            </w:r>
          </w:p>
          <w:p w14:paraId="6368474F" w14:textId="77777777" w:rsidR="00D03C17" w:rsidRDefault="00D03C17">
            <w:pPr>
              <w:pStyle w:val="Other0"/>
              <w:spacing w:line="240" w:lineRule="auto"/>
              <w:ind w:firstLine="140"/>
              <w:rPr>
                <w:sz w:val="16"/>
                <w:szCs w:val="16"/>
              </w:rPr>
            </w:pPr>
            <w:r>
              <w:rPr>
                <w:rFonts w:ascii="Times New Roman" w:eastAsia="Times New Roman" w:hAnsi="Times New Roman" w:cs="Times New Roman"/>
                <w:sz w:val="16"/>
                <w:szCs w:val="16"/>
              </w:rPr>
              <w:t>Comenzar con penicilina</w:t>
            </w:r>
          </w:p>
          <w:p w14:paraId="32849D85" w14:textId="77777777" w:rsidR="00D03C17" w:rsidRDefault="00D03C17">
            <w:pPr>
              <w:pStyle w:val="Other0"/>
              <w:spacing w:line="240" w:lineRule="auto"/>
              <w:ind w:firstLine="140"/>
              <w:rPr>
                <w:sz w:val="16"/>
                <w:szCs w:val="16"/>
              </w:rPr>
            </w:pPr>
            <w:r>
              <w:rPr>
                <w:rFonts w:ascii="Times New Roman" w:eastAsia="Times New Roman" w:hAnsi="Times New Roman" w:cs="Times New Roman"/>
                <w:b/>
                <w:bCs/>
                <w:sz w:val="16"/>
                <w:szCs w:val="16"/>
              </w:rPr>
              <w:t>O</w:t>
            </w:r>
          </w:p>
          <w:p w14:paraId="249BC432" w14:textId="77777777" w:rsidR="00D03C17" w:rsidRDefault="00D03C17">
            <w:pPr>
              <w:pStyle w:val="Other0"/>
              <w:spacing w:line="240" w:lineRule="auto"/>
              <w:ind w:firstLine="140"/>
              <w:rPr>
                <w:sz w:val="16"/>
                <w:szCs w:val="16"/>
              </w:rPr>
            </w:pPr>
            <w:r>
              <w:rPr>
                <w:rFonts w:ascii="Times New Roman" w:eastAsia="Times New Roman" w:hAnsi="Times New Roman" w:cs="Times New Roman"/>
                <w:sz w:val="16"/>
                <w:szCs w:val="16"/>
              </w:rPr>
              <w:t>Continuar con cefotaxima o ceftriaxona sola</w:t>
            </w:r>
            <w:r>
              <w:rPr>
                <w:rFonts w:ascii="Times New Roman" w:eastAsia="Times New Roman" w:hAnsi="Times New Roman" w:cs="Times New Roman"/>
                <w:sz w:val="16"/>
                <w:szCs w:val="16"/>
                <w:vertAlign w:val="superscript"/>
              </w:rPr>
              <w:t>2</w:t>
            </w:r>
          </w:p>
        </w:tc>
      </w:tr>
      <w:tr w:rsidR="00D03C17" w14:paraId="5624EADD" w14:textId="77777777">
        <w:tblPrEx>
          <w:tblCellMar>
            <w:top w:w="0" w:type="dxa"/>
            <w:bottom w:w="0" w:type="dxa"/>
          </w:tblCellMar>
        </w:tblPrEx>
        <w:trPr>
          <w:trHeight w:hRule="exact" w:val="1886"/>
          <w:jc w:val="center"/>
        </w:trPr>
        <w:tc>
          <w:tcPr>
            <w:tcW w:w="3782" w:type="dxa"/>
            <w:tcBorders>
              <w:left w:val="single" w:sz="4" w:space="0" w:color="auto"/>
            </w:tcBorders>
            <w:shd w:val="clear" w:color="auto" w:fill="FFFFFF"/>
            <w:vAlign w:val="bottom"/>
          </w:tcPr>
          <w:p w14:paraId="6CD8BE31" w14:textId="77777777" w:rsidR="00D03C17" w:rsidRDefault="00D03C17">
            <w:pPr>
              <w:pStyle w:val="Other0"/>
              <w:spacing w:line="283" w:lineRule="auto"/>
              <w:ind w:left="680" w:hanging="100"/>
              <w:rPr>
                <w:sz w:val="16"/>
                <w:szCs w:val="16"/>
              </w:rPr>
            </w:pPr>
            <w:r>
              <w:rPr>
                <w:rFonts w:ascii="Times New Roman" w:eastAsia="Times New Roman" w:hAnsi="Times New Roman" w:cs="Times New Roman"/>
                <w:i/>
                <w:iCs/>
                <w:sz w:val="16"/>
                <w:szCs w:val="16"/>
              </w:rPr>
              <w:t>No susceptible</w:t>
            </w:r>
            <w:r>
              <w:rPr>
                <w:rFonts w:ascii="Times New Roman" w:eastAsia="Times New Roman" w:hAnsi="Times New Roman" w:cs="Times New Roman"/>
                <w:sz w:val="16"/>
                <w:szCs w:val="16"/>
              </w:rPr>
              <w:t xml:space="preserve"> a penicilina </w:t>
            </w:r>
            <w:r>
              <w:rPr>
                <w:rFonts w:ascii="Times New Roman" w:eastAsia="Times New Roman" w:hAnsi="Times New Roman" w:cs="Times New Roman"/>
                <w:i/>
                <w:iCs/>
                <w:sz w:val="15"/>
                <w:szCs w:val="15"/>
              </w:rPr>
              <w:t>(</w:t>
            </w:r>
            <w:r>
              <w:rPr>
                <w:rFonts w:ascii="Times New Roman" w:eastAsia="Times New Roman" w:hAnsi="Times New Roman" w:cs="Times New Roman"/>
                <w:i/>
                <w:iCs/>
                <w:sz w:val="16"/>
                <w:szCs w:val="16"/>
              </w:rPr>
              <w:t>susceptibilidad intermedia o resistencia)</w:t>
            </w:r>
          </w:p>
          <w:p w14:paraId="52055E4D" w14:textId="77777777" w:rsidR="00D03C17" w:rsidRDefault="00D03C17">
            <w:pPr>
              <w:pStyle w:val="Other0"/>
              <w:spacing w:line="283" w:lineRule="auto"/>
              <w:ind w:firstLine="580"/>
              <w:rPr>
                <w:sz w:val="16"/>
                <w:szCs w:val="16"/>
              </w:rPr>
            </w:pPr>
            <w:r>
              <w:rPr>
                <w:rFonts w:ascii="Times New Roman" w:eastAsia="Times New Roman" w:hAnsi="Times New Roman" w:cs="Times New Roman"/>
                <w:i/>
                <w:iCs/>
                <w:sz w:val="16"/>
                <w:szCs w:val="16"/>
              </w:rPr>
              <w:t>Susceptible</w:t>
            </w:r>
            <w:r>
              <w:rPr>
                <w:rFonts w:ascii="Times New Roman" w:eastAsia="Times New Roman" w:hAnsi="Times New Roman" w:cs="Times New Roman"/>
                <w:sz w:val="16"/>
                <w:szCs w:val="16"/>
              </w:rPr>
              <w:t xml:space="preserve"> a cefotaxima y ceftriaxona</w:t>
            </w:r>
          </w:p>
          <w:p w14:paraId="32FF9D98" w14:textId="77777777" w:rsidR="00D03C17" w:rsidRDefault="00D03C17">
            <w:pPr>
              <w:pStyle w:val="Other0"/>
              <w:spacing w:line="283" w:lineRule="auto"/>
              <w:ind w:left="680" w:hanging="100"/>
              <w:rPr>
                <w:sz w:val="16"/>
                <w:szCs w:val="16"/>
              </w:rPr>
            </w:pPr>
            <w:r>
              <w:rPr>
                <w:rFonts w:ascii="Times New Roman" w:eastAsia="Times New Roman" w:hAnsi="Times New Roman" w:cs="Times New Roman"/>
                <w:i/>
                <w:iCs/>
                <w:sz w:val="16"/>
                <w:szCs w:val="16"/>
              </w:rPr>
              <w:t>No susceptible</w:t>
            </w:r>
            <w:r>
              <w:rPr>
                <w:rFonts w:ascii="Times New Roman" w:eastAsia="Times New Roman" w:hAnsi="Times New Roman" w:cs="Times New Roman"/>
                <w:sz w:val="16"/>
                <w:szCs w:val="16"/>
              </w:rPr>
              <w:t xml:space="preserve"> a penicilina </w:t>
            </w:r>
            <w:r>
              <w:rPr>
                <w:rFonts w:ascii="Times New Roman" w:eastAsia="Times New Roman" w:hAnsi="Times New Roman" w:cs="Times New Roman"/>
                <w:i/>
                <w:iCs/>
                <w:sz w:val="15"/>
                <w:szCs w:val="15"/>
              </w:rPr>
              <w:t>(</w:t>
            </w:r>
            <w:r>
              <w:rPr>
                <w:rFonts w:ascii="Times New Roman" w:eastAsia="Times New Roman" w:hAnsi="Times New Roman" w:cs="Times New Roman"/>
                <w:i/>
                <w:iCs/>
                <w:sz w:val="16"/>
                <w:szCs w:val="16"/>
              </w:rPr>
              <w:t>susceptibilidad intermedia o resistencia</w:t>
            </w:r>
            <w:r>
              <w:rPr>
                <w:rFonts w:ascii="Times New Roman" w:eastAsia="Times New Roman" w:hAnsi="Times New Roman" w:cs="Times New Roman"/>
                <w:sz w:val="16"/>
                <w:szCs w:val="16"/>
              </w:rPr>
              <w:t>)</w:t>
            </w:r>
          </w:p>
          <w:p w14:paraId="134DA018" w14:textId="77777777" w:rsidR="00D03C17" w:rsidRDefault="00D03C17">
            <w:pPr>
              <w:pStyle w:val="Other0"/>
              <w:spacing w:line="283" w:lineRule="auto"/>
              <w:ind w:firstLine="580"/>
              <w:rPr>
                <w:sz w:val="16"/>
                <w:szCs w:val="16"/>
              </w:rPr>
            </w:pPr>
            <w:r>
              <w:rPr>
                <w:rFonts w:ascii="Times New Roman" w:eastAsia="Times New Roman" w:hAnsi="Times New Roman" w:cs="Times New Roman"/>
                <w:b/>
                <w:bCs/>
                <w:sz w:val="16"/>
                <w:szCs w:val="16"/>
              </w:rPr>
              <w:t>Y</w:t>
            </w:r>
          </w:p>
          <w:p w14:paraId="24038453" w14:textId="77777777" w:rsidR="00D03C17" w:rsidRDefault="00D03C17">
            <w:pPr>
              <w:pStyle w:val="Other0"/>
              <w:spacing w:line="283" w:lineRule="auto"/>
              <w:ind w:left="680" w:hanging="100"/>
              <w:rPr>
                <w:sz w:val="16"/>
                <w:szCs w:val="16"/>
              </w:rPr>
            </w:pPr>
            <w:r>
              <w:rPr>
                <w:rFonts w:ascii="Times New Roman" w:eastAsia="Times New Roman" w:hAnsi="Times New Roman" w:cs="Times New Roman"/>
                <w:i/>
                <w:iCs/>
                <w:sz w:val="16"/>
                <w:szCs w:val="16"/>
              </w:rPr>
              <w:t>No susceptible</w:t>
            </w:r>
            <w:r>
              <w:rPr>
                <w:rFonts w:ascii="Times New Roman" w:eastAsia="Times New Roman" w:hAnsi="Times New Roman" w:cs="Times New Roman"/>
                <w:sz w:val="16"/>
                <w:szCs w:val="16"/>
              </w:rPr>
              <w:t xml:space="preserve"> a cefotaxima y ceftriaxona </w:t>
            </w:r>
            <w:r>
              <w:rPr>
                <w:rFonts w:ascii="Times New Roman" w:eastAsia="Times New Roman" w:hAnsi="Times New Roman" w:cs="Times New Roman"/>
                <w:i/>
                <w:iCs/>
                <w:sz w:val="16"/>
                <w:szCs w:val="16"/>
              </w:rPr>
              <w:t>(susceptibilidad intermedia o resistencia)</w:t>
            </w:r>
          </w:p>
          <w:p w14:paraId="35F82232" w14:textId="77777777" w:rsidR="00D03C17" w:rsidRDefault="00D03C17">
            <w:pPr>
              <w:pStyle w:val="Other0"/>
              <w:spacing w:line="283" w:lineRule="auto"/>
              <w:ind w:firstLine="580"/>
              <w:rPr>
                <w:sz w:val="16"/>
                <w:szCs w:val="16"/>
              </w:rPr>
            </w:pPr>
            <w:r>
              <w:rPr>
                <w:rFonts w:ascii="Times New Roman" w:eastAsia="Times New Roman" w:hAnsi="Times New Roman" w:cs="Times New Roman"/>
                <w:sz w:val="16"/>
                <w:szCs w:val="16"/>
              </w:rPr>
              <w:t>Y</w:t>
            </w:r>
          </w:p>
        </w:tc>
        <w:tc>
          <w:tcPr>
            <w:tcW w:w="3619" w:type="dxa"/>
            <w:shd w:val="clear" w:color="auto" w:fill="FFFFFF"/>
          </w:tcPr>
          <w:p w14:paraId="0B449AEE" w14:textId="77777777" w:rsidR="00D03C17" w:rsidRDefault="00D03C17">
            <w:pPr>
              <w:pStyle w:val="Other0"/>
              <w:spacing w:line="283" w:lineRule="auto"/>
              <w:ind w:firstLine="140"/>
              <w:rPr>
                <w:sz w:val="16"/>
                <w:szCs w:val="16"/>
              </w:rPr>
            </w:pPr>
            <w:r>
              <w:rPr>
                <w:rFonts w:ascii="Times New Roman" w:eastAsia="Times New Roman" w:hAnsi="Times New Roman" w:cs="Times New Roman"/>
                <w:b/>
                <w:bCs/>
                <w:sz w:val="16"/>
                <w:szCs w:val="16"/>
              </w:rPr>
              <w:t>Interrumpir el uso de vancomicina</w:t>
            </w:r>
          </w:p>
          <w:p w14:paraId="61F849DE" w14:textId="77777777" w:rsidR="00D03C17" w:rsidRDefault="00D03C17">
            <w:pPr>
              <w:pStyle w:val="Other0"/>
              <w:spacing w:line="283" w:lineRule="auto"/>
              <w:ind w:firstLine="140"/>
              <w:rPr>
                <w:sz w:val="16"/>
                <w:szCs w:val="16"/>
              </w:rPr>
            </w:pPr>
            <w:r>
              <w:rPr>
                <w:rFonts w:ascii="Times New Roman" w:eastAsia="Times New Roman" w:hAnsi="Times New Roman" w:cs="Times New Roman"/>
                <w:b/>
                <w:bCs/>
                <w:sz w:val="16"/>
                <w:szCs w:val="16"/>
              </w:rPr>
              <w:t>Y</w:t>
            </w:r>
          </w:p>
          <w:p w14:paraId="0D36A657" w14:textId="77777777" w:rsidR="00D03C17" w:rsidRDefault="00D03C17">
            <w:pPr>
              <w:pStyle w:val="Other0"/>
              <w:spacing w:after="200" w:line="283" w:lineRule="auto"/>
              <w:ind w:firstLine="140"/>
              <w:rPr>
                <w:sz w:val="16"/>
                <w:szCs w:val="16"/>
              </w:rPr>
            </w:pPr>
            <w:r>
              <w:rPr>
                <w:rFonts w:ascii="Times New Roman" w:eastAsia="Times New Roman" w:hAnsi="Times New Roman" w:cs="Times New Roman"/>
                <w:sz w:val="16"/>
                <w:szCs w:val="16"/>
              </w:rPr>
              <w:t>Continuar con cefotaxima o ceftriaxona</w:t>
            </w:r>
          </w:p>
          <w:p w14:paraId="0497FF2C" w14:textId="77777777" w:rsidR="00D03C17" w:rsidRDefault="00D03C17">
            <w:pPr>
              <w:pStyle w:val="Other0"/>
              <w:spacing w:line="283" w:lineRule="auto"/>
              <w:ind w:left="240" w:hanging="100"/>
              <w:rPr>
                <w:sz w:val="16"/>
                <w:szCs w:val="16"/>
              </w:rPr>
            </w:pPr>
            <w:r>
              <w:rPr>
                <w:rFonts w:ascii="Times New Roman" w:eastAsia="Times New Roman" w:hAnsi="Times New Roman" w:cs="Times New Roman"/>
                <w:sz w:val="16"/>
                <w:szCs w:val="16"/>
              </w:rPr>
              <w:t>Continuar con vancomicina y cefotaxima o ceftriaxona. Puede agregarse rifampicina a la vancomicina en circunstancias escogidas (véase el texto)</w:t>
            </w:r>
          </w:p>
        </w:tc>
      </w:tr>
    </w:tbl>
    <w:p w14:paraId="6152FCBF" w14:textId="77777777" w:rsidR="00D03C17" w:rsidRDefault="00D03C17">
      <w:pPr>
        <w:pStyle w:val="Tablecaption0"/>
        <w:spacing w:line="240" w:lineRule="auto"/>
        <w:ind w:left="562"/>
        <w:rPr>
          <w:sz w:val="16"/>
          <w:szCs w:val="16"/>
        </w:rPr>
      </w:pPr>
      <w:r>
        <w:rPr>
          <w:i/>
          <w:iCs/>
          <w:sz w:val="16"/>
          <w:szCs w:val="16"/>
        </w:rPr>
        <w:t>Susceptible</w:t>
      </w:r>
      <w:r>
        <w:rPr>
          <w:sz w:val="16"/>
          <w:szCs w:val="16"/>
        </w:rPr>
        <w:t xml:space="preserve"> a rifampicina</w:t>
      </w:r>
    </w:p>
    <w:p w14:paraId="47B70AC5" w14:textId="77777777" w:rsidR="00D03C17" w:rsidRDefault="00D03C17">
      <w:pPr>
        <w:pStyle w:val="Tablecaption0"/>
        <w:numPr>
          <w:ilvl w:val="0"/>
          <w:numId w:val="88"/>
        </w:numPr>
        <w:tabs>
          <w:tab w:val="left" w:pos="510"/>
        </w:tabs>
        <w:spacing w:line="240" w:lineRule="auto"/>
        <w:ind w:left="557"/>
        <w:rPr>
          <w:sz w:val="16"/>
          <w:szCs w:val="16"/>
        </w:rPr>
      </w:pPr>
      <w:r>
        <w:rPr>
          <w:sz w:val="16"/>
          <w:szCs w:val="16"/>
        </w:rPr>
        <w:t xml:space="preserve">Véase cuadro 3-49 en cuanto a dosis. Algunos expertos recomiendan las dosis máximas. En cuanto a la terapia inicial, consúltese “Meningitis bacteriana posiblemente causada por </w:t>
      </w:r>
      <w:r>
        <w:rPr>
          <w:i/>
          <w:iCs/>
          <w:sz w:val="16"/>
          <w:szCs w:val="16"/>
        </w:rPr>
        <w:t>S. pneumoniae</w:t>
      </w:r>
      <w:r>
        <w:rPr>
          <w:sz w:val="16"/>
          <w:szCs w:val="16"/>
        </w:rPr>
        <w:t xml:space="preserve"> o causada con certeza por él” en este resumen.</w:t>
      </w:r>
    </w:p>
    <w:p w14:paraId="54250A2C" w14:textId="77777777" w:rsidR="00D03C17" w:rsidRDefault="00D03C17">
      <w:pPr>
        <w:pStyle w:val="Tablecaption0"/>
        <w:numPr>
          <w:ilvl w:val="0"/>
          <w:numId w:val="88"/>
        </w:numPr>
        <w:tabs>
          <w:tab w:val="left" w:pos="168"/>
        </w:tabs>
        <w:spacing w:line="240" w:lineRule="auto"/>
        <w:ind w:left="0"/>
        <w:jc w:val="both"/>
        <w:rPr>
          <w:sz w:val="16"/>
          <w:szCs w:val="16"/>
        </w:rPr>
      </w:pPr>
      <w:r>
        <w:rPr>
          <w:sz w:val="16"/>
          <w:szCs w:val="16"/>
        </w:rPr>
        <w:t>Algunos médicos se deciden por esta alternativa por comodidad y ahorro pecuniario.</w:t>
      </w:r>
    </w:p>
    <w:p w14:paraId="2C041553" w14:textId="77777777" w:rsidR="00D03C17" w:rsidRDefault="00D03C17">
      <w:pPr>
        <w:spacing w:after="379" w:line="1" w:lineRule="exact"/>
      </w:pPr>
    </w:p>
    <w:p w14:paraId="33B2D4BD" w14:textId="77777777" w:rsidR="00D03C17" w:rsidRDefault="00D03C17">
      <w:pPr>
        <w:pStyle w:val="BodyText"/>
        <w:ind w:left="520" w:firstLine="0"/>
      </w:pPr>
      <w:r>
        <w:t xml:space="preserve">que se utilizan para combatir </w:t>
      </w:r>
      <w:r>
        <w:rPr>
          <w:rFonts w:ascii="Times New Roman" w:eastAsia="Times New Roman" w:hAnsi="Times New Roman" w:cs="Times New Roman"/>
          <w:i/>
          <w:iCs/>
          <w:sz w:val="16"/>
          <w:szCs w:val="16"/>
        </w:rPr>
        <w:t>S. pneumoniae</w:t>
      </w:r>
      <w:r>
        <w:t xml:space="preserve"> y otros patógenos potenciales, con las dosis recomendadas en la actualidad (véase cuadro 3-49).</w:t>
      </w:r>
    </w:p>
    <w:p w14:paraId="6E982A5A" w14:textId="77777777" w:rsidR="00D03C17" w:rsidRDefault="00D03C17">
      <w:pPr>
        <w:pStyle w:val="BodyText"/>
        <w:ind w:left="520" w:firstLine="360"/>
      </w:pPr>
      <w:r>
        <w:t xml:space="preserve">En el caso de lactantes en estado crítico y niños con infecciones invasoras quizá atribuibles a </w:t>
      </w:r>
      <w:r>
        <w:rPr>
          <w:rFonts w:ascii="Times New Roman" w:eastAsia="Times New Roman" w:hAnsi="Times New Roman" w:cs="Times New Roman"/>
          <w:i/>
          <w:iCs/>
          <w:sz w:val="16"/>
          <w:szCs w:val="16"/>
        </w:rPr>
        <w:t>S. pneumoniae</w:t>
      </w:r>
      <w:r>
        <w:t xml:space="preserve"> cabe pensar en la terapia antimicrobiana adicional contra cepas que posiblemente no sean susceptibles a penicilina, cefotaxima y ceftriaxona. Los pacientes de tal categoría incluyen los que tienen miopericarditis o neumonía multilobar grave, hipoxia o hipotensión. Si se administra vancomicina será mejor interrumpir su uso tan pronto los métodos de susceptibilidad a antimicrobianos demuestren que son eficaces otros fármacos.</w:t>
      </w:r>
    </w:p>
    <w:p w14:paraId="5E9DBAC6" w14:textId="77777777" w:rsidR="00D03C17" w:rsidRDefault="00D03C17">
      <w:pPr>
        <w:pStyle w:val="BodyText"/>
        <w:ind w:left="520" w:firstLine="360"/>
      </w:pPr>
      <w:r>
        <w:t>Si el microorganismo es fuertemente resistente a la penicilina, la cefotaxima y la ceftriaxona, habrá que modificar el tratamiento con base en la respuesta clínica, la susceptibilidad a otros antimicrobianos y los resultados de cultivos de vigilancia de sangre y otros líquidos corporales. También habrá que pensar en consultar a un infectólogo.</w:t>
      </w:r>
    </w:p>
    <w:p w14:paraId="64133656" w14:textId="77777777" w:rsidR="00D03C17" w:rsidRDefault="00D03C17">
      <w:pPr>
        <w:pStyle w:val="BodyText"/>
        <w:ind w:left="520" w:firstLine="360"/>
      </w:pPr>
      <w:r>
        <w:t>En el caso de niños con hipersensibilidad profunda a los antimicrobianos lactámicos beta (penicilinas y cefalosporinas) el tratamiento inicial contra la posible infección por neumococos debe incluir clindamicina o vancomicina, además de los antimicrobianos contra los otros patógenos posibles, según sea conveniente. Será mejor no continuar el uso de vancomicina si el microorganismo es susceptible a otros antimicrobianos que no sean lactámicos beta. También habrá que pensar en la consulta con el infectólogo.</w:t>
      </w:r>
    </w:p>
    <w:p w14:paraId="50187D79" w14:textId="77777777" w:rsidR="00D03C17" w:rsidRDefault="00D03C17">
      <w:pPr>
        <w:pStyle w:val="BodyText"/>
        <w:spacing w:after="80" w:line="288" w:lineRule="auto"/>
        <w:ind w:left="520" w:firstLine="360"/>
      </w:pPr>
      <w:r>
        <w:rPr>
          <w:rFonts w:ascii="Arial" w:eastAsia="Arial" w:hAnsi="Arial" w:cs="Arial"/>
          <w:b/>
          <w:bCs/>
          <w:i/>
          <w:iCs/>
          <w:sz w:val="15"/>
          <w:szCs w:val="15"/>
        </w:rPr>
        <w:t xml:space="preserve">Infecciones invasoras neumocócicas no meníngeas en el hospedador inmunodeficiente. </w:t>
      </w:r>
      <w:r>
        <w:t>Las recomendaciones anteriores para tratar las posibles infecciones por neumococos que obligan a hospitalización también son válidas para los niños inmunodeficientes, a</w:t>
      </w:r>
    </w:p>
    <w:p w14:paraId="56926AF0" w14:textId="77777777" w:rsidR="00D03C17" w:rsidRDefault="00D03C17">
      <w:pPr>
        <w:pStyle w:val="Heading31"/>
        <w:keepNext/>
        <w:keepLines/>
        <w:spacing w:line="221" w:lineRule="auto"/>
        <w:jc w:val="center"/>
      </w:pPr>
      <w:bookmarkStart w:id="148" w:name="bookmark1176"/>
      <w:bookmarkStart w:id="149" w:name="bookmark1177"/>
      <w:bookmarkStart w:id="150" w:name="bookmark1178"/>
      <w:r>
        <w:rPr>
          <w:b w:val="0"/>
          <w:bCs w:val="0"/>
        </w:rPr>
        <w:t xml:space="preserve">Cuadro 3-49. </w:t>
      </w:r>
      <w:r>
        <w:t>Dosis de antimicrobianos intravenosos contra infecciones</w:t>
      </w:r>
      <w:r>
        <w:br/>
        <w:t>neumocócicas invasoras en lactantes y niños</w:t>
      </w:r>
      <w:r>
        <w:rPr>
          <w:vertAlign w:val="superscript"/>
        </w:rPr>
        <w:t>1</w:t>
      </w:r>
      <w:bookmarkEnd w:id="148"/>
      <w:bookmarkEnd w:id="149"/>
      <w:bookmarkEnd w:id="150"/>
    </w:p>
    <w:p w14:paraId="4A1D6D2D" w14:textId="77777777" w:rsidR="00D03C17" w:rsidRDefault="00D03C17">
      <w:pPr>
        <w:pStyle w:val="Heading41"/>
        <w:keepNext/>
        <w:keepLines/>
        <w:pBdr>
          <w:top w:val="single" w:sz="0" w:space="0" w:color="231F20"/>
          <w:left w:val="single" w:sz="0" w:space="0" w:color="231F20"/>
          <w:bottom w:val="single" w:sz="0" w:space="31" w:color="231F20"/>
          <w:right w:val="single" w:sz="0" w:space="0" w:color="231F20"/>
        </w:pBdr>
        <w:shd w:val="clear" w:color="auto" w:fill="231F20"/>
        <w:tabs>
          <w:tab w:val="left" w:pos="2059"/>
        </w:tabs>
        <w:ind w:right="340"/>
        <w:jc w:val="right"/>
      </w:pPr>
      <w:bookmarkStart w:id="151" w:name="bookmark1179"/>
      <w:bookmarkStart w:id="152" w:name="bookmark1180"/>
      <w:bookmarkStart w:id="153" w:name="bookmark1181"/>
      <w:r>
        <w:rPr>
          <w:color w:val="FFFFFF"/>
        </w:rPr>
        <w:t>Meningitis</w:t>
      </w:r>
      <w:r>
        <w:rPr>
          <w:color w:val="FFFFFF"/>
        </w:rPr>
        <w:tab/>
        <w:t>Infecciones no meníngeas</w:t>
      </w:r>
      <w:bookmarkEnd w:id="151"/>
      <w:bookmarkEnd w:id="152"/>
      <w:bookmarkEnd w:id="153"/>
    </w:p>
    <w:tbl>
      <w:tblPr>
        <w:tblOverlap w:val="never"/>
        <w:tblW w:w="0" w:type="auto"/>
        <w:jc w:val="right"/>
        <w:tblLayout w:type="fixed"/>
        <w:tblCellMar>
          <w:left w:w="10" w:type="dxa"/>
          <w:right w:w="10" w:type="dxa"/>
        </w:tblCellMar>
        <w:tblLook w:val="04A0" w:firstRow="1" w:lastRow="0" w:firstColumn="1" w:lastColumn="0" w:noHBand="0" w:noVBand="1"/>
      </w:tblPr>
      <w:tblGrid>
        <w:gridCol w:w="1382"/>
        <w:gridCol w:w="1243"/>
        <w:gridCol w:w="1522"/>
        <w:gridCol w:w="1186"/>
        <w:gridCol w:w="1512"/>
      </w:tblGrid>
      <w:tr w:rsidR="00D03C17" w14:paraId="3E12C9D6" w14:textId="77777777">
        <w:tblPrEx>
          <w:tblCellMar>
            <w:top w:w="0" w:type="dxa"/>
            <w:bottom w:w="0" w:type="dxa"/>
          </w:tblCellMar>
        </w:tblPrEx>
        <w:trPr>
          <w:trHeight w:hRule="exact" w:val="590"/>
          <w:jc w:val="right"/>
        </w:trPr>
        <w:tc>
          <w:tcPr>
            <w:tcW w:w="1382" w:type="dxa"/>
            <w:shd w:val="clear" w:color="auto" w:fill="231F20"/>
          </w:tcPr>
          <w:p w14:paraId="65F23814" w14:textId="77777777" w:rsidR="00D03C17" w:rsidRDefault="00D03C17">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Antimicrobiano</w:t>
            </w:r>
          </w:p>
        </w:tc>
        <w:tc>
          <w:tcPr>
            <w:tcW w:w="1243" w:type="dxa"/>
            <w:tcBorders>
              <w:top w:val="single" w:sz="4" w:space="0" w:color="auto"/>
            </w:tcBorders>
            <w:shd w:val="clear" w:color="auto" w:fill="231F20"/>
          </w:tcPr>
          <w:p w14:paraId="185E4437" w14:textId="77777777" w:rsidR="00D03C17" w:rsidRDefault="00D03C17">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Dosis kg/día</w:t>
            </w:r>
          </w:p>
        </w:tc>
        <w:tc>
          <w:tcPr>
            <w:tcW w:w="1522" w:type="dxa"/>
            <w:tcBorders>
              <w:top w:val="single" w:sz="4" w:space="0" w:color="auto"/>
            </w:tcBorders>
            <w:shd w:val="clear" w:color="auto" w:fill="231F20"/>
            <w:vAlign w:val="bottom"/>
          </w:tcPr>
          <w:p w14:paraId="736BA980" w14:textId="77777777" w:rsidR="00D03C17" w:rsidRDefault="00D03C17">
            <w:pPr>
              <w:pStyle w:val="Other0"/>
              <w:pBdr>
                <w:top w:val="single" w:sz="0" w:space="0" w:color="231F20"/>
                <w:left w:val="single" w:sz="0" w:space="0" w:color="231F20"/>
                <w:bottom w:val="single" w:sz="0" w:space="0" w:color="231F20"/>
                <w:right w:val="single" w:sz="0" w:space="0" w:color="231F20"/>
              </w:pBdr>
              <w:shd w:val="clear" w:color="auto" w:fill="231F20"/>
              <w:spacing w:line="259" w:lineRule="auto"/>
              <w:ind w:left="140"/>
              <w:rPr>
                <w:sz w:val="24"/>
                <w:szCs w:val="24"/>
              </w:rPr>
            </w:pPr>
            <w:r>
              <w:rPr>
                <w:rFonts w:ascii="Arial" w:eastAsia="Arial" w:hAnsi="Arial" w:cs="Arial"/>
                <w:b/>
                <w:bCs/>
                <w:color w:val="FFFFFF"/>
                <w:w w:val="70"/>
                <w:sz w:val="24"/>
                <w:szCs w:val="24"/>
              </w:rPr>
              <w:t>Intervalo entre una y otra dosis</w:t>
            </w:r>
          </w:p>
        </w:tc>
        <w:tc>
          <w:tcPr>
            <w:tcW w:w="1186" w:type="dxa"/>
            <w:tcBorders>
              <w:top w:val="single" w:sz="4" w:space="0" w:color="auto"/>
            </w:tcBorders>
            <w:shd w:val="clear" w:color="auto" w:fill="231F20"/>
          </w:tcPr>
          <w:p w14:paraId="04528432" w14:textId="77777777" w:rsidR="00D03C17" w:rsidRDefault="00D03C17">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Dosis kg/día</w:t>
            </w:r>
          </w:p>
        </w:tc>
        <w:tc>
          <w:tcPr>
            <w:tcW w:w="1512" w:type="dxa"/>
            <w:tcBorders>
              <w:top w:val="single" w:sz="4" w:space="0" w:color="auto"/>
            </w:tcBorders>
            <w:shd w:val="clear" w:color="auto" w:fill="231F20"/>
            <w:vAlign w:val="bottom"/>
          </w:tcPr>
          <w:p w14:paraId="6CA62CD5" w14:textId="77777777" w:rsidR="00D03C17" w:rsidRDefault="00D03C17">
            <w:pPr>
              <w:pStyle w:val="Other0"/>
              <w:pBdr>
                <w:top w:val="single" w:sz="0" w:space="0" w:color="231F20"/>
                <w:left w:val="single" w:sz="0" w:space="0" w:color="231F20"/>
                <w:bottom w:val="single" w:sz="0" w:space="0" w:color="231F20"/>
                <w:right w:val="single" w:sz="0" w:space="0" w:color="231F20"/>
              </w:pBdr>
              <w:shd w:val="clear" w:color="auto" w:fill="231F20"/>
              <w:spacing w:line="259" w:lineRule="auto"/>
              <w:ind w:firstLine="0"/>
              <w:rPr>
                <w:sz w:val="24"/>
                <w:szCs w:val="24"/>
              </w:rPr>
            </w:pPr>
            <w:r>
              <w:rPr>
                <w:rFonts w:ascii="Arial" w:eastAsia="Arial" w:hAnsi="Arial" w:cs="Arial"/>
                <w:b/>
                <w:bCs/>
                <w:color w:val="FFFFFF"/>
                <w:w w:val="70"/>
                <w:sz w:val="24"/>
                <w:szCs w:val="24"/>
              </w:rPr>
              <w:t>Intervalo entre una y otra dosis</w:t>
            </w:r>
          </w:p>
        </w:tc>
      </w:tr>
      <w:tr w:rsidR="00D03C17" w14:paraId="5C7A9E6F" w14:textId="77777777">
        <w:tblPrEx>
          <w:tblCellMar>
            <w:top w:w="0" w:type="dxa"/>
            <w:bottom w:w="0" w:type="dxa"/>
          </w:tblCellMar>
        </w:tblPrEx>
        <w:trPr>
          <w:trHeight w:hRule="exact" w:val="278"/>
          <w:jc w:val="right"/>
        </w:trPr>
        <w:tc>
          <w:tcPr>
            <w:tcW w:w="1382" w:type="dxa"/>
            <w:shd w:val="clear" w:color="auto" w:fill="FFFFFF"/>
            <w:vAlign w:val="bottom"/>
          </w:tcPr>
          <w:p w14:paraId="71D5E44A"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Penicilina G</w:t>
            </w:r>
          </w:p>
        </w:tc>
        <w:tc>
          <w:tcPr>
            <w:tcW w:w="1243" w:type="dxa"/>
            <w:shd w:val="clear" w:color="auto" w:fill="FFFFFF"/>
            <w:vAlign w:val="bottom"/>
          </w:tcPr>
          <w:p w14:paraId="35A3EB03"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250 000-</w:t>
            </w:r>
          </w:p>
        </w:tc>
        <w:tc>
          <w:tcPr>
            <w:tcW w:w="1522" w:type="dxa"/>
            <w:shd w:val="clear" w:color="auto" w:fill="FFFFFF"/>
            <w:vAlign w:val="bottom"/>
          </w:tcPr>
          <w:p w14:paraId="6C7B9CF1" w14:textId="77777777" w:rsidR="00D03C17" w:rsidRDefault="00D03C17">
            <w:pPr>
              <w:pStyle w:val="Other0"/>
              <w:spacing w:line="240" w:lineRule="auto"/>
              <w:ind w:firstLine="140"/>
              <w:rPr>
                <w:sz w:val="16"/>
                <w:szCs w:val="16"/>
              </w:rPr>
            </w:pPr>
            <w:r>
              <w:rPr>
                <w:rFonts w:ascii="Times New Roman" w:eastAsia="Times New Roman" w:hAnsi="Times New Roman" w:cs="Times New Roman"/>
                <w:sz w:val="16"/>
                <w:szCs w:val="16"/>
              </w:rPr>
              <w:t>4-6 h</w:t>
            </w:r>
          </w:p>
        </w:tc>
        <w:tc>
          <w:tcPr>
            <w:tcW w:w="1186" w:type="dxa"/>
            <w:shd w:val="clear" w:color="auto" w:fill="FFFFFF"/>
            <w:vAlign w:val="bottom"/>
          </w:tcPr>
          <w:p w14:paraId="5D40B4FF"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250 000-</w:t>
            </w:r>
          </w:p>
        </w:tc>
        <w:tc>
          <w:tcPr>
            <w:tcW w:w="1512" w:type="dxa"/>
            <w:shd w:val="clear" w:color="auto" w:fill="FFFFFF"/>
            <w:vAlign w:val="bottom"/>
          </w:tcPr>
          <w:p w14:paraId="166C86C3"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4-6 h</w:t>
            </w:r>
          </w:p>
        </w:tc>
      </w:tr>
      <w:tr w:rsidR="00D03C17" w14:paraId="7AB832B9" w14:textId="77777777">
        <w:tblPrEx>
          <w:tblCellMar>
            <w:top w:w="0" w:type="dxa"/>
            <w:bottom w:w="0" w:type="dxa"/>
          </w:tblCellMar>
        </w:tblPrEx>
        <w:trPr>
          <w:trHeight w:hRule="exact" w:val="221"/>
          <w:jc w:val="right"/>
        </w:trPr>
        <w:tc>
          <w:tcPr>
            <w:tcW w:w="1382" w:type="dxa"/>
            <w:shd w:val="clear" w:color="auto" w:fill="FFFFFF"/>
          </w:tcPr>
          <w:p w14:paraId="671CFFFC" w14:textId="77777777" w:rsidR="00D03C17" w:rsidRDefault="00D03C17">
            <w:pPr>
              <w:rPr>
                <w:sz w:val="10"/>
                <w:szCs w:val="10"/>
              </w:rPr>
            </w:pPr>
          </w:p>
        </w:tc>
        <w:tc>
          <w:tcPr>
            <w:tcW w:w="1243" w:type="dxa"/>
            <w:shd w:val="clear" w:color="auto" w:fill="FFFFFF"/>
          </w:tcPr>
          <w:p w14:paraId="5E954375" w14:textId="77777777" w:rsidR="00D03C17" w:rsidRDefault="00D03C17">
            <w:pPr>
              <w:pStyle w:val="Other0"/>
              <w:spacing w:line="240" w:lineRule="auto"/>
              <w:ind w:firstLine="200"/>
              <w:rPr>
                <w:sz w:val="16"/>
                <w:szCs w:val="16"/>
              </w:rPr>
            </w:pPr>
            <w:r>
              <w:rPr>
                <w:rFonts w:ascii="Times New Roman" w:eastAsia="Times New Roman" w:hAnsi="Times New Roman" w:cs="Times New Roman"/>
                <w:sz w:val="16"/>
                <w:szCs w:val="16"/>
              </w:rPr>
              <w:t>400 000 U</w:t>
            </w:r>
            <w:r>
              <w:rPr>
                <w:rFonts w:ascii="Times New Roman" w:eastAsia="Times New Roman" w:hAnsi="Times New Roman" w:cs="Times New Roman"/>
                <w:sz w:val="16"/>
                <w:szCs w:val="16"/>
                <w:vertAlign w:val="superscript"/>
              </w:rPr>
              <w:t>2</w:t>
            </w:r>
          </w:p>
        </w:tc>
        <w:tc>
          <w:tcPr>
            <w:tcW w:w="1522" w:type="dxa"/>
            <w:shd w:val="clear" w:color="auto" w:fill="FFFFFF"/>
          </w:tcPr>
          <w:p w14:paraId="1F49C256" w14:textId="77777777" w:rsidR="00D03C17" w:rsidRDefault="00D03C17">
            <w:pPr>
              <w:rPr>
                <w:sz w:val="10"/>
                <w:szCs w:val="10"/>
              </w:rPr>
            </w:pPr>
          </w:p>
        </w:tc>
        <w:tc>
          <w:tcPr>
            <w:tcW w:w="1186" w:type="dxa"/>
            <w:shd w:val="clear" w:color="auto" w:fill="FFFFFF"/>
          </w:tcPr>
          <w:p w14:paraId="6BB1271F"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400 000 U</w:t>
            </w:r>
            <w:r>
              <w:rPr>
                <w:rFonts w:ascii="Times New Roman" w:eastAsia="Times New Roman" w:hAnsi="Times New Roman" w:cs="Times New Roman"/>
                <w:sz w:val="16"/>
                <w:szCs w:val="16"/>
                <w:vertAlign w:val="superscript"/>
              </w:rPr>
              <w:t>2</w:t>
            </w:r>
          </w:p>
        </w:tc>
        <w:tc>
          <w:tcPr>
            <w:tcW w:w="1512" w:type="dxa"/>
            <w:shd w:val="clear" w:color="auto" w:fill="FFFFFF"/>
          </w:tcPr>
          <w:p w14:paraId="0636ADDA" w14:textId="77777777" w:rsidR="00D03C17" w:rsidRDefault="00D03C17">
            <w:pPr>
              <w:rPr>
                <w:sz w:val="10"/>
                <w:szCs w:val="10"/>
              </w:rPr>
            </w:pPr>
          </w:p>
        </w:tc>
      </w:tr>
      <w:tr w:rsidR="00D03C17" w14:paraId="160EADDA" w14:textId="77777777">
        <w:tblPrEx>
          <w:tblCellMar>
            <w:top w:w="0" w:type="dxa"/>
            <w:bottom w:w="0" w:type="dxa"/>
          </w:tblCellMar>
        </w:tblPrEx>
        <w:trPr>
          <w:trHeight w:hRule="exact" w:val="221"/>
          <w:jc w:val="right"/>
        </w:trPr>
        <w:tc>
          <w:tcPr>
            <w:tcW w:w="1382" w:type="dxa"/>
            <w:shd w:val="clear" w:color="auto" w:fill="FFFFFF"/>
            <w:vAlign w:val="bottom"/>
          </w:tcPr>
          <w:p w14:paraId="077EDBB2"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Cefotaxima</w:t>
            </w:r>
          </w:p>
        </w:tc>
        <w:tc>
          <w:tcPr>
            <w:tcW w:w="1243" w:type="dxa"/>
            <w:shd w:val="clear" w:color="auto" w:fill="FFFFFF"/>
            <w:vAlign w:val="bottom"/>
          </w:tcPr>
          <w:p w14:paraId="28BEF224"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225-300 mg</w:t>
            </w:r>
          </w:p>
        </w:tc>
        <w:tc>
          <w:tcPr>
            <w:tcW w:w="1522" w:type="dxa"/>
            <w:shd w:val="clear" w:color="auto" w:fill="FFFFFF"/>
            <w:vAlign w:val="bottom"/>
          </w:tcPr>
          <w:p w14:paraId="405C0494" w14:textId="77777777" w:rsidR="00D03C17" w:rsidRDefault="00D03C17">
            <w:pPr>
              <w:pStyle w:val="Other0"/>
              <w:spacing w:line="240" w:lineRule="auto"/>
              <w:ind w:firstLine="140"/>
              <w:rPr>
                <w:sz w:val="16"/>
                <w:szCs w:val="16"/>
              </w:rPr>
            </w:pPr>
            <w:r>
              <w:rPr>
                <w:rFonts w:ascii="Times New Roman" w:eastAsia="Times New Roman" w:hAnsi="Times New Roman" w:cs="Times New Roman"/>
                <w:sz w:val="16"/>
                <w:szCs w:val="16"/>
              </w:rPr>
              <w:t>8 h</w:t>
            </w:r>
          </w:p>
        </w:tc>
        <w:tc>
          <w:tcPr>
            <w:tcW w:w="1186" w:type="dxa"/>
            <w:shd w:val="clear" w:color="auto" w:fill="FFFFFF"/>
            <w:vAlign w:val="bottom"/>
          </w:tcPr>
          <w:p w14:paraId="25286FC5"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75-100 mg</w:t>
            </w:r>
          </w:p>
        </w:tc>
        <w:tc>
          <w:tcPr>
            <w:tcW w:w="1512" w:type="dxa"/>
            <w:shd w:val="clear" w:color="auto" w:fill="FFFFFF"/>
            <w:vAlign w:val="bottom"/>
          </w:tcPr>
          <w:p w14:paraId="1B548F6B"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8 h</w:t>
            </w:r>
          </w:p>
        </w:tc>
      </w:tr>
      <w:tr w:rsidR="00D03C17" w14:paraId="29587500" w14:textId="77777777">
        <w:tblPrEx>
          <w:tblCellMar>
            <w:top w:w="0" w:type="dxa"/>
            <w:bottom w:w="0" w:type="dxa"/>
          </w:tblCellMar>
        </w:tblPrEx>
        <w:trPr>
          <w:trHeight w:hRule="exact" w:val="221"/>
          <w:jc w:val="right"/>
        </w:trPr>
        <w:tc>
          <w:tcPr>
            <w:tcW w:w="1382" w:type="dxa"/>
            <w:shd w:val="clear" w:color="auto" w:fill="FFFFFF"/>
          </w:tcPr>
          <w:p w14:paraId="4C303D97"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Ceftriaxona</w:t>
            </w:r>
          </w:p>
        </w:tc>
        <w:tc>
          <w:tcPr>
            <w:tcW w:w="1243" w:type="dxa"/>
            <w:shd w:val="clear" w:color="auto" w:fill="FFFFFF"/>
          </w:tcPr>
          <w:p w14:paraId="71B7A8F0"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100 mg</w:t>
            </w:r>
          </w:p>
        </w:tc>
        <w:tc>
          <w:tcPr>
            <w:tcW w:w="1522" w:type="dxa"/>
            <w:shd w:val="clear" w:color="auto" w:fill="FFFFFF"/>
          </w:tcPr>
          <w:p w14:paraId="2DD8EC49" w14:textId="77777777" w:rsidR="00D03C17" w:rsidRDefault="00D03C17">
            <w:pPr>
              <w:pStyle w:val="Other0"/>
              <w:spacing w:line="240" w:lineRule="auto"/>
              <w:ind w:firstLine="140"/>
              <w:rPr>
                <w:sz w:val="16"/>
                <w:szCs w:val="16"/>
              </w:rPr>
            </w:pPr>
            <w:r>
              <w:rPr>
                <w:rFonts w:ascii="Times New Roman" w:eastAsia="Times New Roman" w:hAnsi="Times New Roman" w:cs="Times New Roman"/>
                <w:sz w:val="16"/>
                <w:szCs w:val="16"/>
              </w:rPr>
              <w:t>12-24 h</w:t>
            </w:r>
          </w:p>
        </w:tc>
        <w:tc>
          <w:tcPr>
            <w:tcW w:w="1186" w:type="dxa"/>
            <w:shd w:val="clear" w:color="auto" w:fill="FFFFFF"/>
          </w:tcPr>
          <w:p w14:paraId="75ED71FA"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50-75 mg</w:t>
            </w:r>
          </w:p>
        </w:tc>
        <w:tc>
          <w:tcPr>
            <w:tcW w:w="1512" w:type="dxa"/>
            <w:shd w:val="clear" w:color="auto" w:fill="FFFFFF"/>
          </w:tcPr>
          <w:p w14:paraId="313A6C46"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12-24 h</w:t>
            </w:r>
          </w:p>
        </w:tc>
      </w:tr>
      <w:tr w:rsidR="00D03C17" w14:paraId="6F3B3B95" w14:textId="77777777">
        <w:tblPrEx>
          <w:tblCellMar>
            <w:top w:w="0" w:type="dxa"/>
            <w:bottom w:w="0" w:type="dxa"/>
          </w:tblCellMar>
        </w:tblPrEx>
        <w:trPr>
          <w:trHeight w:hRule="exact" w:val="216"/>
          <w:jc w:val="right"/>
        </w:trPr>
        <w:tc>
          <w:tcPr>
            <w:tcW w:w="1382" w:type="dxa"/>
            <w:shd w:val="clear" w:color="auto" w:fill="FFFFFF"/>
          </w:tcPr>
          <w:p w14:paraId="418D43FC"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Vancomicina</w:t>
            </w:r>
          </w:p>
        </w:tc>
        <w:tc>
          <w:tcPr>
            <w:tcW w:w="1243" w:type="dxa"/>
            <w:shd w:val="clear" w:color="auto" w:fill="FFFFFF"/>
          </w:tcPr>
          <w:p w14:paraId="63760338"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60 mg</w:t>
            </w:r>
          </w:p>
        </w:tc>
        <w:tc>
          <w:tcPr>
            <w:tcW w:w="1522" w:type="dxa"/>
            <w:shd w:val="clear" w:color="auto" w:fill="FFFFFF"/>
          </w:tcPr>
          <w:p w14:paraId="41667208" w14:textId="77777777" w:rsidR="00D03C17" w:rsidRDefault="00D03C17">
            <w:pPr>
              <w:pStyle w:val="Other0"/>
              <w:spacing w:line="240" w:lineRule="auto"/>
              <w:ind w:firstLine="140"/>
              <w:rPr>
                <w:sz w:val="16"/>
                <w:szCs w:val="16"/>
              </w:rPr>
            </w:pPr>
            <w:r>
              <w:rPr>
                <w:rFonts w:ascii="Times New Roman" w:eastAsia="Times New Roman" w:hAnsi="Times New Roman" w:cs="Times New Roman"/>
                <w:sz w:val="16"/>
                <w:szCs w:val="16"/>
              </w:rPr>
              <w:t>6 h</w:t>
            </w:r>
          </w:p>
        </w:tc>
        <w:tc>
          <w:tcPr>
            <w:tcW w:w="1186" w:type="dxa"/>
            <w:shd w:val="clear" w:color="auto" w:fill="FFFFFF"/>
          </w:tcPr>
          <w:p w14:paraId="12316BF5"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40-45 mg</w:t>
            </w:r>
          </w:p>
        </w:tc>
        <w:tc>
          <w:tcPr>
            <w:tcW w:w="1512" w:type="dxa"/>
            <w:shd w:val="clear" w:color="auto" w:fill="FFFFFF"/>
          </w:tcPr>
          <w:p w14:paraId="0D0761AF"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6 h</w:t>
            </w:r>
          </w:p>
        </w:tc>
      </w:tr>
      <w:tr w:rsidR="00D03C17" w14:paraId="507D57A8" w14:textId="77777777">
        <w:tblPrEx>
          <w:tblCellMar>
            <w:top w:w="0" w:type="dxa"/>
            <w:bottom w:w="0" w:type="dxa"/>
          </w:tblCellMar>
        </w:tblPrEx>
        <w:trPr>
          <w:trHeight w:hRule="exact" w:val="230"/>
          <w:jc w:val="right"/>
        </w:trPr>
        <w:tc>
          <w:tcPr>
            <w:tcW w:w="1382" w:type="dxa"/>
            <w:shd w:val="clear" w:color="auto" w:fill="FFFFFF"/>
            <w:vAlign w:val="bottom"/>
          </w:tcPr>
          <w:p w14:paraId="4E69A822"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Rifampicina</w:t>
            </w:r>
            <w:r>
              <w:rPr>
                <w:rFonts w:ascii="Times New Roman" w:eastAsia="Times New Roman" w:hAnsi="Times New Roman" w:cs="Times New Roman"/>
                <w:sz w:val="16"/>
                <w:szCs w:val="16"/>
                <w:vertAlign w:val="superscript"/>
              </w:rPr>
              <w:t>3</w:t>
            </w:r>
          </w:p>
        </w:tc>
        <w:tc>
          <w:tcPr>
            <w:tcW w:w="1243" w:type="dxa"/>
            <w:shd w:val="clear" w:color="auto" w:fill="FFFFFF"/>
            <w:vAlign w:val="bottom"/>
          </w:tcPr>
          <w:p w14:paraId="4663F47F"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20 mg</w:t>
            </w:r>
          </w:p>
        </w:tc>
        <w:tc>
          <w:tcPr>
            <w:tcW w:w="1522" w:type="dxa"/>
            <w:shd w:val="clear" w:color="auto" w:fill="FFFFFF"/>
            <w:vAlign w:val="bottom"/>
          </w:tcPr>
          <w:p w14:paraId="03A7854E" w14:textId="77777777" w:rsidR="00D03C17" w:rsidRDefault="00D03C17">
            <w:pPr>
              <w:pStyle w:val="Other0"/>
              <w:spacing w:line="240" w:lineRule="auto"/>
              <w:ind w:firstLine="140"/>
              <w:rPr>
                <w:sz w:val="16"/>
                <w:szCs w:val="16"/>
              </w:rPr>
            </w:pPr>
            <w:r>
              <w:rPr>
                <w:rFonts w:ascii="Times New Roman" w:eastAsia="Times New Roman" w:hAnsi="Times New Roman" w:cs="Times New Roman"/>
                <w:sz w:val="16"/>
                <w:szCs w:val="16"/>
              </w:rPr>
              <w:t>12 h</w:t>
            </w:r>
          </w:p>
        </w:tc>
        <w:tc>
          <w:tcPr>
            <w:tcW w:w="1186" w:type="dxa"/>
            <w:shd w:val="clear" w:color="auto" w:fill="FFFFFF"/>
            <w:vAlign w:val="bottom"/>
          </w:tcPr>
          <w:p w14:paraId="4CB1BAA8"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No indicada</w:t>
            </w:r>
          </w:p>
        </w:tc>
        <w:tc>
          <w:tcPr>
            <w:tcW w:w="1512" w:type="dxa"/>
            <w:shd w:val="clear" w:color="auto" w:fill="FFFFFF"/>
          </w:tcPr>
          <w:p w14:paraId="59529725" w14:textId="77777777" w:rsidR="00D03C17" w:rsidRDefault="00D03C17">
            <w:pPr>
              <w:rPr>
                <w:sz w:val="10"/>
                <w:szCs w:val="10"/>
              </w:rPr>
            </w:pPr>
          </w:p>
        </w:tc>
      </w:tr>
      <w:tr w:rsidR="00D03C17" w14:paraId="16474FAC" w14:textId="77777777">
        <w:tblPrEx>
          <w:tblCellMar>
            <w:top w:w="0" w:type="dxa"/>
            <w:bottom w:w="0" w:type="dxa"/>
          </w:tblCellMar>
        </w:tblPrEx>
        <w:trPr>
          <w:trHeight w:hRule="exact" w:val="216"/>
          <w:jc w:val="right"/>
        </w:trPr>
        <w:tc>
          <w:tcPr>
            <w:tcW w:w="1382" w:type="dxa"/>
            <w:shd w:val="clear" w:color="auto" w:fill="FFFFFF"/>
          </w:tcPr>
          <w:p w14:paraId="7398B37A"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Cloranfenicol</w:t>
            </w:r>
            <w:r>
              <w:rPr>
                <w:rFonts w:ascii="Times New Roman" w:eastAsia="Times New Roman" w:hAnsi="Times New Roman" w:cs="Times New Roman"/>
                <w:sz w:val="16"/>
                <w:szCs w:val="16"/>
                <w:vertAlign w:val="superscript"/>
              </w:rPr>
              <w:t>4</w:t>
            </w:r>
          </w:p>
        </w:tc>
        <w:tc>
          <w:tcPr>
            <w:tcW w:w="1243" w:type="dxa"/>
            <w:shd w:val="clear" w:color="auto" w:fill="FFFFFF"/>
          </w:tcPr>
          <w:p w14:paraId="442A3B4B"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75-100 mg</w:t>
            </w:r>
          </w:p>
        </w:tc>
        <w:tc>
          <w:tcPr>
            <w:tcW w:w="1522" w:type="dxa"/>
            <w:shd w:val="clear" w:color="auto" w:fill="FFFFFF"/>
          </w:tcPr>
          <w:p w14:paraId="23317C59" w14:textId="77777777" w:rsidR="00D03C17" w:rsidRDefault="00D03C17">
            <w:pPr>
              <w:pStyle w:val="Other0"/>
              <w:spacing w:line="240" w:lineRule="auto"/>
              <w:ind w:firstLine="140"/>
              <w:rPr>
                <w:sz w:val="16"/>
                <w:szCs w:val="16"/>
              </w:rPr>
            </w:pPr>
            <w:r>
              <w:rPr>
                <w:rFonts w:ascii="Times New Roman" w:eastAsia="Times New Roman" w:hAnsi="Times New Roman" w:cs="Times New Roman"/>
                <w:sz w:val="16"/>
                <w:szCs w:val="16"/>
              </w:rPr>
              <w:t>6 h</w:t>
            </w:r>
          </w:p>
        </w:tc>
        <w:tc>
          <w:tcPr>
            <w:tcW w:w="1186" w:type="dxa"/>
            <w:shd w:val="clear" w:color="auto" w:fill="FFFFFF"/>
          </w:tcPr>
          <w:p w14:paraId="3C7C1C7A"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75-100 mg</w:t>
            </w:r>
          </w:p>
        </w:tc>
        <w:tc>
          <w:tcPr>
            <w:tcW w:w="1512" w:type="dxa"/>
            <w:shd w:val="clear" w:color="auto" w:fill="FFFFFF"/>
          </w:tcPr>
          <w:p w14:paraId="005D4C5E"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6 h</w:t>
            </w:r>
          </w:p>
        </w:tc>
      </w:tr>
      <w:tr w:rsidR="00D03C17" w14:paraId="208A6CAC" w14:textId="77777777">
        <w:tblPrEx>
          <w:tblCellMar>
            <w:top w:w="0" w:type="dxa"/>
            <w:bottom w:w="0" w:type="dxa"/>
          </w:tblCellMar>
        </w:tblPrEx>
        <w:trPr>
          <w:trHeight w:hRule="exact" w:val="221"/>
          <w:jc w:val="right"/>
        </w:trPr>
        <w:tc>
          <w:tcPr>
            <w:tcW w:w="1382" w:type="dxa"/>
            <w:shd w:val="clear" w:color="auto" w:fill="FFFFFF"/>
          </w:tcPr>
          <w:p w14:paraId="48C842B1"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Clindamicina</w:t>
            </w:r>
            <w:r>
              <w:rPr>
                <w:rFonts w:ascii="Times New Roman" w:eastAsia="Times New Roman" w:hAnsi="Times New Roman" w:cs="Times New Roman"/>
                <w:sz w:val="16"/>
                <w:szCs w:val="16"/>
                <w:vertAlign w:val="superscript"/>
              </w:rPr>
              <w:t>4</w:t>
            </w:r>
          </w:p>
        </w:tc>
        <w:tc>
          <w:tcPr>
            <w:tcW w:w="1243" w:type="dxa"/>
            <w:shd w:val="clear" w:color="auto" w:fill="FFFFFF"/>
          </w:tcPr>
          <w:p w14:paraId="45B353E7"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No indicada</w:t>
            </w:r>
          </w:p>
        </w:tc>
        <w:tc>
          <w:tcPr>
            <w:tcW w:w="1522" w:type="dxa"/>
            <w:shd w:val="clear" w:color="auto" w:fill="FFFFFF"/>
          </w:tcPr>
          <w:p w14:paraId="0BA69B8A" w14:textId="77777777" w:rsidR="00D03C17" w:rsidRDefault="00D03C17">
            <w:pPr>
              <w:rPr>
                <w:sz w:val="10"/>
                <w:szCs w:val="10"/>
              </w:rPr>
            </w:pPr>
          </w:p>
        </w:tc>
        <w:tc>
          <w:tcPr>
            <w:tcW w:w="1186" w:type="dxa"/>
            <w:shd w:val="clear" w:color="auto" w:fill="FFFFFF"/>
          </w:tcPr>
          <w:p w14:paraId="11A9AFB6"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25-40 mg</w:t>
            </w:r>
          </w:p>
        </w:tc>
        <w:tc>
          <w:tcPr>
            <w:tcW w:w="1512" w:type="dxa"/>
            <w:shd w:val="clear" w:color="auto" w:fill="FFFFFF"/>
          </w:tcPr>
          <w:p w14:paraId="35C6A3E6"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6-8 h</w:t>
            </w:r>
          </w:p>
        </w:tc>
      </w:tr>
      <w:tr w:rsidR="00D03C17" w14:paraId="5FF40129" w14:textId="77777777">
        <w:tblPrEx>
          <w:tblCellMar>
            <w:top w:w="0" w:type="dxa"/>
            <w:bottom w:w="0" w:type="dxa"/>
          </w:tblCellMar>
        </w:tblPrEx>
        <w:trPr>
          <w:trHeight w:hRule="exact" w:val="235"/>
          <w:jc w:val="right"/>
        </w:trPr>
        <w:tc>
          <w:tcPr>
            <w:tcW w:w="1382" w:type="dxa"/>
            <w:shd w:val="clear" w:color="auto" w:fill="FFFFFF"/>
            <w:vAlign w:val="bottom"/>
          </w:tcPr>
          <w:p w14:paraId="7977CC36"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Meropenem</w:t>
            </w:r>
            <w:r>
              <w:rPr>
                <w:rFonts w:ascii="Times New Roman" w:eastAsia="Times New Roman" w:hAnsi="Times New Roman" w:cs="Times New Roman"/>
                <w:sz w:val="16"/>
                <w:szCs w:val="16"/>
                <w:vertAlign w:val="superscript"/>
              </w:rPr>
              <w:t>5</w:t>
            </w:r>
          </w:p>
        </w:tc>
        <w:tc>
          <w:tcPr>
            <w:tcW w:w="1243" w:type="dxa"/>
            <w:shd w:val="clear" w:color="auto" w:fill="FFFFFF"/>
            <w:vAlign w:val="bottom"/>
          </w:tcPr>
          <w:p w14:paraId="03E229A2"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120 mg</w:t>
            </w:r>
          </w:p>
        </w:tc>
        <w:tc>
          <w:tcPr>
            <w:tcW w:w="1522" w:type="dxa"/>
            <w:shd w:val="clear" w:color="auto" w:fill="FFFFFF"/>
            <w:vAlign w:val="bottom"/>
          </w:tcPr>
          <w:p w14:paraId="1663E2A1" w14:textId="77777777" w:rsidR="00D03C17" w:rsidRDefault="00D03C17">
            <w:pPr>
              <w:pStyle w:val="Other0"/>
              <w:spacing w:line="240" w:lineRule="auto"/>
              <w:ind w:firstLine="140"/>
              <w:rPr>
                <w:sz w:val="16"/>
                <w:szCs w:val="16"/>
              </w:rPr>
            </w:pPr>
            <w:r>
              <w:rPr>
                <w:rFonts w:ascii="Times New Roman" w:eastAsia="Times New Roman" w:hAnsi="Times New Roman" w:cs="Times New Roman"/>
                <w:sz w:val="16"/>
                <w:szCs w:val="16"/>
              </w:rPr>
              <w:t>8 h</w:t>
            </w:r>
          </w:p>
        </w:tc>
        <w:tc>
          <w:tcPr>
            <w:tcW w:w="1186" w:type="dxa"/>
            <w:shd w:val="clear" w:color="auto" w:fill="FFFFFF"/>
            <w:vAlign w:val="bottom"/>
          </w:tcPr>
          <w:p w14:paraId="10F9E580"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60 mg</w:t>
            </w:r>
          </w:p>
        </w:tc>
        <w:tc>
          <w:tcPr>
            <w:tcW w:w="1512" w:type="dxa"/>
            <w:shd w:val="clear" w:color="auto" w:fill="FFFFFF"/>
            <w:vAlign w:val="bottom"/>
          </w:tcPr>
          <w:p w14:paraId="5DE61D04"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8 h</w:t>
            </w:r>
          </w:p>
        </w:tc>
      </w:tr>
      <w:tr w:rsidR="00D03C17" w14:paraId="6098A1C2" w14:textId="77777777">
        <w:tblPrEx>
          <w:tblCellMar>
            <w:top w:w="0" w:type="dxa"/>
            <w:bottom w:w="0" w:type="dxa"/>
          </w:tblCellMar>
        </w:tblPrEx>
        <w:trPr>
          <w:trHeight w:hRule="exact" w:val="216"/>
          <w:jc w:val="right"/>
        </w:trPr>
        <w:tc>
          <w:tcPr>
            <w:tcW w:w="1382" w:type="dxa"/>
            <w:shd w:val="clear" w:color="auto" w:fill="FFFFFF"/>
          </w:tcPr>
          <w:p w14:paraId="2EDD7283"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Imipenem-</w:t>
            </w:r>
          </w:p>
        </w:tc>
        <w:tc>
          <w:tcPr>
            <w:tcW w:w="1243" w:type="dxa"/>
            <w:shd w:val="clear" w:color="auto" w:fill="FFFFFF"/>
          </w:tcPr>
          <w:p w14:paraId="007EE5A8" w14:textId="77777777" w:rsidR="00D03C17" w:rsidRDefault="00D03C17">
            <w:pPr>
              <w:rPr>
                <w:sz w:val="10"/>
                <w:szCs w:val="10"/>
              </w:rPr>
            </w:pPr>
          </w:p>
        </w:tc>
        <w:tc>
          <w:tcPr>
            <w:tcW w:w="1522" w:type="dxa"/>
            <w:shd w:val="clear" w:color="auto" w:fill="FFFFFF"/>
          </w:tcPr>
          <w:p w14:paraId="1F3D1E3F" w14:textId="77777777" w:rsidR="00D03C17" w:rsidRDefault="00D03C17">
            <w:pPr>
              <w:rPr>
                <w:sz w:val="10"/>
                <w:szCs w:val="10"/>
              </w:rPr>
            </w:pPr>
          </w:p>
        </w:tc>
        <w:tc>
          <w:tcPr>
            <w:tcW w:w="1186" w:type="dxa"/>
            <w:shd w:val="clear" w:color="auto" w:fill="FFFFFF"/>
          </w:tcPr>
          <w:p w14:paraId="06BE23EB"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60 mg</w:t>
            </w:r>
          </w:p>
        </w:tc>
        <w:tc>
          <w:tcPr>
            <w:tcW w:w="1512" w:type="dxa"/>
            <w:shd w:val="clear" w:color="auto" w:fill="FFFFFF"/>
          </w:tcPr>
          <w:p w14:paraId="4774A2DC"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6 h</w:t>
            </w:r>
          </w:p>
        </w:tc>
      </w:tr>
      <w:tr w:rsidR="00D03C17" w14:paraId="7313E836" w14:textId="77777777">
        <w:tblPrEx>
          <w:tblCellMar>
            <w:top w:w="0" w:type="dxa"/>
            <w:bottom w:w="0" w:type="dxa"/>
          </w:tblCellMar>
        </w:tblPrEx>
        <w:trPr>
          <w:trHeight w:hRule="exact" w:val="187"/>
          <w:jc w:val="right"/>
        </w:trPr>
        <w:tc>
          <w:tcPr>
            <w:tcW w:w="1382" w:type="dxa"/>
            <w:shd w:val="clear" w:color="auto" w:fill="FFFFFF"/>
          </w:tcPr>
          <w:p w14:paraId="5A826ABD" w14:textId="77777777" w:rsidR="00D03C17" w:rsidRDefault="00D03C17">
            <w:pPr>
              <w:pStyle w:val="Other0"/>
              <w:spacing w:line="240" w:lineRule="auto"/>
              <w:ind w:firstLine="160"/>
              <w:rPr>
                <w:sz w:val="16"/>
                <w:szCs w:val="16"/>
              </w:rPr>
            </w:pPr>
            <w:r>
              <w:rPr>
                <w:rFonts w:ascii="Times New Roman" w:eastAsia="Times New Roman" w:hAnsi="Times New Roman" w:cs="Times New Roman"/>
                <w:sz w:val="16"/>
                <w:szCs w:val="16"/>
              </w:rPr>
              <w:t>cilastatina</w:t>
            </w:r>
            <w:r>
              <w:rPr>
                <w:rFonts w:ascii="Times New Roman" w:eastAsia="Times New Roman" w:hAnsi="Times New Roman" w:cs="Times New Roman"/>
                <w:sz w:val="16"/>
                <w:szCs w:val="16"/>
                <w:vertAlign w:val="superscript"/>
              </w:rPr>
              <w:t>6</w:t>
            </w:r>
          </w:p>
        </w:tc>
        <w:tc>
          <w:tcPr>
            <w:tcW w:w="1243" w:type="dxa"/>
            <w:shd w:val="clear" w:color="auto" w:fill="FFFFFF"/>
          </w:tcPr>
          <w:p w14:paraId="5845B7A4" w14:textId="77777777" w:rsidR="00D03C17" w:rsidRDefault="00D03C17">
            <w:pPr>
              <w:rPr>
                <w:sz w:val="10"/>
                <w:szCs w:val="10"/>
              </w:rPr>
            </w:pPr>
          </w:p>
        </w:tc>
        <w:tc>
          <w:tcPr>
            <w:tcW w:w="1522" w:type="dxa"/>
            <w:shd w:val="clear" w:color="auto" w:fill="FFFFFF"/>
          </w:tcPr>
          <w:p w14:paraId="05A2E666" w14:textId="77777777" w:rsidR="00D03C17" w:rsidRDefault="00D03C17">
            <w:pPr>
              <w:rPr>
                <w:sz w:val="10"/>
                <w:szCs w:val="10"/>
              </w:rPr>
            </w:pPr>
          </w:p>
        </w:tc>
        <w:tc>
          <w:tcPr>
            <w:tcW w:w="1186" w:type="dxa"/>
            <w:shd w:val="clear" w:color="auto" w:fill="FFFFFF"/>
          </w:tcPr>
          <w:p w14:paraId="556D8609" w14:textId="77777777" w:rsidR="00D03C17" w:rsidRDefault="00D03C17">
            <w:pPr>
              <w:rPr>
                <w:sz w:val="10"/>
                <w:szCs w:val="10"/>
              </w:rPr>
            </w:pPr>
          </w:p>
        </w:tc>
        <w:tc>
          <w:tcPr>
            <w:tcW w:w="1512" w:type="dxa"/>
            <w:shd w:val="clear" w:color="auto" w:fill="FFFFFF"/>
          </w:tcPr>
          <w:p w14:paraId="65BBDCD6" w14:textId="77777777" w:rsidR="00D03C17" w:rsidRDefault="00D03C17">
            <w:pPr>
              <w:rPr>
                <w:sz w:val="10"/>
                <w:szCs w:val="10"/>
              </w:rPr>
            </w:pPr>
          </w:p>
        </w:tc>
      </w:tr>
    </w:tbl>
    <w:p w14:paraId="5DC06417" w14:textId="77777777" w:rsidR="00D03C17" w:rsidRDefault="00D03C17">
      <w:pPr>
        <w:pStyle w:val="Tablecaption0"/>
        <w:numPr>
          <w:ilvl w:val="0"/>
          <w:numId w:val="89"/>
        </w:numPr>
        <w:tabs>
          <w:tab w:val="left" w:pos="206"/>
        </w:tabs>
        <w:spacing w:line="240" w:lineRule="auto"/>
        <w:ind w:left="43"/>
        <w:rPr>
          <w:sz w:val="16"/>
          <w:szCs w:val="16"/>
        </w:rPr>
      </w:pPr>
      <w:r>
        <w:rPr>
          <w:sz w:val="16"/>
          <w:szCs w:val="16"/>
        </w:rPr>
        <w:t>Las dosis corresponden a niños de un mes de vida o mayores.</w:t>
      </w:r>
    </w:p>
    <w:p w14:paraId="38CCA597" w14:textId="77777777" w:rsidR="00D03C17" w:rsidRDefault="00D03C17">
      <w:pPr>
        <w:pStyle w:val="Tablecaption0"/>
        <w:numPr>
          <w:ilvl w:val="0"/>
          <w:numId w:val="89"/>
        </w:numPr>
        <w:tabs>
          <w:tab w:val="left" w:pos="221"/>
        </w:tabs>
        <w:spacing w:line="240" w:lineRule="auto"/>
        <w:ind w:left="43"/>
        <w:rPr>
          <w:sz w:val="16"/>
          <w:szCs w:val="16"/>
        </w:rPr>
      </w:pPr>
      <w:r>
        <w:rPr>
          <w:sz w:val="16"/>
          <w:szCs w:val="16"/>
        </w:rPr>
        <w:t>Debido a que 1 U = 0.6 mg/ml, estos límites equivalen a 150 a 240 mg/kg de peso al día.</w:t>
      </w:r>
    </w:p>
    <w:p w14:paraId="1DF96687" w14:textId="77777777" w:rsidR="00D03C17" w:rsidRDefault="00D03C17">
      <w:pPr>
        <w:pStyle w:val="Tablecaption0"/>
        <w:numPr>
          <w:ilvl w:val="0"/>
          <w:numId w:val="89"/>
        </w:numPr>
        <w:tabs>
          <w:tab w:val="left" w:pos="206"/>
        </w:tabs>
        <w:spacing w:line="240" w:lineRule="auto"/>
        <w:ind w:left="43"/>
        <w:rPr>
          <w:sz w:val="16"/>
          <w:szCs w:val="16"/>
        </w:rPr>
      </w:pPr>
      <w:r>
        <w:rPr>
          <w:sz w:val="16"/>
          <w:szCs w:val="16"/>
        </w:rPr>
        <w:t>No se han definido en detalle las indicaciones para su uso.</w:t>
      </w:r>
    </w:p>
    <w:p w14:paraId="03DF0643" w14:textId="77777777" w:rsidR="00D03C17" w:rsidRDefault="00D03C17">
      <w:pPr>
        <w:pStyle w:val="Tablecaption0"/>
        <w:numPr>
          <w:ilvl w:val="0"/>
          <w:numId w:val="89"/>
        </w:numPr>
        <w:tabs>
          <w:tab w:val="left" w:pos="41"/>
        </w:tabs>
        <w:spacing w:line="240" w:lineRule="auto"/>
        <w:ind w:left="43"/>
        <w:rPr>
          <w:sz w:val="16"/>
          <w:szCs w:val="16"/>
        </w:rPr>
      </w:pPr>
      <w:r>
        <w:rPr>
          <w:sz w:val="16"/>
          <w:szCs w:val="16"/>
        </w:rPr>
        <w:t>Hay que pensar en el uso del fármaco sólo en niños con una respuesta alérgica letal después de administrar cualquier antimicrobiano lactámico beta.</w:t>
      </w:r>
    </w:p>
    <w:p w14:paraId="1DFFFB2E" w14:textId="77777777" w:rsidR="00D03C17" w:rsidRDefault="00D03C17">
      <w:pPr>
        <w:pStyle w:val="Tablecaption0"/>
        <w:numPr>
          <w:ilvl w:val="0"/>
          <w:numId w:val="89"/>
        </w:numPr>
        <w:tabs>
          <w:tab w:val="left" w:pos="216"/>
        </w:tabs>
        <w:spacing w:line="240" w:lineRule="auto"/>
        <w:ind w:left="43"/>
        <w:rPr>
          <w:sz w:val="16"/>
          <w:szCs w:val="16"/>
        </w:rPr>
      </w:pPr>
      <w:r>
        <w:rPr>
          <w:sz w:val="16"/>
          <w:szCs w:val="16"/>
        </w:rPr>
        <w:t>Se aprueba el uso de fármaco para niños de tres meses de edad y mayores.</w:t>
      </w:r>
    </w:p>
    <w:p w14:paraId="0053C817" w14:textId="77777777" w:rsidR="00D03C17" w:rsidRDefault="00D03C17">
      <w:pPr>
        <w:pStyle w:val="Tablecaption0"/>
        <w:numPr>
          <w:ilvl w:val="0"/>
          <w:numId w:val="89"/>
        </w:numPr>
        <w:tabs>
          <w:tab w:val="left" w:pos="26"/>
        </w:tabs>
        <w:spacing w:line="240" w:lineRule="auto"/>
        <w:ind w:left="43"/>
        <w:rPr>
          <w:sz w:val="16"/>
          <w:szCs w:val="16"/>
        </w:rPr>
      </w:pPr>
      <w:r>
        <w:rPr>
          <w:sz w:val="16"/>
          <w:szCs w:val="16"/>
        </w:rPr>
        <w:t>No se ha aprobado el fármaco para utilizar en niños menores de 12 años y no se recomienda en pacientes de meningitis por sus capacidades epileptógenas posibles.</w:t>
      </w:r>
    </w:p>
    <w:p w14:paraId="292FCC8F" w14:textId="77777777" w:rsidR="00D03C17" w:rsidRDefault="00D03C17">
      <w:pPr>
        <w:spacing w:after="419" w:line="1" w:lineRule="exact"/>
      </w:pPr>
    </w:p>
    <w:p w14:paraId="29C75841" w14:textId="77777777" w:rsidR="00D03C17" w:rsidRDefault="00D03C17">
      <w:pPr>
        <w:pStyle w:val="BodyText"/>
        <w:ind w:left="540"/>
      </w:pPr>
      <w:r>
        <w:t>condición de que no estén en estado crítico. Si lo están, habrá que pensar en emprender la administración de vancomicina, junto con cefotaxima y ceftriaxona. Habrá que interrumpir el uso de vancomicina tan pronto los resultados de las pruebas de susceptibilidad indican que se cuenta con antimicrobianos eficaces de otro tipo.</w:t>
      </w:r>
    </w:p>
    <w:p w14:paraId="5F91705B" w14:textId="77777777" w:rsidR="00D03C17" w:rsidRDefault="00D03C17">
      <w:pPr>
        <w:pStyle w:val="BodyText"/>
        <w:spacing w:line="298" w:lineRule="auto"/>
        <w:ind w:left="540" w:firstLine="360"/>
      </w:pPr>
      <w:r>
        <w:rPr>
          <w:rFonts w:ascii="Arial" w:eastAsia="Arial" w:hAnsi="Arial" w:cs="Arial"/>
          <w:b/>
          <w:bCs/>
          <w:i/>
          <w:iCs/>
          <w:sz w:val="15"/>
          <w:szCs w:val="15"/>
        </w:rPr>
        <w:t>Dosis.</w:t>
      </w:r>
      <w:r>
        <w:t xml:space="preserve"> Las dosis recomendadas de antimicrobianos intravenosos para tratar infecciones neumocócicas invasoras se incluyen en el cuadro 3-49.</w:t>
      </w:r>
    </w:p>
    <w:p w14:paraId="69903C7B" w14:textId="77777777" w:rsidR="00D03C17" w:rsidRDefault="00D03C17">
      <w:pPr>
        <w:pStyle w:val="BodyText"/>
        <w:spacing w:line="276" w:lineRule="auto"/>
        <w:ind w:left="540" w:firstLine="360"/>
      </w:pPr>
      <w:r>
        <w:rPr>
          <w:rFonts w:ascii="Arial" w:eastAsia="Arial" w:hAnsi="Arial" w:cs="Arial"/>
          <w:b/>
          <w:bCs/>
          <w:i/>
          <w:iCs/>
          <w:sz w:val="15"/>
          <w:szCs w:val="15"/>
        </w:rPr>
        <w:t>Otitis media.</w:t>
      </w:r>
      <w:r>
        <w:t xml:space="preserve"> Casi todos los expertos recomiendan iniciar el tratamiento de la otitis media aguda (acute otitis media, AOM), sobre bases empíricas que incluyan dosis altas de amoxicilina ingerible (80 mg/kg al día). La duración corriente de la terapia es de 10 días, pero pueden ser tratados durante cinco días niños mayores de dos años de edad con la enfermedad no complicada. Con base en las concentraciones en el líquido del oído medio y la actividad in vitro, ninguno de los antimicrobianos ingeribles de que se dispone hoy día tiene mayor actividad que la amoxicilina contra </w:t>
      </w:r>
      <w:r>
        <w:rPr>
          <w:rFonts w:ascii="Times New Roman" w:eastAsia="Times New Roman" w:hAnsi="Times New Roman" w:cs="Times New Roman"/>
          <w:i/>
          <w:iCs/>
          <w:sz w:val="16"/>
          <w:szCs w:val="16"/>
        </w:rPr>
        <w:t>5. pneumoniae</w:t>
      </w:r>
      <w:r>
        <w:t xml:space="preserve"> no susceptibles.</w:t>
      </w:r>
    </w:p>
    <w:p w14:paraId="5D6D2A53" w14:textId="77777777" w:rsidR="00D03C17" w:rsidRDefault="00D03C17">
      <w:pPr>
        <w:pStyle w:val="BodyText"/>
        <w:ind w:left="540" w:firstLine="360"/>
      </w:pPr>
      <w:r>
        <w:t xml:space="preserve">En el caso de niños en quienes ha sido ineficaz el tratamiento clínicamente definido cuando se valoran después de tres a cinco días de haberlo emprendido, los otros agentes idóneos deben mostrar actividad contra neumococos no susceptibles a penicilina y también contra </w:t>
      </w:r>
      <w:r>
        <w:rPr>
          <w:rFonts w:ascii="Times New Roman" w:eastAsia="Times New Roman" w:hAnsi="Times New Roman" w:cs="Times New Roman"/>
          <w:i/>
          <w:iCs/>
          <w:sz w:val="16"/>
          <w:szCs w:val="16"/>
        </w:rPr>
        <w:t>Haemophilus influenza</w:t>
      </w:r>
      <w:r>
        <w:t xml:space="preserve"> y </w:t>
      </w:r>
      <w:r>
        <w:rPr>
          <w:rFonts w:ascii="Times New Roman" w:eastAsia="Times New Roman" w:hAnsi="Times New Roman" w:cs="Times New Roman"/>
          <w:i/>
          <w:iCs/>
          <w:sz w:val="16"/>
          <w:szCs w:val="16"/>
        </w:rPr>
        <w:t>Moraxella catarrhalis</w:t>
      </w:r>
      <w:r>
        <w:t xml:space="preserve"> productores de lactamasa beta. Los agentes en cuestión incluyen las formas ingeribles de cefdinir y cefuroxima axetilo, la forma intramuscular de ceftriaxona y la combinación de amoxicilina-clavulanato ingerible, en altas dosis. Esta última debe administrarse a razón de 80 mg/kg de peso al día (componente de amoxicilina [p. ej., la presentación 7:1]) para disminuir la incidencia de diarrea. Otros fármacos a los que cabe recurrir en caso de niños alérgicos a la penicilina son la combinación de eritromicina-sulfisoxazol etilo, claritromicina y azitromicina dihidratada.</w:t>
      </w:r>
    </w:p>
    <w:p w14:paraId="3FFDA4B8" w14:textId="77777777" w:rsidR="00D03C17" w:rsidRDefault="00D03C17">
      <w:pPr>
        <w:pStyle w:val="BodyText"/>
        <w:ind w:firstLine="360"/>
      </w:pPr>
      <w:r>
        <w:t xml:space="preserve">Conviene analizar la posibilidad de hacer miringotomía si repetidamente el tratamiento es ineficaz o en casos graves para obtener material de cultivo en qué basar el tratamiento. Si se identifican cepas de </w:t>
      </w:r>
      <w:r>
        <w:rPr>
          <w:rFonts w:ascii="Times New Roman" w:eastAsia="Times New Roman" w:hAnsi="Times New Roman" w:cs="Times New Roman"/>
          <w:i/>
          <w:iCs/>
          <w:sz w:val="16"/>
          <w:szCs w:val="16"/>
        </w:rPr>
        <w:t>S. pneumoniae</w:t>
      </w:r>
      <w:r>
        <w:t xml:space="preserve"> resistentes a múltiples fármacos, habrá que pensar en el uso de clindamicina, rifampicina u otros agentes, después de consultar con un infectólogo.</w:t>
      </w:r>
    </w:p>
    <w:p w14:paraId="00A4F646" w14:textId="77777777" w:rsidR="00D03C17" w:rsidRDefault="00D03C17">
      <w:pPr>
        <w:pStyle w:val="BodyText"/>
        <w:spacing w:line="276" w:lineRule="auto"/>
        <w:ind w:firstLine="360"/>
      </w:pPr>
      <w:r>
        <w:rPr>
          <w:rFonts w:ascii="Arial" w:eastAsia="Arial" w:hAnsi="Arial" w:cs="Arial"/>
          <w:b/>
          <w:bCs/>
          <w:i/>
          <w:iCs/>
          <w:sz w:val="15"/>
          <w:szCs w:val="15"/>
        </w:rPr>
        <w:t>Sinusitis.</w:t>
      </w:r>
      <w:r>
        <w:t xml:space="preserve"> Es posible que los antimicrobianos que son eficaces para tratar la otitis media aguda lo sean también contra la sinusitis aguda, y se recomienda su uso. </w:t>
      </w:r>
      <w:r>
        <w:rPr>
          <w:b/>
          <w:bCs/>
          <w:smallCaps/>
          <w:sz w:val="20"/>
          <w:szCs w:val="20"/>
        </w:rPr>
        <w:t>A</w:t>
      </w:r>
      <w:r>
        <w:rPr>
          <w:b/>
          <w:bCs/>
          <w:smallCaps/>
          <w:sz w:val="16"/>
          <w:szCs w:val="16"/>
        </w:rPr>
        <w:t>islamiento del paciente hospitalizado</w:t>
      </w:r>
      <w:r>
        <w:rPr>
          <w:b/>
          <w:bCs/>
          <w:smallCaps/>
          <w:sz w:val="20"/>
          <w:szCs w:val="20"/>
        </w:rPr>
        <w:t>:</w:t>
      </w:r>
      <w:r>
        <w:t xml:space="preserve"> Se recomienda seguir las precauciones estándar, incluso para niños con infecciones causadas por </w:t>
      </w:r>
      <w:r>
        <w:rPr>
          <w:rFonts w:ascii="Times New Roman" w:eastAsia="Times New Roman" w:hAnsi="Times New Roman" w:cs="Times New Roman"/>
          <w:i/>
          <w:iCs/>
          <w:sz w:val="16"/>
          <w:szCs w:val="16"/>
        </w:rPr>
        <w:t xml:space="preserve">S. pneumoniae </w:t>
      </w:r>
      <w:r>
        <w:t>farmacorresistente.</w:t>
      </w:r>
    </w:p>
    <w:p w14:paraId="53887D39" w14:textId="77777777" w:rsidR="00D03C17" w:rsidRDefault="00D03C17">
      <w:pPr>
        <w:pStyle w:val="Other0"/>
        <w:spacing w:line="257" w:lineRule="auto"/>
        <w:ind w:firstLine="0"/>
        <w:rPr>
          <w:sz w:val="20"/>
          <w:szCs w:val="20"/>
        </w:rPr>
      </w:pPr>
      <w:r>
        <w:rPr>
          <w:b/>
          <w:bCs/>
          <w:smallCaps/>
          <w:sz w:val="20"/>
          <w:szCs w:val="20"/>
        </w:rPr>
        <w:t>M</w:t>
      </w:r>
      <w:r>
        <w:rPr>
          <w:b/>
          <w:bCs/>
          <w:smallCaps/>
          <w:sz w:val="16"/>
          <w:szCs w:val="16"/>
        </w:rPr>
        <w:t>edidas preventivas</w:t>
      </w:r>
      <w:r>
        <w:rPr>
          <w:b/>
          <w:bCs/>
          <w:smallCaps/>
          <w:sz w:val="20"/>
          <w:szCs w:val="20"/>
        </w:rPr>
        <w:t>:</w:t>
      </w:r>
    </w:p>
    <w:p w14:paraId="3638CA7A" w14:textId="77777777" w:rsidR="00D03C17" w:rsidRDefault="00D03C17">
      <w:pPr>
        <w:pStyle w:val="BodyText"/>
        <w:spacing w:line="276" w:lineRule="auto"/>
        <w:ind w:firstLine="0"/>
      </w:pPr>
      <w:r>
        <w:rPr>
          <w:rFonts w:ascii="Arial" w:eastAsia="Arial" w:hAnsi="Arial" w:cs="Arial"/>
          <w:b/>
          <w:bCs/>
          <w:i/>
          <w:iCs/>
          <w:sz w:val="15"/>
          <w:szCs w:val="15"/>
        </w:rPr>
        <w:t>Inmunización activa.</w:t>
      </w:r>
      <w:r>
        <w:t xml:space="preserve"> Se cuenta con dos vacunas a base de neumococos para utilizar en niños, que son las vacunas heptavalente de conjugado neumocócico </w:t>
      </w:r>
      <w:r>
        <w:rPr>
          <w:i/>
          <w:iCs/>
        </w:rPr>
        <w:t>([</w:t>
      </w:r>
      <w:r>
        <w:rPr>
          <w:rFonts w:ascii="Times New Roman" w:eastAsia="Times New Roman" w:hAnsi="Times New Roman" w:cs="Times New Roman"/>
          <w:i/>
          <w:iCs/>
          <w:sz w:val="16"/>
          <w:szCs w:val="16"/>
        </w:rPr>
        <w:t>pneumococcal conjugate vaccine</w:t>
      </w:r>
      <w:r>
        <w:rPr>
          <w:i/>
          <w:iCs/>
        </w:rPr>
        <w:t>,</w:t>
      </w:r>
      <w:r>
        <w:t xml:space="preserve"> PCV]7 [Prevnar, Lederle Laboratorios, Pearl River, NY, distribuida por Wyeth-Ayerst Pharmaceuticals, Filadelfia, PA]) compuesta de polisacáridos purificados de los siete serotipos (4, 6B, 9V, 14, 18C, 19F y 23F) conjugados por una proteína de difteria (CRM197) y también la vacuna hecha de polisacárido neumocócico con 23 valencias (PS23) compuestas de 23 polisacáridos capsulares purificados (Pneumovax, Merck &amp; Co Inc, West Point, PA). Las dos presentaciones de la vacuna no contienen timerosal. Las dosis recomendadas de cada vacuna es de 0.5 ml por vía intramuscular. La vacuna PS23 induce una respuesta protectora de anticuerpos contra los serotipos neumocócicos más comunes en niños de dos años de vida o mayores, y la vacuna PCV7 también induce el mismo tipo de respuesta protectora en niños menores de dos años de vida. Los siete serotipos cuyos polisacáridos están contenidos en la vacuna PCV7 son los que causan en promedio 88% de los casos de bacteriemia, 82% de los casos de meningitis y 70% de los casos de otitis media neumocócica en niños estadounidenses menores de seis años de vida. Se sabe que 80% de las cepas no susceptibles a penicilina pertenece a uno de los siete serotipos.</w:t>
      </w:r>
    </w:p>
    <w:p w14:paraId="3BBC764C" w14:textId="77777777" w:rsidR="00D03C17" w:rsidRDefault="00D03C17">
      <w:pPr>
        <w:pStyle w:val="BodyText"/>
        <w:spacing w:after="360" w:line="276" w:lineRule="auto"/>
        <w:ind w:firstLine="360"/>
      </w:pPr>
      <w:r>
        <w:rPr>
          <w:rFonts w:ascii="Arial" w:eastAsia="Arial" w:hAnsi="Arial" w:cs="Arial"/>
          <w:b/>
          <w:bCs/>
          <w:i/>
          <w:iCs/>
          <w:sz w:val="15"/>
          <w:szCs w:val="15"/>
        </w:rPr>
        <w:t>Vacunación corriente con el preparado a base de conjugado neumocócico.</w:t>
      </w:r>
      <w:r>
        <w:t xml:space="preserve"> Se recomienda la administración sistemática de la vacuna PCV7, en una serie de cuatro dosis en todos los niños de 23 meses de vida y menores, y el calendario incluye los dos, cuatro, seis y 12 a 15 meses de edad (cuadro 3-50). Cada dosis de 0.5 ml de PCV7 debe aplicarse por vía intramuscular. Los lactantes comenzarán la serie de vacunaciones con dicho preparado junto con la aplicación de otras vacunas recomendadas para la fecha en que se haga la primera visita de mantenimiento, programada regularmente, después de las seis semanas de vida, como mínimo. Es importante vacunar a los niños de muy bajo peso neonatal (1 500 g o menores) en la fecha en que alcanzan la edad cronológica de seis a ocho semanas, sea cual sea la edad gestacional calculada. Se aplicarán todas las dosis de PCV7 junto con las demás vacunas propias de la niñez incluidos los toxoides de difteria y tétanos y la vacuna acelular de tos ferina </w:t>
      </w:r>
      <w:r>
        <w:rPr>
          <w:i/>
          <w:iCs/>
        </w:rPr>
        <w:t>(</w:t>
      </w:r>
      <w:r>
        <w:rPr>
          <w:rFonts w:ascii="Times New Roman" w:eastAsia="Times New Roman" w:hAnsi="Times New Roman" w:cs="Times New Roman"/>
          <w:i/>
          <w:iCs/>
          <w:sz w:val="16"/>
          <w:szCs w:val="16"/>
        </w:rPr>
        <w:t>diphtheria and tetanus toxoids and acellular pertussis</w:t>
      </w:r>
      <w:r>
        <w:rPr>
          <w:i/>
          <w:iCs/>
        </w:rPr>
        <w:t>,</w:t>
      </w:r>
      <w:r>
        <w:t xml:space="preserve"> DTaP); todas las vacunas de </w:t>
      </w:r>
      <w:r>
        <w:rPr>
          <w:rFonts w:ascii="Times New Roman" w:eastAsia="Times New Roman" w:hAnsi="Times New Roman" w:cs="Times New Roman"/>
          <w:i/>
          <w:iCs/>
          <w:sz w:val="16"/>
          <w:szCs w:val="16"/>
        </w:rPr>
        <w:t xml:space="preserve">H. influenzae </w:t>
      </w:r>
      <w:r>
        <w:t>de tipo b, contra hepatitis B, de virus poliomielítico inactivado (o ingerible); de sarampión-parotiditis-rubéola y la vacuna contra la varicela, y para ello se utilizarán jeringuillas separadas para cada uno de los productos biológicos y cada vacuna se aplicará en un sitio distinto. En el caso de niños de 23 meses de vida y menores que no han recibido la primera dosis de PCV7 antes de los seis meses de vida, hay que seguir</w:t>
      </w:r>
      <w:r>
        <w:br w:type="page"/>
        <w:t>un plan que incluya un número menor de dosis, con base en los datos del cuadro 3-50. Los niños de 23 meses o menores que comienzan la serie de vacunas para estar al</w:t>
      </w:r>
    </w:p>
    <w:p w14:paraId="4813227E" w14:textId="77777777" w:rsidR="00D03C17" w:rsidRDefault="00D03C17">
      <w:pPr>
        <w:pStyle w:val="Heading31"/>
        <w:keepNext/>
        <w:keepLines/>
        <w:spacing w:after="40" w:line="211" w:lineRule="auto"/>
        <w:jc w:val="center"/>
      </w:pPr>
      <w:bookmarkStart w:id="154" w:name="bookmark1182"/>
      <w:bookmarkStart w:id="155" w:name="bookmark1183"/>
      <w:bookmarkStart w:id="156" w:name="bookmark1184"/>
      <w:r>
        <w:rPr>
          <w:b w:val="0"/>
          <w:bCs w:val="0"/>
        </w:rPr>
        <w:t xml:space="preserve">Cuadro 3-50. </w:t>
      </w:r>
      <w:r>
        <w:t>Plan recomendado para dosis de PCV7, incluidas las</w:t>
      </w:r>
      <w:r>
        <w:br/>
        <w:t>vacunaciones para poner al corriente a niños que no estaban vacunados</w:t>
      </w:r>
      <w:bookmarkEnd w:id="154"/>
      <w:bookmarkEnd w:id="155"/>
      <w:bookmarkEnd w:id="156"/>
    </w:p>
    <w:p w14:paraId="211F104B" w14:textId="77777777" w:rsidR="00D03C17" w:rsidRDefault="00D03C17">
      <w:pPr>
        <w:pStyle w:val="Heading41"/>
        <w:keepNext/>
        <w:keepLines/>
        <w:pBdr>
          <w:top w:val="single" w:sz="0" w:space="0" w:color="231F20"/>
          <w:left w:val="single" w:sz="0" w:space="0" w:color="231F20"/>
          <w:bottom w:val="single" w:sz="0" w:space="3" w:color="231F20"/>
          <w:right w:val="single" w:sz="0" w:space="0" w:color="231F20"/>
        </w:pBdr>
        <w:shd w:val="clear" w:color="auto" w:fill="231F20"/>
        <w:ind w:firstLine="580"/>
        <w:jc w:val="both"/>
      </w:pPr>
      <w:bookmarkStart w:id="157" w:name="bookmark1185"/>
      <w:bookmarkStart w:id="158" w:name="bookmark1186"/>
      <w:bookmarkStart w:id="159" w:name="bookmark1187"/>
      <w:r>
        <w:rPr>
          <w:color w:val="FFFFFF"/>
        </w:rPr>
        <w:t>Edad en que se aplicó la primera dosis Fecha de la serie de vacunas</w:t>
      </w:r>
      <w:bookmarkEnd w:id="157"/>
      <w:bookmarkEnd w:id="158"/>
      <w:bookmarkEnd w:id="159"/>
    </w:p>
    <w:p w14:paraId="3FC0E2E4" w14:textId="77777777" w:rsidR="00D03C17" w:rsidRDefault="00D03C17">
      <w:pPr>
        <w:spacing w:line="1" w:lineRule="exact"/>
      </w:pPr>
      <w:r>
        <w:rPr>
          <w:noProof/>
        </w:rPr>
        <mc:AlternateContent>
          <mc:Choice Requires="wps">
            <w:drawing>
              <wp:anchor distT="3175" distB="6350" distL="0" distR="0" simplePos="0" relativeHeight="251663360" behindDoc="0" locked="0" layoutInCell="1" allowOverlap="1" wp14:anchorId="2D940D0F" wp14:editId="23C5B42B">
                <wp:simplePos x="0" y="0"/>
                <wp:positionH relativeFrom="page">
                  <wp:posOffset>547370</wp:posOffset>
                </wp:positionH>
                <wp:positionV relativeFrom="paragraph">
                  <wp:posOffset>3175</wp:posOffset>
                </wp:positionV>
                <wp:extent cx="2045335" cy="1106170"/>
                <wp:effectExtent l="0" t="0" r="0" b="0"/>
                <wp:wrapTopAndBottom/>
                <wp:docPr id="1505" name="Shape 1505"/>
                <wp:cNvGraphicFramePr/>
                <a:graphic xmlns:a="http://schemas.openxmlformats.org/drawingml/2006/main">
                  <a:graphicData uri="http://schemas.microsoft.com/office/word/2010/wordprocessingShape">
                    <wps:wsp>
                      <wps:cNvSpPr txBox="1"/>
                      <wps:spPr>
                        <a:xfrm>
                          <a:off x="0" y="0"/>
                          <a:ext cx="2045335" cy="1106170"/>
                        </a:xfrm>
                        <a:prstGeom prst="rect">
                          <a:avLst/>
                        </a:prstGeom>
                        <a:noFill/>
                      </wps:spPr>
                      <wps:txbx>
                        <w:txbxContent>
                          <w:p w14:paraId="0E9A0235" w14:textId="77777777" w:rsidR="00D03C17" w:rsidRDefault="00D03C17">
                            <w:pPr>
                              <w:pStyle w:val="Bodytext20"/>
                              <w:spacing w:after="240" w:line="240" w:lineRule="auto"/>
                            </w:pPr>
                            <w:r>
                              <w:t>2 a 6 meses</w:t>
                            </w:r>
                          </w:p>
                          <w:p w14:paraId="455361CD" w14:textId="77777777" w:rsidR="00D03C17" w:rsidRDefault="00D03C17">
                            <w:pPr>
                              <w:pStyle w:val="Bodytext20"/>
                              <w:spacing w:after="240" w:line="240" w:lineRule="auto"/>
                            </w:pPr>
                            <w:r>
                              <w:t>7 a 11 meses</w:t>
                            </w:r>
                          </w:p>
                          <w:p w14:paraId="2ADBD84E" w14:textId="77777777" w:rsidR="00D03C17" w:rsidRDefault="00D03C17">
                            <w:pPr>
                              <w:pStyle w:val="Bodytext20"/>
                              <w:spacing w:line="240" w:lineRule="auto"/>
                            </w:pPr>
                            <w:r>
                              <w:t>12 a 23 meses</w:t>
                            </w:r>
                          </w:p>
                          <w:p w14:paraId="4F05F237" w14:textId="77777777" w:rsidR="00D03C17" w:rsidRDefault="00D03C17">
                            <w:pPr>
                              <w:pStyle w:val="Bodytext20"/>
                              <w:spacing w:line="240" w:lineRule="auto"/>
                            </w:pPr>
                            <w:r>
                              <w:t>24 a 59 meses</w:t>
                            </w:r>
                          </w:p>
                          <w:p w14:paraId="322A0591" w14:textId="77777777" w:rsidR="00D03C17" w:rsidRDefault="00D03C17">
                            <w:pPr>
                              <w:pStyle w:val="Bodytext20"/>
                              <w:spacing w:line="240" w:lineRule="auto"/>
                            </w:pPr>
                            <w:r>
                              <w:t>Niño inmunocompetente</w:t>
                            </w:r>
                          </w:p>
                          <w:p w14:paraId="1124607F" w14:textId="77777777" w:rsidR="00D03C17" w:rsidRDefault="00D03C17">
                            <w:pPr>
                              <w:pStyle w:val="Bodytext20"/>
                              <w:spacing w:after="120" w:line="240" w:lineRule="auto"/>
                            </w:pPr>
                            <w:r>
                              <w:t>Alto riesgo, incluido niño inmunodeficiente</w:t>
                            </w:r>
                          </w:p>
                        </w:txbxContent>
                      </wps:txbx>
                      <wps:bodyPr lIns="0" tIns="0" rIns="0" bIns="0"/>
                    </wps:wsp>
                  </a:graphicData>
                </a:graphic>
              </wp:anchor>
            </w:drawing>
          </mc:Choice>
          <mc:Fallback>
            <w:pict>
              <v:shape w14:anchorId="2D940D0F" id="Shape 1505" o:spid="_x0000_s1030" type="#_x0000_t202" style="position:absolute;margin-left:43.1pt;margin-top:.25pt;width:161.05pt;height:87.1pt;z-index:251663360;visibility:visible;mso-wrap-style:square;mso-wrap-distance-left:0;mso-wrap-distance-top:.25pt;mso-wrap-distance-right:0;mso-wrap-distance-bottom:.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" filled="f" stroked="f">
                <v:textbox inset="0,0,0,0">
                  <w:txbxContent>
                    <w:p w14:paraId="0E9A0235" w14:textId="77777777" w:rsidR="00D03C17" w:rsidRDefault="00D03C17">
                      <w:pPr>
                        <w:pStyle w:val="Bodytext20"/>
                        <w:spacing w:after="240" w:line="240" w:lineRule="auto"/>
                      </w:pPr>
                      <w:r>
                        <w:t>2 a 6 meses</w:t>
                      </w:r>
                    </w:p>
                    <w:p w14:paraId="455361CD" w14:textId="77777777" w:rsidR="00D03C17" w:rsidRDefault="00D03C17">
                      <w:pPr>
                        <w:pStyle w:val="Bodytext20"/>
                        <w:spacing w:after="240" w:line="240" w:lineRule="auto"/>
                      </w:pPr>
                      <w:r>
                        <w:t>7 a 11 meses</w:t>
                      </w:r>
                    </w:p>
                    <w:p w14:paraId="2ADBD84E" w14:textId="77777777" w:rsidR="00D03C17" w:rsidRDefault="00D03C17">
                      <w:pPr>
                        <w:pStyle w:val="Bodytext20"/>
                        <w:spacing w:line="240" w:lineRule="auto"/>
                      </w:pPr>
                      <w:r>
                        <w:t>12 a 23 meses</w:t>
                      </w:r>
                    </w:p>
                    <w:p w14:paraId="4F05F237" w14:textId="77777777" w:rsidR="00D03C17" w:rsidRDefault="00D03C17">
                      <w:pPr>
                        <w:pStyle w:val="Bodytext20"/>
                        <w:spacing w:line="240" w:lineRule="auto"/>
                      </w:pPr>
                      <w:r>
                        <w:t>24 a 59 meses</w:t>
                      </w:r>
                    </w:p>
                    <w:p w14:paraId="322A0591" w14:textId="77777777" w:rsidR="00D03C17" w:rsidRDefault="00D03C17">
                      <w:pPr>
                        <w:pStyle w:val="Bodytext20"/>
                        <w:spacing w:line="240" w:lineRule="auto"/>
                      </w:pPr>
                      <w:r>
                        <w:t>Niño inmunocompetente</w:t>
                      </w:r>
                    </w:p>
                    <w:p w14:paraId="1124607F" w14:textId="77777777" w:rsidR="00D03C17" w:rsidRDefault="00D03C17">
                      <w:pPr>
                        <w:pStyle w:val="Bodytext20"/>
                        <w:spacing w:after="120" w:line="240" w:lineRule="auto"/>
                      </w:pPr>
                      <w:r>
                        <w:t>Alto riesgo, incluido niño inmunodeficiente</w:t>
                      </w:r>
                    </w:p>
                  </w:txbxContent>
                </v:textbox>
                <w10:wrap type="topAndBottom" anchorx="page"/>
              </v:shape>
            </w:pict>
          </mc:Fallback>
        </mc:AlternateContent>
      </w:r>
      <w:r>
        <w:rPr>
          <w:noProof/>
        </w:rPr>
        <mc:AlternateContent>
          <mc:Choice Requires="wps">
            <w:drawing>
              <wp:anchor distT="0" distB="0" distL="0" distR="0" simplePos="0" relativeHeight="251664384" behindDoc="0" locked="0" layoutInCell="1" allowOverlap="1" wp14:anchorId="729DA68A" wp14:editId="250B02EE">
                <wp:simplePos x="0" y="0"/>
                <wp:positionH relativeFrom="page">
                  <wp:posOffset>2674620</wp:posOffset>
                </wp:positionH>
                <wp:positionV relativeFrom="paragraph">
                  <wp:posOffset>0</wp:posOffset>
                </wp:positionV>
                <wp:extent cx="2148840" cy="1115695"/>
                <wp:effectExtent l="0" t="0" r="0" b="0"/>
                <wp:wrapTopAndBottom/>
                <wp:docPr id="1507" name="Shape 1507"/>
                <wp:cNvGraphicFramePr/>
                <a:graphic xmlns:a="http://schemas.openxmlformats.org/drawingml/2006/main">
                  <a:graphicData uri="http://schemas.microsoft.com/office/word/2010/wordprocessingShape">
                    <wps:wsp>
                      <wps:cNvSpPr txBox="1"/>
                      <wps:spPr>
                        <a:xfrm>
                          <a:off x="0" y="0"/>
                          <a:ext cx="2148840" cy="1115695"/>
                        </a:xfrm>
                        <a:prstGeom prst="rect">
                          <a:avLst/>
                        </a:prstGeom>
                        <a:noFill/>
                      </wps:spPr>
                      <wps:txbx>
                        <w:txbxContent>
                          <w:p w14:paraId="1F68FED8" w14:textId="77777777" w:rsidR="00D03C17" w:rsidRDefault="00D03C17">
                            <w:pPr>
                              <w:pStyle w:val="Bodytext20"/>
                            </w:pPr>
                            <w:r>
                              <w:t>3 dosis con diferencia de 6 a 8 semanas para seguir con una dosis a los 12-15 meses de vida</w:t>
                            </w:r>
                          </w:p>
                          <w:p w14:paraId="1A055998" w14:textId="77777777" w:rsidR="00D03C17" w:rsidRDefault="00D03C17">
                            <w:pPr>
                              <w:pStyle w:val="Bodytext20"/>
                            </w:pPr>
                            <w:r>
                              <w:t>2 dosis, con una diferencia de 6 a 8 semanas, para seguir con una dosis a los 12-15 meses</w:t>
                            </w:r>
                          </w:p>
                          <w:p w14:paraId="5A4AEDBD" w14:textId="77777777" w:rsidR="00D03C17" w:rsidRDefault="00D03C17">
                            <w:pPr>
                              <w:pStyle w:val="Bodytext20"/>
                              <w:spacing w:after="200"/>
                            </w:pPr>
                            <w:r>
                              <w:t>2 dosis con diferencia de 6 a 8 semanas</w:t>
                            </w:r>
                          </w:p>
                          <w:p w14:paraId="078F5D7B" w14:textId="77777777" w:rsidR="00D03C17" w:rsidRDefault="00D03C17">
                            <w:pPr>
                              <w:pStyle w:val="Bodytext20"/>
                              <w:numPr>
                                <w:ilvl w:val="0"/>
                                <w:numId w:val="86"/>
                              </w:numPr>
                              <w:tabs>
                                <w:tab w:val="left" w:pos="125"/>
                              </w:tabs>
                            </w:pPr>
                            <w:bookmarkStart w:id="160" w:name="bookmark1125"/>
                            <w:bookmarkEnd w:id="160"/>
                            <w:r>
                              <w:t>dosis</w:t>
                            </w:r>
                          </w:p>
                          <w:p w14:paraId="2201E7CA" w14:textId="77777777" w:rsidR="00D03C17" w:rsidRDefault="00D03C17">
                            <w:pPr>
                              <w:pStyle w:val="Bodytext20"/>
                              <w:numPr>
                                <w:ilvl w:val="0"/>
                                <w:numId w:val="86"/>
                              </w:numPr>
                              <w:tabs>
                                <w:tab w:val="left" w:pos="134"/>
                              </w:tabs>
                            </w:pPr>
                            <w:bookmarkStart w:id="161" w:name="bookmark1126"/>
                            <w:bookmarkEnd w:id="161"/>
                            <w:r>
                              <w:t>dosis, con diferencia de 6 a 8 semanas</w:t>
                            </w:r>
                          </w:p>
                        </w:txbxContent>
                      </wps:txbx>
                      <wps:bodyPr lIns="0" tIns="0" rIns="0" bIns="0"/>
                    </wps:wsp>
                  </a:graphicData>
                </a:graphic>
              </wp:anchor>
            </w:drawing>
          </mc:Choice>
          <mc:Fallback>
            <w:pict>
              <v:shape w14:anchorId="729DA68A" id="Shape 1507" o:spid="_x0000_s1031" type="#_x0000_t202" style="position:absolute;margin-left:210.6pt;margin-top:0;width:169.2pt;height:87.85pt;z-index:251664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" filled="f" stroked="f">
                <v:textbox inset="0,0,0,0">
                  <w:txbxContent>
                    <w:p w14:paraId="1F68FED8" w14:textId="77777777" w:rsidR="00D03C17" w:rsidRDefault="00D03C17">
                      <w:pPr>
                        <w:pStyle w:val="Bodytext20"/>
                      </w:pPr>
                      <w:r>
                        <w:t>3 dosis con diferencia de 6 a 8 semanas para seguir con una dosis a los 12-15 meses de vida</w:t>
                      </w:r>
                    </w:p>
                    <w:p w14:paraId="1A055998" w14:textId="77777777" w:rsidR="00D03C17" w:rsidRDefault="00D03C17">
                      <w:pPr>
                        <w:pStyle w:val="Bodytext20"/>
                      </w:pPr>
                      <w:r>
                        <w:t>2 dosis, con una diferencia de 6 a 8 semanas, para seguir con una dosis a los 12-15 meses</w:t>
                      </w:r>
                    </w:p>
                    <w:p w14:paraId="5A4AEDBD" w14:textId="77777777" w:rsidR="00D03C17" w:rsidRDefault="00D03C17">
                      <w:pPr>
                        <w:pStyle w:val="Bodytext20"/>
                        <w:spacing w:after="200"/>
                      </w:pPr>
                      <w:r>
                        <w:t>2 dosis con diferencia de 6 a 8 semanas</w:t>
                      </w:r>
                    </w:p>
                    <w:p w14:paraId="078F5D7B" w14:textId="77777777" w:rsidR="00D03C17" w:rsidRDefault="00D03C17">
                      <w:pPr>
                        <w:pStyle w:val="Bodytext20"/>
                        <w:numPr>
                          <w:ilvl w:val="0"/>
                          <w:numId w:val="86"/>
                        </w:numPr>
                        <w:tabs>
                          <w:tab w:val="left" w:pos="125"/>
                        </w:tabs>
                      </w:pPr>
                      <w:bookmarkStart w:id="162" w:name="bookmark1125"/>
                      <w:bookmarkEnd w:id="162"/>
                      <w:r>
                        <w:t>dosis</w:t>
                      </w:r>
                    </w:p>
                    <w:p w14:paraId="2201E7CA" w14:textId="77777777" w:rsidR="00D03C17" w:rsidRDefault="00D03C17">
                      <w:pPr>
                        <w:pStyle w:val="Bodytext20"/>
                        <w:numPr>
                          <w:ilvl w:val="0"/>
                          <w:numId w:val="86"/>
                        </w:numPr>
                        <w:tabs>
                          <w:tab w:val="left" w:pos="134"/>
                        </w:tabs>
                      </w:pPr>
                      <w:bookmarkStart w:id="163" w:name="bookmark1126"/>
                      <w:bookmarkEnd w:id="163"/>
                      <w:r>
                        <w:t>dosis, con diferencia de 6 a 8 semanas</w:t>
                      </w:r>
                    </w:p>
                  </w:txbxContent>
                </v:textbox>
                <w10:wrap type="topAndBottom" anchorx="page"/>
              </v:shape>
            </w:pict>
          </mc:Fallback>
        </mc:AlternateContent>
      </w:r>
    </w:p>
    <w:p w14:paraId="65CD0FE7" w14:textId="77777777" w:rsidR="00D03C17" w:rsidRDefault="00D03C17">
      <w:pPr>
        <w:pStyle w:val="Bodytext20"/>
        <w:pBdr>
          <w:top w:val="single" w:sz="4" w:space="0" w:color="auto"/>
        </w:pBdr>
        <w:spacing w:after="440" w:line="240" w:lineRule="auto"/>
        <w:rPr>
          <w:sz w:val="15"/>
          <w:szCs w:val="15"/>
        </w:rPr>
      </w:pPr>
      <w:r>
        <w:rPr>
          <w:sz w:val="15"/>
          <w:szCs w:val="15"/>
        </w:rPr>
        <w:t>PCV7, vacuna conjugada neumocócica heptavalente.</w:t>
      </w:r>
    </w:p>
    <w:p w14:paraId="06E81146" w14:textId="77777777" w:rsidR="00D03C17" w:rsidRDefault="00D03C17">
      <w:pPr>
        <w:pStyle w:val="BodyText"/>
        <w:ind w:firstLine="0"/>
      </w:pPr>
      <w:r>
        <w:t>corriente con el preparado PCV7, a los siete meses de vida o después, deben hacer tal ajuste a la primera oportunidad.</w:t>
      </w:r>
    </w:p>
    <w:p w14:paraId="0FEB63AE" w14:textId="77777777" w:rsidR="00D03C17" w:rsidRDefault="00D03C17">
      <w:pPr>
        <w:pStyle w:val="BodyText"/>
        <w:spacing w:line="276" w:lineRule="auto"/>
        <w:ind w:firstLine="360"/>
      </w:pPr>
      <w:r>
        <w:rPr>
          <w:rFonts w:ascii="Arial" w:eastAsia="Arial" w:hAnsi="Arial" w:cs="Arial"/>
          <w:b/>
          <w:bCs/>
          <w:i/>
          <w:iCs/>
          <w:sz w:val="15"/>
          <w:szCs w:val="15"/>
        </w:rPr>
        <w:t>Vacunación de niños de 24 a 59 meses de vida con gran riesgo de mostrar la enfermedad neumocócica invasora.</w:t>
      </w:r>
      <w:r>
        <w:t xml:space="preserve"> Se recomienda aplicar la vacuna PCV7 en todo niño menor de 60 meses expuesto al gran riesgo de presentar la infección neumocócica invasora, como se define en el cuadro 3-47. En algunos de los niños de alto riesgo habrá que brindar protección adicional con la aplicación de la vacuna PS23. Casi todos los niños de alto riesgo habrán recibido una serie de cuatro inyecciones de PCV7 antes de cumplir 24 meses, y en todos ellos se recomienda aplicar a los 24 meses una dosis de PS23 y otra más tres a cinco años después de la primera dosis. Las recomendaciones para niños de alto riesgo que tienen 24 a 59 meses de vida, y que han recibido dosis previas de vacunas PS23 o PCV7 se resumen en el cuadro 3-51. Todo niño de alto riesgo que no ha recibido dosis alguna de PCV7 cuando tenía menos de 24 meses de vida debe recibir una serie de dos dosis de PCV7 y una de PS23, con una diferencia de seis a ocho semanas entre una y otra, seguida por otra dosis de PS23 entre los tres y los cinco años después de la primera dosis.</w:t>
      </w:r>
    </w:p>
    <w:p w14:paraId="545BB4FE" w14:textId="77777777" w:rsidR="00D03C17" w:rsidRDefault="00D03C17">
      <w:pPr>
        <w:pStyle w:val="BodyText"/>
        <w:spacing w:line="276" w:lineRule="auto"/>
        <w:ind w:firstLine="360"/>
      </w:pPr>
      <w:r>
        <w:rPr>
          <w:rFonts w:ascii="Arial" w:eastAsia="Arial" w:hAnsi="Arial" w:cs="Arial"/>
          <w:b/>
          <w:bCs/>
          <w:i/>
          <w:iCs/>
          <w:sz w:val="15"/>
          <w:szCs w:val="15"/>
        </w:rPr>
        <w:t>Vacunación de niños de 24 a 59 meses de vida, con riesgo moderado o pequeño de enfermedad neumocócica invasora.</w:t>
      </w:r>
      <w:r>
        <w:t xml:space="preserve"> Las recomendaciones para niños de 24 a 59 meses que están expuestos a un riesgo moderado (cuadro 3-47) de mostrar enfermedad neumocócica se incluyen en el cuadro 3-50. Entre los factores de riesgo diferentes de los incluidos en el cuadro 3-47 están la desventaja social o económica, residir en albergues apiñados o que no alcanzan las normas estándar, falta de hogar, exposición crónica al humo de tabaco o antecedente de otitis media grave o recurrente en los 12 meses anteriores a la vacunación o antes de colocar tubos de timpanostomía.</w:t>
      </w:r>
    </w:p>
    <w:p w14:paraId="5D3B699C" w14:textId="77777777" w:rsidR="00D03C17" w:rsidRDefault="00D03C17">
      <w:pPr>
        <w:pStyle w:val="BodyText"/>
        <w:ind w:firstLine="360"/>
      </w:pPr>
      <w:r>
        <w:t>No se han estudiado las ventajas relativas de usar PCV7 o PS23 en una sola dosis en niños de 24 meses o mayores. Además de su influencia en las infecciones invasoras, el uso de PCV7 ha hecho que disminuya un poco la incidencia de otitis media y del estado de portador nasofaríngeo. Además, después de usar dicho preparado, la duración de las respuestas de anticuerpos han sido mayores y la vacuna induce memoria inmunológica. Por ello, el preparado en cuestión es la vacuna preferida para casi todos los niños. En caso</w:t>
      </w:r>
      <w:r>
        <w:br w:type="page"/>
      </w:r>
    </w:p>
    <w:p w14:paraId="4B4F70BE" w14:textId="77777777" w:rsidR="00D03C17" w:rsidRDefault="00D03C17">
      <w:pPr>
        <w:pStyle w:val="Heading31"/>
        <w:keepNext/>
        <w:keepLines/>
        <w:spacing w:after="120" w:line="211" w:lineRule="auto"/>
        <w:jc w:val="center"/>
      </w:pPr>
      <w:bookmarkStart w:id="164" w:name="bookmark1188"/>
      <w:bookmarkStart w:id="165" w:name="bookmark1189"/>
      <w:bookmarkStart w:id="166" w:name="bookmark1190"/>
      <w:r>
        <w:rPr>
          <w:b w:val="0"/>
          <w:bCs w:val="0"/>
        </w:rPr>
        <w:t xml:space="preserve">Cuadro 3-51. </w:t>
      </w:r>
      <w:r>
        <w:t>Recomendaciones para la vacunación con los preparados</w:t>
      </w:r>
      <w:r>
        <w:br/>
        <w:t>PCV7 o PS23 de niños en gran peligro de presentar enfermedad</w:t>
      </w:r>
      <w:r>
        <w:br/>
        <w:t>neumocócica como se define en el cuadro 3-47</w:t>
      </w:r>
      <w:bookmarkEnd w:id="164"/>
      <w:bookmarkEnd w:id="165"/>
      <w:bookmarkEnd w:id="166"/>
    </w:p>
    <w:p w14:paraId="41A51884" w14:textId="77777777" w:rsidR="00D03C17" w:rsidRDefault="00D03C17">
      <w:pPr>
        <w:pStyle w:val="Heading41"/>
        <w:keepNext/>
        <w:keepLines/>
        <w:pBdr>
          <w:top w:val="single" w:sz="0" w:space="0" w:color="231F20"/>
          <w:left w:val="single" w:sz="0" w:space="0" w:color="231F20"/>
          <w:bottom w:val="single" w:sz="0" w:space="0" w:color="231F20"/>
          <w:right w:val="single" w:sz="0" w:space="0" w:color="231F20"/>
        </w:pBdr>
        <w:shd w:val="clear" w:color="auto" w:fill="231F20"/>
        <w:spacing w:after="120" w:line="209" w:lineRule="auto"/>
        <w:ind w:left="800" w:firstLine="680"/>
      </w:pPr>
      <w:r>
        <w:rPr>
          <w:noProof/>
        </w:rPr>
        <mc:AlternateContent>
          <mc:Choice Requires="wps">
            <w:drawing>
              <wp:anchor distT="0" distB="0" distL="114300" distR="114300" simplePos="0" relativeHeight="251665408" behindDoc="0" locked="0" layoutInCell="1" allowOverlap="1" wp14:anchorId="327C359C" wp14:editId="622170A5">
                <wp:simplePos x="0" y="0"/>
                <wp:positionH relativeFrom="page">
                  <wp:posOffset>542925</wp:posOffset>
                </wp:positionH>
                <wp:positionV relativeFrom="margin">
                  <wp:posOffset>991235</wp:posOffset>
                </wp:positionV>
                <wp:extent cx="267970" cy="189230"/>
                <wp:effectExtent l="0" t="0" r="0" b="0"/>
                <wp:wrapSquare wrapText="right"/>
                <wp:docPr id="1509" name="Shape 1509"/>
                <wp:cNvGraphicFramePr/>
                <a:graphic xmlns:a="http://schemas.openxmlformats.org/drawingml/2006/main">
                  <a:graphicData uri="http://schemas.microsoft.com/office/word/2010/wordprocessingShape">
                    <wps:wsp>
                      <wps:cNvSpPr txBox="1"/>
                      <wps:spPr>
                        <a:xfrm>
                          <a:off x="0" y="0"/>
                          <a:ext cx="267970" cy="189230"/>
                        </a:xfrm>
                        <a:prstGeom prst="rect">
                          <a:avLst/>
                        </a:prstGeom>
                        <a:solidFill>
                          <a:srgbClr val="231F20"/>
                        </a:solidFill>
                      </wps:spPr>
                      <wps:txbx>
                        <w:txbxContent>
                          <w:p w14:paraId="5229D7FC" w14:textId="77777777" w:rsidR="00D03C17" w:rsidRDefault="00D03C17">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Edad</w:t>
                            </w:r>
                          </w:p>
                        </w:txbxContent>
                      </wps:txbx>
                      <wps:bodyPr wrap="none" lIns="0" tIns="0" rIns="0" bIns="0"/>
                    </wps:wsp>
                  </a:graphicData>
                </a:graphic>
              </wp:anchor>
            </w:drawing>
          </mc:Choice>
          <mc:Fallback>
            <w:pict>
              <v:shape w14:anchorId="327C359C" id="Shape 1509" o:spid="_x0000_s1032" type="#_x0000_t202" style="position:absolute;left:0;text-align:left;margin-left:42.75pt;margin-top:78.05pt;width:21.1pt;height:14.9pt;z-index:251665408;visibility:visible;mso-wrap-style:none;mso-wrap-distance-left:9pt;mso-wrap-distance-top:0;mso-wrap-distance-right:9pt;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" fillcolor="#231f20" stroked="f">
                <v:textbox inset="0,0,0,0">
                  <w:txbxContent>
                    <w:p w14:paraId="5229D7FC" w14:textId="77777777" w:rsidR="00D03C17" w:rsidRDefault="00D03C17">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Edad</w:t>
                      </w:r>
                    </w:p>
                  </w:txbxContent>
                </v:textbox>
                <w10:wrap type="square" side="right" anchorx="page" anchory="margin"/>
              </v:shape>
            </w:pict>
          </mc:Fallback>
        </mc:AlternateContent>
      </w:r>
      <w:bookmarkStart w:id="167" w:name="bookmark1191"/>
      <w:bookmarkStart w:id="168" w:name="bookmark1192"/>
      <w:bookmarkStart w:id="169" w:name="bookmark1193"/>
      <w:r>
        <w:rPr>
          <w:color w:val="FFFFFF"/>
        </w:rPr>
        <w:t>Aplicación previa de dosis de cualquier vacuna antineumocócica</w:t>
      </w:r>
      <w:bookmarkEnd w:id="167"/>
      <w:bookmarkEnd w:id="168"/>
      <w:bookmarkEnd w:id="169"/>
    </w:p>
    <w:p w14:paraId="75AA6494" w14:textId="77777777" w:rsidR="00D03C17" w:rsidRDefault="00D03C17">
      <w:pPr>
        <w:pStyle w:val="Bodytext20"/>
        <w:ind w:firstLine="200"/>
      </w:pPr>
      <w:r>
        <w:rPr>
          <w:noProof/>
        </w:rPr>
        <mc:AlternateContent>
          <mc:Choice Requires="wps">
            <w:drawing>
              <wp:anchor distT="0" distB="0" distL="114300" distR="114300" simplePos="0" relativeHeight="251666432" behindDoc="0" locked="0" layoutInCell="1" allowOverlap="1" wp14:anchorId="37EB5504" wp14:editId="5A294395">
                <wp:simplePos x="0" y="0"/>
                <wp:positionH relativeFrom="page">
                  <wp:posOffset>3054350</wp:posOffset>
                </wp:positionH>
                <wp:positionV relativeFrom="margin">
                  <wp:posOffset>988060</wp:posOffset>
                </wp:positionV>
                <wp:extent cx="975360" cy="189230"/>
                <wp:effectExtent l="0" t="0" r="0" b="0"/>
                <wp:wrapSquare wrapText="left"/>
                <wp:docPr id="1511" name="Shape 1511"/>
                <wp:cNvGraphicFramePr/>
                <a:graphic xmlns:a="http://schemas.openxmlformats.org/drawingml/2006/main">
                  <a:graphicData uri="http://schemas.microsoft.com/office/word/2010/wordprocessingShape">
                    <wps:wsp>
                      <wps:cNvSpPr txBox="1"/>
                      <wps:spPr>
                        <a:xfrm>
                          <a:off x="0" y="0"/>
                          <a:ext cx="975360" cy="189230"/>
                        </a:xfrm>
                        <a:prstGeom prst="rect">
                          <a:avLst/>
                        </a:prstGeom>
                        <a:solidFill>
                          <a:srgbClr val="231F20"/>
                        </a:solidFill>
                      </wps:spPr>
                      <wps:txbx>
                        <w:txbxContent>
                          <w:p w14:paraId="50DCEE91" w14:textId="77777777" w:rsidR="00D03C17" w:rsidRDefault="00D03C17">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Recomendaciones</w:t>
                            </w:r>
                          </w:p>
                        </w:txbxContent>
                      </wps:txbx>
                      <wps:bodyPr wrap="none" lIns="0" tIns="0" rIns="0" bIns="0"/>
                    </wps:wsp>
                  </a:graphicData>
                </a:graphic>
              </wp:anchor>
            </w:drawing>
          </mc:Choice>
          <mc:Fallback>
            <w:pict>
              <v:shape w14:anchorId="37EB5504" id="Shape 1511" o:spid="_x0000_s1033" type="#_x0000_t202" style="position:absolute;left:0;text-align:left;margin-left:240.5pt;margin-top:77.8pt;width:76.8pt;height:14.9pt;z-index:251666432;visibility:visible;mso-wrap-style:none;mso-wrap-distance-left:9pt;mso-wrap-distance-top:0;mso-wrap-distance-right:9pt;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" fillcolor="#231f20" stroked="f">
                <v:textbox inset="0,0,0,0">
                  <w:txbxContent>
                    <w:p w14:paraId="50DCEE91" w14:textId="77777777" w:rsidR="00D03C17" w:rsidRDefault="00D03C17">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Recomendaciones</w:t>
                      </w:r>
                    </w:p>
                  </w:txbxContent>
                </v:textbox>
                <w10:wrap type="square" side="left" anchorx="page" anchory="margin"/>
              </v:shape>
            </w:pict>
          </mc:Fallback>
        </mc:AlternateContent>
      </w:r>
      <w:r>
        <w:rPr>
          <w:noProof/>
        </w:rPr>
        <mc:AlternateContent>
          <mc:Choice Requires="wps">
            <w:drawing>
              <wp:anchor distT="0" distB="0" distL="114300" distR="114300" simplePos="0" relativeHeight="251667456" behindDoc="0" locked="0" layoutInCell="1" allowOverlap="1" wp14:anchorId="7C128FC1" wp14:editId="6F21DD24">
                <wp:simplePos x="0" y="0"/>
                <wp:positionH relativeFrom="page">
                  <wp:posOffset>539750</wp:posOffset>
                </wp:positionH>
                <wp:positionV relativeFrom="margin">
                  <wp:posOffset>1256030</wp:posOffset>
                </wp:positionV>
                <wp:extent cx="2246630" cy="2724785"/>
                <wp:effectExtent l="0" t="0" r="0" b="0"/>
                <wp:wrapSquare wrapText="right"/>
                <wp:docPr id="1513" name="Shape 1513"/>
                <wp:cNvGraphicFramePr/>
                <a:graphic xmlns:a="http://schemas.openxmlformats.org/drawingml/2006/main">
                  <a:graphicData uri="http://schemas.microsoft.com/office/word/2010/wordprocessingShape">
                    <wps:wsp>
                      <wps:cNvSpPr txBox="1"/>
                      <wps:spPr>
                        <a:xfrm>
                          <a:off x="0" y="0"/>
                          <a:ext cx="2246630" cy="2724785"/>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1339"/>
                              <w:gridCol w:w="2198"/>
                            </w:tblGrid>
                            <w:tr w:rsidR="00D03C17" w14:paraId="5F96DC4E" w14:textId="77777777">
                              <w:tblPrEx>
                                <w:tblCellMar>
                                  <w:top w:w="0" w:type="dxa"/>
                                  <w:bottom w:w="0" w:type="dxa"/>
                                </w:tblCellMar>
                              </w:tblPrEx>
                              <w:trPr>
                                <w:trHeight w:hRule="exact" w:val="307"/>
                                <w:tblHeader/>
                              </w:trPr>
                              <w:tc>
                                <w:tcPr>
                                  <w:tcW w:w="1339" w:type="dxa"/>
                                  <w:shd w:val="clear" w:color="auto" w:fill="FFFFFF"/>
                                </w:tcPr>
                                <w:p w14:paraId="42BB884D"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23 meses o menos</w:t>
                                  </w:r>
                                </w:p>
                              </w:tc>
                              <w:tc>
                                <w:tcPr>
                                  <w:tcW w:w="2198" w:type="dxa"/>
                                  <w:shd w:val="clear" w:color="auto" w:fill="FFFFFF"/>
                                </w:tcPr>
                                <w:p w14:paraId="2F68B93B"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Ninguna</w:t>
                                  </w:r>
                                </w:p>
                              </w:tc>
                            </w:tr>
                            <w:tr w:rsidR="00D03C17" w14:paraId="7512BFFF" w14:textId="77777777">
                              <w:tblPrEx>
                                <w:tblCellMar>
                                  <w:top w:w="0" w:type="dxa"/>
                                  <w:bottom w:w="0" w:type="dxa"/>
                                </w:tblCellMar>
                              </w:tblPrEx>
                              <w:trPr>
                                <w:trHeight w:hRule="exact" w:val="754"/>
                              </w:trPr>
                              <w:tc>
                                <w:tcPr>
                                  <w:tcW w:w="1339" w:type="dxa"/>
                                  <w:shd w:val="clear" w:color="auto" w:fill="FFFFFF"/>
                                </w:tcPr>
                                <w:p w14:paraId="398E8E4D" w14:textId="77777777" w:rsidR="00D03C17" w:rsidRDefault="00D03C17">
                                  <w:pPr>
                                    <w:pStyle w:val="Other0"/>
                                    <w:spacing w:before="120" w:line="240" w:lineRule="auto"/>
                                    <w:ind w:firstLine="0"/>
                                    <w:rPr>
                                      <w:sz w:val="16"/>
                                      <w:szCs w:val="16"/>
                                    </w:rPr>
                                  </w:pPr>
                                  <w:r>
                                    <w:rPr>
                                      <w:rFonts w:ascii="Times New Roman" w:eastAsia="Times New Roman" w:hAnsi="Times New Roman" w:cs="Times New Roman"/>
                                      <w:sz w:val="16"/>
                                      <w:szCs w:val="16"/>
                                    </w:rPr>
                                    <w:t>24-59 meses</w:t>
                                  </w:r>
                                </w:p>
                              </w:tc>
                              <w:tc>
                                <w:tcPr>
                                  <w:tcW w:w="2198" w:type="dxa"/>
                                  <w:shd w:val="clear" w:color="auto" w:fill="FFFFFF"/>
                                </w:tcPr>
                                <w:p w14:paraId="2CF60461" w14:textId="77777777" w:rsidR="00D03C17" w:rsidRDefault="00D03C17">
                                  <w:pPr>
                                    <w:pStyle w:val="Other0"/>
                                    <w:spacing w:before="120" w:line="240" w:lineRule="auto"/>
                                    <w:ind w:firstLine="0"/>
                                    <w:rPr>
                                      <w:sz w:val="16"/>
                                      <w:szCs w:val="16"/>
                                    </w:rPr>
                                  </w:pPr>
                                  <w:r>
                                    <w:rPr>
                                      <w:rFonts w:ascii="Times New Roman" w:eastAsia="Times New Roman" w:hAnsi="Times New Roman" w:cs="Times New Roman"/>
                                      <w:sz w:val="16"/>
                                      <w:szCs w:val="16"/>
                                    </w:rPr>
                                    <w:t>4 dosis de PCV7</w:t>
                                  </w:r>
                                </w:p>
                              </w:tc>
                            </w:tr>
                            <w:tr w:rsidR="00D03C17" w14:paraId="1544505C" w14:textId="77777777">
                              <w:tblPrEx>
                                <w:tblCellMar>
                                  <w:top w:w="0" w:type="dxa"/>
                                  <w:bottom w:w="0" w:type="dxa"/>
                                </w:tblCellMar>
                              </w:tblPrEx>
                              <w:trPr>
                                <w:trHeight w:hRule="exact" w:val="1085"/>
                              </w:trPr>
                              <w:tc>
                                <w:tcPr>
                                  <w:tcW w:w="1339" w:type="dxa"/>
                                  <w:shd w:val="clear" w:color="auto" w:fill="FFFFFF"/>
                                  <w:vAlign w:val="center"/>
                                </w:tcPr>
                                <w:p w14:paraId="6B5C93C4"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24-59 meses</w:t>
                                  </w:r>
                                </w:p>
                              </w:tc>
                              <w:tc>
                                <w:tcPr>
                                  <w:tcW w:w="2198" w:type="dxa"/>
                                  <w:shd w:val="clear" w:color="auto" w:fill="FFFFFF"/>
                                  <w:vAlign w:val="center"/>
                                </w:tcPr>
                                <w:p w14:paraId="599DC967"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1 a 3 dosis previas de PCV7</w:t>
                                  </w:r>
                                </w:p>
                              </w:tc>
                            </w:tr>
                            <w:tr w:rsidR="00D03C17" w14:paraId="126518A5" w14:textId="77777777">
                              <w:tblPrEx>
                                <w:tblCellMar>
                                  <w:top w:w="0" w:type="dxa"/>
                                  <w:bottom w:w="0" w:type="dxa"/>
                                </w:tblCellMar>
                              </w:tblPrEx>
                              <w:trPr>
                                <w:trHeight w:hRule="exact" w:val="1186"/>
                              </w:trPr>
                              <w:tc>
                                <w:tcPr>
                                  <w:tcW w:w="1339" w:type="dxa"/>
                                  <w:shd w:val="clear" w:color="auto" w:fill="FFFFFF"/>
                                  <w:vAlign w:val="center"/>
                                </w:tcPr>
                                <w:p w14:paraId="78CB8806"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24-59 meses</w:t>
                                  </w:r>
                                </w:p>
                              </w:tc>
                              <w:tc>
                                <w:tcPr>
                                  <w:tcW w:w="2198" w:type="dxa"/>
                                  <w:shd w:val="clear" w:color="auto" w:fill="FFFFFF"/>
                                  <w:vAlign w:val="center"/>
                                </w:tcPr>
                                <w:p w14:paraId="332E4DA2"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1 dosis de PS23</w:t>
                                  </w:r>
                                </w:p>
                              </w:tc>
                            </w:tr>
                            <w:tr w:rsidR="00D03C17" w14:paraId="78EFA137" w14:textId="77777777">
                              <w:tblPrEx>
                                <w:tblCellMar>
                                  <w:top w:w="0" w:type="dxa"/>
                                  <w:bottom w:w="0" w:type="dxa"/>
                                </w:tblCellMar>
                              </w:tblPrEx>
                              <w:trPr>
                                <w:trHeight w:hRule="exact" w:val="960"/>
                              </w:trPr>
                              <w:tc>
                                <w:tcPr>
                                  <w:tcW w:w="1339" w:type="dxa"/>
                                  <w:shd w:val="clear" w:color="auto" w:fill="FFFFFF"/>
                                  <w:vAlign w:val="bottom"/>
                                </w:tcPr>
                                <w:p w14:paraId="4B6F2EC8"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24-59 meses</w:t>
                                  </w:r>
                                </w:p>
                              </w:tc>
                              <w:tc>
                                <w:tcPr>
                                  <w:tcW w:w="2198" w:type="dxa"/>
                                  <w:shd w:val="clear" w:color="auto" w:fill="FFFFFF"/>
                                  <w:vAlign w:val="bottom"/>
                                </w:tcPr>
                                <w:p w14:paraId="03629B62" w14:textId="77777777" w:rsidR="00D03C17" w:rsidRDefault="00D03C17">
                                  <w:pPr>
                                    <w:pStyle w:val="Other0"/>
                                    <w:spacing w:line="283" w:lineRule="auto"/>
                                    <w:ind w:left="160" w:hanging="160"/>
                                    <w:rPr>
                                      <w:sz w:val="16"/>
                                      <w:szCs w:val="16"/>
                                    </w:rPr>
                                  </w:pPr>
                                  <w:r>
                                    <w:rPr>
                                      <w:rFonts w:ascii="Times New Roman" w:eastAsia="Times New Roman" w:hAnsi="Times New Roman" w:cs="Times New Roman"/>
                                      <w:sz w:val="16"/>
                                      <w:szCs w:val="16"/>
                                    </w:rPr>
                                    <w:t>Ninguna dosis previa de PS23 o PCV7</w:t>
                                  </w:r>
                                </w:p>
                              </w:tc>
                            </w:tr>
                          </w:tbl>
                          <w:p w14:paraId="1C08B80A" w14:textId="77777777" w:rsidR="00D03C17" w:rsidRDefault="00D03C17">
                            <w:pPr>
                              <w:spacing w:line="1" w:lineRule="exact"/>
                            </w:pPr>
                          </w:p>
                        </w:txbxContent>
                      </wps:txbx>
                      <wps:bodyPr lIns="0" tIns="0" rIns="0" bIns="0"/>
                    </wps:wsp>
                  </a:graphicData>
                </a:graphic>
              </wp:anchor>
            </w:drawing>
          </mc:Choice>
          <mc:Fallback>
            <w:pict>
              <v:shape w14:anchorId="7C128FC1" id="Shape 1513" o:spid="_x0000_s1034" type="#_x0000_t202" style="position:absolute;left:0;text-align:left;margin-left:42.5pt;margin-top:98.9pt;width:176.9pt;height:214.55pt;z-index:251667456;visibility:visible;mso-wrap-style:square;mso-wrap-distance-left:9pt;mso-wrap-distance-top:0;mso-wrap-distance-right:9pt;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1339"/>
                        <w:gridCol w:w="2198"/>
                      </w:tblGrid>
                      <w:tr w:rsidR="00D03C17" w14:paraId="5F96DC4E" w14:textId="77777777">
                        <w:tblPrEx>
                          <w:tblCellMar>
                            <w:top w:w="0" w:type="dxa"/>
                            <w:bottom w:w="0" w:type="dxa"/>
                          </w:tblCellMar>
                        </w:tblPrEx>
                        <w:trPr>
                          <w:trHeight w:hRule="exact" w:val="307"/>
                          <w:tblHeader/>
                        </w:trPr>
                        <w:tc>
                          <w:tcPr>
                            <w:tcW w:w="1339" w:type="dxa"/>
                            <w:shd w:val="clear" w:color="auto" w:fill="FFFFFF"/>
                          </w:tcPr>
                          <w:p w14:paraId="42BB884D"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23 meses o menos</w:t>
                            </w:r>
                          </w:p>
                        </w:tc>
                        <w:tc>
                          <w:tcPr>
                            <w:tcW w:w="2198" w:type="dxa"/>
                            <w:shd w:val="clear" w:color="auto" w:fill="FFFFFF"/>
                          </w:tcPr>
                          <w:p w14:paraId="2F68B93B"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Ninguna</w:t>
                            </w:r>
                          </w:p>
                        </w:tc>
                      </w:tr>
                      <w:tr w:rsidR="00D03C17" w14:paraId="7512BFFF" w14:textId="77777777">
                        <w:tblPrEx>
                          <w:tblCellMar>
                            <w:top w:w="0" w:type="dxa"/>
                            <w:bottom w:w="0" w:type="dxa"/>
                          </w:tblCellMar>
                        </w:tblPrEx>
                        <w:trPr>
                          <w:trHeight w:hRule="exact" w:val="754"/>
                        </w:trPr>
                        <w:tc>
                          <w:tcPr>
                            <w:tcW w:w="1339" w:type="dxa"/>
                            <w:shd w:val="clear" w:color="auto" w:fill="FFFFFF"/>
                          </w:tcPr>
                          <w:p w14:paraId="398E8E4D" w14:textId="77777777" w:rsidR="00D03C17" w:rsidRDefault="00D03C17">
                            <w:pPr>
                              <w:pStyle w:val="Other0"/>
                              <w:spacing w:before="120" w:line="240" w:lineRule="auto"/>
                              <w:ind w:firstLine="0"/>
                              <w:rPr>
                                <w:sz w:val="16"/>
                                <w:szCs w:val="16"/>
                              </w:rPr>
                            </w:pPr>
                            <w:r>
                              <w:rPr>
                                <w:rFonts w:ascii="Times New Roman" w:eastAsia="Times New Roman" w:hAnsi="Times New Roman" w:cs="Times New Roman"/>
                                <w:sz w:val="16"/>
                                <w:szCs w:val="16"/>
                              </w:rPr>
                              <w:t>24-59 meses</w:t>
                            </w:r>
                          </w:p>
                        </w:tc>
                        <w:tc>
                          <w:tcPr>
                            <w:tcW w:w="2198" w:type="dxa"/>
                            <w:shd w:val="clear" w:color="auto" w:fill="FFFFFF"/>
                          </w:tcPr>
                          <w:p w14:paraId="2CF60461" w14:textId="77777777" w:rsidR="00D03C17" w:rsidRDefault="00D03C17">
                            <w:pPr>
                              <w:pStyle w:val="Other0"/>
                              <w:spacing w:before="120" w:line="240" w:lineRule="auto"/>
                              <w:ind w:firstLine="0"/>
                              <w:rPr>
                                <w:sz w:val="16"/>
                                <w:szCs w:val="16"/>
                              </w:rPr>
                            </w:pPr>
                            <w:r>
                              <w:rPr>
                                <w:rFonts w:ascii="Times New Roman" w:eastAsia="Times New Roman" w:hAnsi="Times New Roman" w:cs="Times New Roman"/>
                                <w:sz w:val="16"/>
                                <w:szCs w:val="16"/>
                              </w:rPr>
                              <w:t>4 dosis de PCV7</w:t>
                            </w:r>
                          </w:p>
                        </w:tc>
                      </w:tr>
                      <w:tr w:rsidR="00D03C17" w14:paraId="1544505C" w14:textId="77777777">
                        <w:tblPrEx>
                          <w:tblCellMar>
                            <w:top w:w="0" w:type="dxa"/>
                            <w:bottom w:w="0" w:type="dxa"/>
                          </w:tblCellMar>
                        </w:tblPrEx>
                        <w:trPr>
                          <w:trHeight w:hRule="exact" w:val="1085"/>
                        </w:trPr>
                        <w:tc>
                          <w:tcPr>
                            <w:tcW w:w="1339" w:type="dxa"/>
                            <w:shd w:val="clear" w:color="auto" w:fill="FFFFFF"/>
                            <w:vAlign w:val="center"/>
                          </w:tcPr>
                          <w:p w14:paraId="6B5C93C4"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24-59 meses</w:t>
                            </w:r>
                          </w:p>
                        </w:tc>
                        <w:tc>
                          <w:tcPr>
                            <w:tcW w:w="2198" w:type="dxa"/>
                            <w:shd w:val="clear" w:color="auto" w:fill="FFFFFF"/>
                            <w:vAlign w:val="center"/>
                          </w:tcPr>
                          <w:p w14:paraId="599DC967"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1 a 3 dosis previas de PCV7</w:t>
                            </w:r>
                          </w:p>
                        </w:tc>
                      </w:tr>
                      <w:tr w:rsidR="00D03C17" w14:paraId="126518A5" w14:textId="77777777">
                        <w:tblPrEx>
                          <w:tblCellMar>
                            <w:top w:w="0" w:type="dxa"/>
                            <w:bottom w:w="0" w:type="dxa"/>
                          </w:tblCellMar>
                        </w:tblPrEx>
                        <w:trPr>
                          <w:trHeight w:hRule="exact" w:val="1186"/>
                        </w:trPr>
                        <w:tc>
                          <w:tcPr>
                            <w:tcW w:w="1339" w:type="dxa"/>
                            <w:shd w:val="clear" w:color="auto" w:fill="FFFFFF"/>
                            <w:vAlign w:val="center"/>
                          </w:tcPr>
                          <w:p w14:paraId="78CB8806"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24-59 meses</w:t>
                            </w:r>
                          </w:p>
                        </w:tc>
                        <w:tc>
                          <w:tcPr>
                            <w:tcW w:w="2198" w:type="dxa"/>
                            <w:shd w:val="clear" w:color="auto" w:fill="FFFFFF"/>
                            <w:vAlign w:val="center"/>
                          </w:tcPr>
                          <w:p w14:paraId="332E4DA2"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1 dosis de PS23</w:t>
                            </w:r>
                          </w:p>
                        </w:tc>
                      </w:tr>
                      <w:tr w:rsidR="00D03C17" w14:paraId="78EFA137" w14:textId="77777777">
                        <w:tblPrEx>
                          <w:tblCellMar>
                            <w:top w:w="0" w:type="dxa"/>
                            <w:bottom w:w="0" w:type="dxa"/>
                          </w:tblCellMar>
                        </w:tblPrEx>
                        <w:trPr>
                          <w:trHeight w:hRule="exact" w:val="960"/>
                        </w:trPr>
                        <w:tc>
                          <w:tcPr>
                            <w:tcW w:w="1339" w:type="dxa"/>
                            <w:shd w:val="clear" w:color="auto" w:fill="FFFFFF"/>
                            <w:vAlign w:val="bottom"/>
                          </w:tcPr>
                          <w:p w14:paraId="4B6F2EC8"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24-59 meses</w:t>
                            </w:r>
                          </w:p>
                        </w:tc>
                        <w:tc>
                          <w:tcPr>
                            <w:tcW w:w="2198" w:type="dxa"/>
                            <w:shd w:val="clear" w:color="auto" w:fill="FFFFFF"/>
                            <w:vAlign w:val="bottom"/>
                          </w:tcPr>
                          <w:p w14:paraId="03629B62" w14:textId="77777777" w:rsidR="00D03C17" w:rsidRDefault="00D03C17">
                            <w:pPr>
                              <w:pStyle w:val="Other0"/>
                              <w:spacing w:line="283" w:lineRule="auto"/>
                              <w:ind w:left="160" w:hanging="160"/>
                              <w:rPr>
                                <w:sz w:val="16"/>
                                <w:szCs w:val="16"/>
                              </w:rPr>
                            </w:pPr>
                            <w:r>
                              <w:rPr>
                                <w:rFonts w:ascii="Times New Roman" w:eastAsia="Times New Roman" w:hAnsi="Times New Roman" w:cs="Times New Roman"/>
                                <w:sz w:val="16"/>
                                <w:szCs w:val="16"/>
                              </w:rPr>
                              <w:t>Ninguna dosis previa de PS23 o PCV7</w:t>
                            </w:r>
                          </w:p>
                        </w:tc>
                      </w:tr>
                    </w:tbl>
                    <w:p w14:paraId="1C08B80A" w14:textId="77777777" w:rsidR="00D03C17" w:rsidRDefault="00D03C17">
                      <w:pPr>
                        <w:spacing w:line="1" w:lineRule="exact"/>
                      </w:pPr>
                    </w:p>
                  </w:txbxContent>
                </v:textbox>
                <w10:wrap type="square" side="right" anchorx="page" anchory="margin"/>
              </v:shape>
            </w:pict>
          </mc:Fallback>
        </mc:AlternateContent>
      </w:r>
      <w:r>
        <w:t>Aplicar PCV7 según los datos</w:t>
      </w:r>
    </w:p>
    <w:p w14:paraId="24E17FCC" w14:textId="77777777" w:rsidR="00D03C17" w:rsidRDefault="00D03C17">
      <w:pPr>
        <w:pStyle w:val="Bodytext20"/>
        <w:ind w:firstLine="360"/>
      </w:pPr>
      <w:r>
        <w:t>del cuadro 3-50</w:t>
      </w:r>
    </w:p>
    <w:p w14:paraId="79F07CAA" w14:textId="77777777" w:rsidR="00D03C17" w:rsidRDefault="00D03C17">
      <w:pPr>
        <w:pStyle w:val="Bodytext20"/>
        <w:ind w:left="360" w:hanging="120"/>
      </w:pPr>
      <w:r>
        <w:t>1 dosis de vacuna PS23 a los 24 meses de vida, como mínimo 6 a 8 semanas después de la última dosis de PCV7.</w:t>
      </w:r>
    </w:p>
    <w:p w14:paraId="19EB7182" w14:textId="77777777" w:rsidR="00D03C17" w:rsidRDefault="00D03C17">
      <w:pPr>
        <w:pStyle w:val="Bodytext20"/>
        <w:ind w:left="360" w:hanging="120"/>
      </w:pPr>
      <w:r>
        <w:t>1 dosis de PS23, 3 a 5 años después de la primera dosis de PS23.</w:t>
      </w:r>
    </w:p>
    <w:p w14:paraId="786E437E" w14:textId="77777777" w:rsidR="00D03C17" w:rsidRDefault="00D03C17">
      <w:pPr>
        <w:pStyle w:val="Bodytext20"/>
        <w:ind w:left="360" w:hanging="120"/>
      </w:pPr>
      <w:r>
        <w:t>1 dosis de PCV7.</w:t>
      </w:r>
    </w:p>
    <w:p w14:paraId="39202C9D" w14:textId="77777777" w:rsidR="00D03C17" w:rsidRDefault="00D03C17">
      <w:pPr>
        <w:pStyle w:val="Bodytext20"/>
        <w:ind w:left="360" w:hanging="120"/>
      </w:pPr>
      <w:r>
        <w:t>1 dosis de PS23, 6 a 8 semana después de la última dosis de PCV7.</w:t>
      </w:r>
    </w:p>
    <w:p w14:paraId="225C55FC" w14:textId="77777777" w:rsidR="00D03C17" w:rsidRDefault="00D03C17">
      <w:pPr>
        <w:pStyle w:val="Bodytext20"/>
        <w:numPr>
          <w:ilvl w:val="0"/>
          <w:numId w:val="90"/>
        </w:numPr>
        <w:tabs>
          <w:tab w:val="left" w:pos="428"/>
        </w:tabs>
        <w:ind w:left="360" w:hanging="120"/>
      </w:pPr>
      <w:bookmarkStart w:id="170" w:name="bookmark1194"/>
      <w:bookmarkEnd w:id="170"/>
      <w:r>
        <w:t>dosis de PS23, 3 a 5 años después de la primera dosis de PS23.</w:t>
      </w:r>
    </w:p>
    <w:p w14:paraId="4B5B5AF2" w14:textId="77777777" w:rsidR="00D03C17" w:rsidRDefault="00D03C17">
      <w:pPr>
        <w:pStyle w:val="Bodytext20"/>
        <w:numPr>
          <w:ilvl w:val="0"/>
          <w:numId w:val="90"/>
        </w:numPr>
        <w:tabs>
          <w:tab w:val="left" w:pos="457"/>
        </w:tabs>
        <w:ind w:left="360" w:hanging="120"/>
      </w:pPr>
      <w:bookmarkStart w:id="171" w:name="bookmark1195"/>
      <w:bookmarkEnd w:id="171"/>
      <w:r>
        <w:t>dosis de PCV7 con una diferencia de 6 a 8 semanas, comenzando 6 a 8 semanas después de la última dosis de PS23.</w:t>
      </w:r>
    </w:p>
    <w:p w14:paraId="0ABCCAD0" w14:textId="77777777" w:rsidR="00D03C17" w:rsidRDefault="00D03C17">
      <w:pPr>
        <w:pStyle w:val="Bodytext20"/>
        <w:numPr>
          <w:ilvl w:val="0"/>
          <w:numId w:val="91"/>
        </w:numPr>
        <w:tabs>
          <w:tab w:val="left" w:pos="428"/>
        </w:tabs>
        <w:ind w:left="360" w:hanging="120"/>
      </w:pPr>
      <w:bookmarkStart w:id="172" w:name="bookmark1196"/>
      <w:bookmarkEnd w:id="172"/>
      <w:r>
        <w:t>dosis de vacuna PS23, 3 a 5 años después de la última dosis de PS23.</w:t>
      </w:r>
    </w:p>
    <w:p w14:paraId="07BD3953" w14:textId="77777777" w:rsidR="00D03C17" w:rsidRDefault="00D03C17">
      <w:pPr>
        <w:pStyle w:val="Bodytext20"/>
        <w:numPr>
          <w:ilvl w:val="0"/>
          <w:numId w:val="91"/>
        </w:numPr>
        <w:tabs>
          <w:tab w:val="left" w:pos="457"/>
        </w:tabs>
        <w:ind w:left="360" w:hanging="120"/>
      </w:pPr>
      <w:bookmarkStart w:id="173" w:name="bookmark1197"/>
      <w:bookmarkEnd w:id="173"/>
      <w:r>
        <w:t>dosis de PCV7 con una diferencia de 6 a 8 semanas.</w:t>
      </w:r>
    </w:p>
    <w:p w14:paraId="014CDBA1" w14:textId="77777777" w:rsidR="00D03C17" w:rsidRDefault="00D03C17">
      <w:pPr>
        <w:pStyle w:val="Bodytext20"/>
        <w:ind w:left="4080" w:hanging="100"/>
      </w:pPr>
      <w:r>
        <w:t>1 dosis de vacuna PS23, 6 a 8 semanas después de la última dosis de PCV7.</w:t>
      </w:r>
    </w:p>
    <w:p w14:paraId="7C9264FC" w14:textId="77777777" w:rsidR="00D03C17" w:rsidRDefault="00D03C17">
      <w:pPr>
        <w:pStyle w:val="Bodytext20"/>
        <w:pBdr>
          <w:bottom w:val="single" w:sz="4" w:space="0" w:color="auto"/>
        </w:pBdr>
        <w:spacing w:after="520"/>
        <w:ind w:left="4080" w:hanging="100"/>
      </w:pPr>
      <w:r>
        <w:t>1 dosis de vacuna PS23, 3 a 5 años después de la primera dosis de la misma vacuna.</w:t>
      </w:r>
    </w:p>
    <w:p w14:paraId="17390BEA" w14:textId="77777777" w:rsidR="00D03C17" w:rsidRDefault="00D03C17">
      <w:pPr>
        <w:pStyle w:val="BodyText"/>
        <w:ind w:firstLine="0"/>
      </w:pPr>
      <w:r>
        <w:t>de aplicarla, se recomienda usar una sola dosis de PS23 después de administrar PCV7, particularmente en niños con antepasados indios norteamericanos. Por medio de PS23 se obtiene una protección antineumocócica más amplia contra serotipos no contenidos en PCV7, porque la vacuna del conjugado puede brindar protección contra 75% o menos de los serotipos “patógenos” en niños mayores de 24 meses de vida. Sin embargo, cabe utilizar cualquiera de las dos vacunas para la aplicación planeada en niños de 24 a 59 meses expuestos a riesgo moderado de presentar la enfermedad.</w:t>
      </w:r>
    </w:p>
    <w:p w14:paraId="028AD279" w14:textId="77777777" w:rsidR="00D03C17" w:rsidRDefault="00D03C17">
      <w:pPr>
        <w:pStyle w:val="BodyText"/>
        <w:spacing w:after="320" w:line="276" w:lineRule="auto"/>
        <w:ind w:firstLine="360"/>
        <w:sectPr w:rsidR="00D03C17" w:rsidSect="00D03C17">
          <w:headerReference w:type="even" r:id="rId209"/>
          <w:headerReference w:type="default" r:id="rId210"/>
          <w:footerReference w:type="even" r:id="rId211"/>
          <w:footerReference w:type="default" r:id="rId212"/>
          <w:footnotePr>
            <w:numFmt w:val="chicago"/>
          </w:footnotePr>
          <w:pgSz w:w="8501" w:h="13022"/>
          <w:pgMar w:top="707" w:right="578" w:bottom="444" w:left="521" w:header="0" w:footer="3" w:gutter="0"/>
          <w:pgNumType w:start="502"/>
          <w:cols w:space="720"/>
          <w:noEndnote/>
          <w:docGrid w:linePitch="360"/>
          <w15:footnoteColumns w:val="1"/>
        </w:sectPr>
      </w:pPr>
      <w:r>
        <w:rPr>
          <w:rFonts w:ascii="Arial" w:eastAsia="Arial" w:hAnsi="Arial" w:cs="Arial"/>
          <w:b/>
          <w:bCs/>
          <w:i/>
          <w:iCs/>
          <w:sz w:val="15"/>
          <w:szCs w:val="15"/>
        </w:rPr>
        <w:t>Vacunación de niños de cinco años y mayores.</w:t>
      </w:r>
      <w:r>
        <w:t xml:space="preserve"> Las vacunaciones a los cinco años o más pudieran ser adecuadas para algunos menores en quienes persiste el alto riesgo, porque sufren alguna enfermedad primaria crónica. Son escasos los datos sobre seguridad (inocuidad) y eficacia en cuanto a los dos tipos de vacunas en niños de 60 meses de vida o mayores. Los estudios de grupos pequeños de niños con enfermedad drepanocítica e infección por VIH sugieren que PCV7 es segura e inmunógena si se aplica a los menores hasta los 13 años de vida. Por tal razón, no está contraindicada la administración de una sola dosis de PCV7 a niños de cualquier edad, en particular los que están expuestos a un gran peligro de presentar enfermedad neumocócica invasora.</w:t>
      </w:r>
    </w:p>
    <w:p w14:paraId="22B923DB" w14:textId="77777777" w:rsidR="00D03C17" w:rsidRDefault="00D03C17">
      <w:pPr>
        <w:pStyle w:val="BodyText"/>
        <w:ind w:firstLine="0"/>
      </w:pPr>
      <w:r>
        <w:t>Sin embargo, PS23 también puede ser eficaz e inmunógena en niños de mayor edad, razón por la cual es aceptable la inmunización con una sola dosis de PCV7 o PS23. Si se usan ambas vacunas, habrá que aplicar en primer lugar PCV7, y después de un intervalo mínimo de seis a ocho semanas se aplicará PS23.</w:t>
      </w:r>
    </w:p>
    <w:p w14:paraId="33A14F5F" w14:textId="77777777" w:rsidR="00D03C17" w:rsidRDefault="00D03C17">
      <w:pPr>
        <w:pStyle w:val="BodyText"/>
        <w:spacing w:line="276" w:lineRule="auto"/>
        <w:ind w:firstLine="360"/>
      </w:pPr>
      <w:r>
        <w:rPr>
          <w:rFonts w:ascii="Times New Roman" w:eastAsia="Times New Roman" w:hAnsi="Times New Roman" w:cs="Times New Roman"/>
          <w:b/>
          <w:bCs/>
          <w:i/>
          <w:iCs/>
          <w:sz w:val="16"/>
          <w:szCs w:val="16"/>
        </w:rPr>
        <w:t>Vacunación de niños con otitis media intensa o recurrente.</w:t>
      </w:r>
      <w:r>
        <w:t xml:space="preserve"> Las vacunas de polisacáridos neumocócicos no han disminuido la incidencia de otitis media aguda (AOM) en niños de todas las edades; por todo lo comentado, no se recomienda usar PS23 para evitar dicha enfermedad. La vacuna PCV7 logra una disminución pequeña de las formas recurrentes de AOM (definidas por tres episodios o más en seis meses o cuatro episodios o más en un año). PCV7 puede ser beneficiosa en niños de 24 a 59 meses que en etapa previa no habían recibido las vacunas antineumocócicas y que tienen el antecedente de AOM recurrente o AOM complicada por la colocación de tubos de timpanostomía.</w:t>
      </w:r>
    </w:p>
    <w:p w14:paraId="4E6EAC94" w14:textId="77777777" w:rsidR="00D03C17" w:rsidRDefault="00D03C17">
      <w:pPr>
        <w:pStyle w:val="BodyText"/>
        <w:spacing w:line="276" w:lineRule="auto"/>
        <w:ind w:firstLine="360"/>
      </w:pPr>
      <w:r>
        <w:rPr>
          <w:rFonts w:ascii="Arial" w:eastAsia="Arial" w:hAnsi="Arial" w:cs="Arial"/>
          <w:b/>
          <w:bCs/>
          <w:i/>
          <w:iCs/>
          <w:sz w:val="15"/>
          <w:szCs w:val="15"/>
        </w:rPr>
        <w:t>Control de la transmisión de la infección neumocócica y la enfermedad invasora en niños atendidos en el sistema asistencial extrahogareño.</w:t>
      </w:r>
      <w:r>
        <w:t xml:space="preserve"> Las cifras de infección neumocócica invasora en niños atendidos fuera de su hogar son dos o tres veces mayores que en niños sanos de la misma edad que no participan en tal sistema asistencial. La vacuna PS23 no disminuye el estado de portador de neumococos en nasofaringe, pero datos escasos sugieren una disminución mayor de 50% en el estado de portador nasofaríngeo del serotipo presente en la vacuna en niños que reciben el preparado neumocócico conjugado. No hay suficientes datos para recomendar cualquier régimen antimicrobiano que evite o interrumpa el estado de portador o la transmisión de la infección neumocócica en tales situaciones, razón por la cual, no se recomienda la quimioprofilaxia con antimicrobianos en contactos de niños con enfermedad neumocócica invasora, sea cual sea su estado de vacunación.</w:t>
      </w:r>
    </w:p>
    <w:p w14:paraId="06DF8508" w14:textId="77777777" w:rsidR="00D03C17" w:rsidRDefault="00D03C17">
      <w:pPr>
        <w:pStyle w:val="Bodytext80"/>
        <w:ind w:firstLine="360"/>
        <w:rPr>
          <w:sz w:val="15"/>
          <w:szCs w:val="15"/>
        </w:rPr>
      </w:pPr>
      <w:r>
        <w:rPr>
          <w:b/>
          <w:bCs/>
          <w:i/>
          <w:iCs/>
          <w:sz w:val="15"/>
          <w:szCs w:val="15"/>
        </w:rPr>
        <w:t>Recomendaciones generales para utilizar vacunas antineumocócicas</w:t>
      </w:r>
    </w:p>
    <w:p w14:paraId="47FF4086" w14:textId="77777777" w:rsidR="00D03C17" w:rsidRDefault="00D03C17">
      <w:pPr>
        <w:pStyle w:val="BodyText"/>
        <w:numPr>
          <w:ilvl w:val="0"/>
          <w:numId w:val="87"/>
        </w:numPr>
        <w:tabs>
          <w:tab w:val="left" w:pos="341"/>
        </w:tabs>
        <w:ind w:left="360" w:hanging="360"/>
      </w:pPr>
      <w:bookmarkStart w:id="174" w:name="bookmark1198"/>
      <w:bookmarkEnd w:id="174"/>
      <w:r>
        <w:t>Es posible aplicar PS34 o PCV7 junto con otras vacunas. La vacuna antineumocócica debe inyectarse en jeringuilla separada y en un sitio diferente.</w:t>
      </w:r>
    </w:p>
    <w:p w14:paraId="265B2C7F" w14:textId="77777777" w:rsidR="00D03C17" w:rsidRDefault="00D03C17">
      <w:pPr>
        <w:pStyle w:val="BodyText"/>
        <w:numPr>
          <w:ilvl w:val="0"/>
          <w:numId w:val="87"/>
        </w:numPr>
        <w:tabs>
          <w:tab w:val="left" w:pos="341"/>
        </w:tabs>
        <w:ind w:left="360" w:hanging="360"/>
      </w:pPr>
      <w:bookmarkStart w:id="175" w:name="bookmark1199"/>
      <w:bookmarkEnd w:id="175"/>
      <w:r>
        <w:t>Si por alguna razón se realiza esplenectomía planeada, habrá que completar la aplicación de las vacunas PCV7 o PS23 cuando menos dos semanas antes de extirpar el bazo. Dos semanas, como mínimo, antes de comenzar una terapia inmunosupresora, habrá que aplicar una u otra de las vacunas mencionadas.</w:t>
      </w:r>
    </w:p>
    <w:p w14:paraId="12C6D97C" w14:textId="77777777" w:rsidR="00D03C17" w:rsidRDefault="00D03C17">
      <w:pPr>
        <w:pStyle w:val="BodyText"/>
        <w:numPr>
          <w:ilvl w:val="0"/>
          <w:numId w:val="87"/>
        </w:numPr>
        <w:tabs>
          <w:tab w:val="left" w:pos="341"/>
        </w:tabs>
        <w:ind w:left="360" w:hanging="360"/>
      </w:pPr>
      <w:bookmarkStart w:id="176" w:name="bookmark1200"/>
      <w:bookmarkEnd w:id="176"/>
      <w:r>
        <w:t>En términos generales conviene diferir la aplicación de las vacunas antineumocócicas durante el embarazo porque no se sabe si originarán daño fetal cuando se administren a la madre. Sin embargo, se han administrado inocuamente en la gestación las vacunas hechas de microorganismos inactivados o muertos que incluyen otras vacunas experimentales y aprobadas hechas de polisacáridos. Habrá que tomar en consideración el peligro de originar enfermedad neumocócica grave en una embarazada cuando se determine la necesidad de vacunarla contra neumococos.</w:t>
      </w:r>
    </w:p>
    <w:p w14:paraId="71921940" w14:textId="77777777" w:rsidR="00D03C17" w:rsidRDefault="00D03C17">
      <w:pPr>
        <w:pStyle w:val="BodyText"/>
        <w:numPr>
          <w:ilvl w:val="0"/>
          <w:numId w:val="87"/>
        </w:numPr>
        <w:tabs>
          <w:tab w:val="left" w:pos="341"/>
        </w:tabs>
        <w:ind w:left="360" w:hanging="360"/>
      </w:pPr>
      <w:bookmarkStart w:id="177" w:name="bookmark1201"/>
      <w:bookmarkEnd w:id="177"/>
      <w:r>
        <w:t>Los niños que han presentado enfermedad neumocócica invasora deben recibir todas las dosis recomendadas de las vacunas PCV7 o PS23, en forma adecuada a su edad y al cuadro primario. Habrá que completar toda la serie de dosis programadas, incluso cuando se interrumpa la serie por un episodio de enfermedad neumocócica invasora.</w:t>
      </w:r>
    </w:p>
    <w:p w14:paraId="0CDF96BA" w14:textId="77777777" w:rsidR="00D03C17" w:rsidRDefault="00D03C17">
      <w:pPr>
        <w:pStyle w:val="BodyText"/>
        <w:spacing w:line="283" w:lineRule="auto"/>
        <w:ind w:firstLine="360"/>
      </w:pPr>
      <w:r>
        <w:rPr>
          <w:rFonts w:ascii="Arial" w:eastAsia="Arial" w:hAnsi="Arial" w:cs="Arial"/>
          <w:b/>
          <w:bCs/>
          <w:i/>
          <w:iCs/>
          <w:sz w:val="15"/>
          <w:szCs w:val="15"/>
        </w:rPr>
        <w:t>Reacciones adversas a vacunas antineumocócicas.</w:t>
      </w:r>
      <w:r>
        <w:t xml:space="preserve"> Las reacciones adversas de ese tipo por lo regular son leves y se circunscriben a reacciones locales de rubor o hinchazón. Puede aparecer fiebre en el primero o segundo día después de las inyecciones, en particular después de usar la vacuna de conjugado.</w:t>
      </w:r>
    </w:p>
    <w:p w14:paraId="78A61564" w14:textId="77777777" w:rsidR="00D03C17" w:rsidRDefault="00D03C17">
      <w:pPr>
        <w:pStyle w:val="BodyText"/>
        <w:ind w:firstLine="360"/>
      </w:pPr>
      <w:r>
        <w:rPr>
          <w:rFonts w:ascii="Arial" w:eastAsia="Arial" w:hAnsi="Arial" w:cs="Arial"/>
          <w:b/>
          <w:bCs/>
          <w:i/>
          <w:iCs/>
          <w:sz w:val="15"/>
          <w:szCs w:val="15"/>
        </w:rPr>
        <w:t>Inmunización pasiva.</w:t>
      </w:r>
      <w:r>
        <w:t xml:space="preserve"> Se recomienda la administración del concentrado inmunoglobulínico intravenoso para evitar la infección neumocócica en personas con enfermedades por inmunodeficiencia congénita o adquirida incluidos los individuos con infección por VIH que muestran infecciones neumocócicas recurrentes (véase “Humana, infección por virus de inmunodeficiencia [VIH]”, en esta sección).</w:t>
      </w:r>
    </w:p>
    <w:p w14:paraId="168F8388" w14:textId="77777777" w:rsidR="00D03C17" w:rsidRDefault="00D03C17">
      <w:pPr>
        <w:pStyle w:val="BodyText"/>
        <w:ind w:firstLine="360"/>
      </w:pPr>
      <w:r>
        <w:rPr>
          <w:rFonts w:ascii="Arial" w:eastAsia="Arial" w:hAnsi="Arial" w:cs="Arial"/>
          <w:b/>
          <w:bCs/>
          <w:i/>
          <w:iCs/>
          <w:sz w:val="15"/>
          <w:szCs w:val="15"/>
        </w:rPr>
        <w:t>Quimioprofilaxia.</w:t>
      </w:r>
      <w:r>
        <w:t xml:space="preserve"> Se recomienda diariamente la profilaxia antimicrobiana en niños con asplenia funcional o anatómica, sea cual sea su estado de vacunación, para evitar la enfermedad por neumococos (véase “Niños asplénicos”, sección 1). El esquema propuesto incluye la ingestión de 125 mg de penicilina V dos veces al día si el niño tiene menos de cinco años de vida, y 250 mg en la misma forma en caso que tenga cinco años o más. Los resultados de un estudio multicéntrico demostraron que 125 mg de penicilina V ingeridos dos veces al día, en lactantes y niños de corta edad con anemia drepanocítica, disminuyeron 84% la incidencia de bacteriemia neumocócica en comparación con el grupo testigo que recibió placebo. Con base en los datos de tal estudio, se recomienda la profilaxia diaria a base de penicilina para niños con anemia drepanocítica, precaución que comenzará antes de cumplir el menor dos meses de vida. En años recientes ha aumentado el número de casos de infecciones neumocócicas invasoras con microorganismos resistentes a la penicilina y también la prevalencia del estado de portador nasofaríngeo de cepas también resistentes a ella, en niños con enfermedad drepanocítica. Ante esta situación, los padres deben recibir información de que la profilaxia con penicilina no tiene la misma eficacia que tenía en lo pasado, para evitar las infecciones neumocócicas invasoras.</w:t>
      </w:r>
    </w:p>
    <w:p w14:paraId="1AB5C8F5" w14:textId="77777777" w:rsidR="00D03C17" w:rsidRDefault="00D03C17">
      <w:pPr>
        <w:pStyle w:val="BodyText"/>
        <w:spacing w:after="100"/>
        <w:ind w:firstLine="360"/>
      </w:pPr>
      <w:r>
        <w:t>La edad en que se interrumpe la profilaxia suele constituir una decisión empírica. Casi todos los niños con anemia drepanocítica que han recibido profilaxia con penicilina durante largo tiempo, que reciben atención médica regular y que no han mostrado una infección neumocócica grave o a los que se ha extirpado quirúrgicamente el bazo con toda inocuidad, pueden interrumpir el uso profiláctico de penicilina a los cinco años de vida. Sin embargo, debe señalárseles que soliciten atención del médico en caso de que surja fiebre. Se desconoce la duración de la profilaxia en niños con asplenia atribuible a otras causas. Algunos expertos proponen continuarla durante toda la niñez.</w:t>
      </w:r>
    </w:p>
    <w:p w14:paraId="4AEB1C98" w14:textId="77777777" w:rsidR="00D03C17" w:rsidRDefault="00D03C17">
      <w:pPr>
        <w:pStyle w:val="Bodytext70"/>
        <w:spacing w:after="0"/>
      </w:pPr>
      <w:r>
        <w:t>Nocardiosis</w:t>
      </w:r>
    </w:p>
    <w:p w14:paraId="38B4D8E6" w14:textId="77777777" w:rsidR="00D03C17" w:rsidRDefault="00D03C17">
      <w:pPr>
        <w:pStyle w:val="BodyText"/>
        <w:ind w:firstLine="0"/>
      </w:pPr>
      <w:r>
        <w:rPr>
          <w:b/>
          <w:bCs/>
          <w:smallCaps/>
          <w:sz w:val="20"/>
          <w:szCs w:val="20"/>
        </w:rPr>
        <w:t>M</w:t>
      </w:r>
      <w:r>
        <w:rPr>
          <w:b/>
          <w:bCs/>
          <w:smallCaps/>
          <w:sz w:val="16"/>
          <w:szCs w:val="16"/>
        </w:rPr>
        <w:t>anifestaciones clínicas</w:t>
      </w:r>
      <w:r>
        <w:rPr>
          <w:b/>
          <w:bCs/>
          <w:smallCaps/>
          <w:sz w:val="20"/>
          <w:szCs w:val="20"/>
        </w:rPr>
        <w:t>:</w:t>
      </w:r>
      <w:r>
        <w:t xml:space="preserve"> De manera típica, los niños inmunocompetentes tienen un cuadro cutáneo o linfocutáneo que incluye lesiones pustulosas o ulcerosas que permanecen localizadas después de contaminación con suciedad de una lesión de la piel. El cuadro invasor surge con mayor frecuencia en pacientes inmunodeficientes, en particular aquellos con enfermedad granulomatosa crónica, infección por virus de inmunodeficiencia humana o trastornos que obligan a utilizar por largo tiempo corticoterapia sistémica. En dichos niños, de manera característica la infección comienza en los pulmones, y el cuadro puede ser agudo, subagudo o crónico. El ataque de los pulmones suele manifestarse por infiltrados nodulares redondeados que terminan por mostrar cavitación. Puede haber propagación hematógena desde los pulmones al encéfalo (abscesos únicos o múltiples), a la piel (pústulas, piodermia, abscesos o micetomas) y, a veces, a otros órganos.</w:t>
      </w:r>
    </w:p>
    <w:p w14:paraId="0CF1B5B1" w14:textId="77777777" w:rsidR="00D03C17" w:rsidRDefault="00D03C17">
      <w:pPr>
        <w:pStyle w:val="BodyText"/>
        <w:ind w:firstLine="0"/>
        <w:sectPr w:rsidR="00D03C17" w:rsidSect="00D03C17">
          <w:headerReference w:type="even" r:id="rId213"/>
          <w:headerReference w:type="default" r:id="rId214"/>
          <w:footerReference w:type="even" r:id="rId215"/>
          <w:footerReference w:type="default" r:id="rId216"/>
          <w:headerReference w:type="first" r:id="rId217"/>
          <w:footerReference w:type="first" r:id="rId218"/>
          <w:footnotePr>
            <w:numFmt w:val="chicago"/>
          </w:footnotePr>
          <w:pgSz w:w="8501" w:h="13022"/>
          <w:pgMar w:top="707" w:right="578" w:bottom="444" w:left="521" w:header="0" w:footer="3" w:gutter="0"/>
          <w:cols w:space="720"/>
          <w:noEndnote/>
          <w:titlePg/>
          <w:docGrid w:linePitch="360"/>
          <w15:footnoteColumns w:val="1"/>
        </w:sectPr>
      </w:pPr>
      <w:r>
        <w:rPr>
          <w:b/>
          <w:bCs/>
        </w:rPr>
        <w:t>C</w:t>
      </w:r>
      <w:r>
        <w:rPr>
          <w:b/>
          <w:bCs/>
          <w:sz w:val="13"/>
          <w:szCs w:val="13"/>
        </w:rPr>
        <w:t>AUSAS</w:t>
      </w:r>
      <w:r>
        <w:rPr>
          <w:b/>
          <w:bCs/>
        </w:rPr>
        <w:t xml:space="preserve">: </w:t>
      </w:r>
      <w:r>
        <w:t xml:space="preserve">Las especies de </w:t>
      </w:r>
      <w:r>
        <w:rPr>
          <w:rFonts w:ascii="Times New Roman" w:eastAsia="Times New Roman" w:hAnsi="Times New Roman" w:cs="Times New Roman"/>
          <w:i/>
          <w:iCs/>
          <w:sz w:val="16"/>
          <w:szCs w:val="16"/>
        </w:rPr>
        <w:t>Nocardia</w:t>
      </w:r>
      <w:r>
        <w:t xml:space="preserve"> son actinomicetos aeróbicos. La enfermedad pulmonar o la diseminada es causada más a menudo por el complejo de </w:t>
      </w:r>
      <w:r>
        <w:rPr>
          <w:rFonts w:ascii="Times New Roman" w:eastAsia="Times New Roman" w:hAnsi="Times New Roman" w:cs="Times New Roman"/>
          <w:i/>
          <w:iCs/>
          <w:sz w:val="16"/>
          <w:szCs w:val="16"/>
        </w:rPr>
        <w:t>Nocardia asteroides,</w:t>
      </w:r>
      <w:r>
        <w:t xml:space="preserve"> que incluye </w:t>
      </w:r>
      <w:r>
        <w:rPr>
          <w:rFonts w:ascii="Times New Roman" w:eastAsia="Times New Roman" w:hAnsi="Times New Roman" w:cs="Times New Roman"/>
          <w:i/>
          <w:iCs/>
          <w:sz w:val="16"/>
          <w:szCs w:val="16"/>
        </w:rPr>
        <w:t>Nocardia farcinica</w:t>
      </w:r>
      <w:r>
        <w:t xml:space="preserve"> y </w:t>
      </w:r>
      <w:r>
        <w:rPr>
          <w:rFonts w:ascii="Times New Roman" w:eastAsia="Times New Roman" w:hAnsi="Times New Roman" w:cs="Times New Roman"/>
          <w:i/>
          <w:iCs/>
          <w:sz w:val="16"/>
          <w:szCs w:val="16"/>
        </w:rPr>
        <w:t>Nocardia nova</w:t>
      </w:r>
      <w:r>
        <w:rPr>
          <w:i/>
          <w:iCs/>
        </w:rPr>
        <w:t>.</w:t>
      </w:r>
      <w:r>
        <w:t xml:space="preserve"> El ataque cutáneo es causado más a menudo por </w:t>
      </w:r>
      <w:r>
        <w:rPr>
          <w:rFonts w:ascii="Times New Roman" w:eastAsia="Times New Roman" w:hAnsi="Times New Roman" w:cs="Times New Roman"/>
          <w:i/>
          <w:iCs/>
          <w:sz w:val="16"/>
          <w:szCs w:val="16"/>
        </w:rPr>
        <w:t>Nocardia brasiliensis</w:t>
      </w:r>
      <w:r>
        <w:rPr>
          <w:i/>
          <w:iCs/>
        </w:rPr>
        <w:t xml:space="preserve">. </w:t>
      </w:r>
      <w:r>
        <w:rPr>
          <w:rFonts w:ascii="Times New Roman" w:eastAsia="Times New Roman" w:hAnsi="Times New Roman" w:cs="Times New Roman"/>
          <w:i/>
          <w:iCs/>
          <w:sz w:val="16"/>
          <w:szCs w:val="16"/>
        </w:rPr>
        <w:t>Nocardia pseudobrasiliensis</w:t>
      </w:r>
      <w:r>
        <w:t xml:space="preserve"> afecta los pulmones, el sistema nervioso central (SNC) y también produce nocardiosis sistémica.</w:t>
      </w:r>
    </w:p>
    <w:p w14:paraId="2FD3FB61" w14:textId="77777777" w:rsidR="00D03C17" w:rsidRDefault="00D03C17">
      <w:pPr>
        <w:pStyle w:val="Bodytext70"/>
        <w:spacing w:after="0"/>
      </w:pPr>
      <w:r>
        <w:rPr>
          <w:i/>
          <w:iCs/>
        </w:rPr>
        <w:t>Pneumocystis jiroveci</w:t>
      </w:r>
      <w:r>
        <w:rPr>
          <w:i/>
          <w:iCs/>
          <w:w w:val="100"/>
        </w:rPr>
        <w:t>,</w:t>
      </w:r>
      <w:r>
        <w:t xml:space="preserve"> infecciones</w:t>
      </w:r>
    </w:p>
    <w:p w14:paraId="725F74ED" w14:textId="77777777" w:rsidR="00D03C17" w:rsidRDefault="00D03C17">
      <w:pPr>
        <w:pStyle w:val="BodyText"/>
        <w:ind w:firstLine="0"/>
      </w:pPr>
      <w:r>
        <w:rPr>
          <w:b/>
          <w:bCs/>
          <w:smallCaps/>
          <w:sz w:val="20"/>
          <w:szCs w:val="20"/>
        </w:rPr>
        <w:t>M</w:t>
      </w:r>
      <w:r>
        <w:rPr>
          <w:b/>
          <w:bCs/>
          <w:smallCaps/>
          <w:sz w:val="16"/>
          <w:szCs w:val="16"/>
        </w:rPr>
        <w:t>anifestaciones clínicas</w:t>
      </w:r>
      <w:r>
        <w:rPr>
          <w:b/>
          <w:bCs/>
          <w:smallCaps/>
          <w:sz w:val="20"/>
          <w:szCs w:val="20"/>
        </w:rPr>
        <w:t>:</w:t>
      </w:r>
      <w:r>
        <w:t xml:space="preserve"> Los niños y los lactantes muestran un síndrome característico de neumonitis difusa subaguda que incluye disnea en el reposo, taquipnea, desaturación de oxígeno, tos no productiva y fiebre. Sin embargo, es variable la intensidad de tales signos y síntomas, y en algunos menores y adultos inmunodeficientes el comienzo puede ser agudo y fulminante. En la radiografía de tórax suele observarse ataque bilateral difuso intersticial o alveolar; en raras ocasiones aparecen también lesiones lobares, miliares o nodulares. En contadas ocasiones tiene aspecto normal la radiografía de tórax en la fecha del diagnóstico. La tasa de mortalidad en pacientes inmunodeficientes varía de 5 a 40% en caso de emprender el tratamiento, y se acerca a 100% en caso de no emprenderlo.</w:t>
      </w:r>
    </w:p>
    <w:p w14:paraId="5315AD3F" w14:textId="77777777" w:rsidR="00D03C17" w:rsidRDefault="00D03C17">
      <w:pPr>
        <w:pStyle w:val="BodyText"/>
        <w:ind w:firstLine="0"/>
      </w:pPr>
      <w:r>
        <w:rPr>
          <w:b/>
          <w:bCs/>
        </w:rPr>
        <w:t>C</w:t>
      </w:r>
      <w:r>
        <w:rPr>
          <w:b/>
          <w:bCs/>
          <w:sz w:val="13"/>
          <w:szCs w:val="13"/>
        </w:rPr>
        <w:t>AUSAS</w:t>
      </w:r>
      <w:r>
        <w:rPr>
          <w:b/>
          <w:bCs/>
        </w:rPr>
        <w:t xml:space="preserve">: </w:t>
      </w:r>
      <w:r>
        <w:rPr>
          <w:rFonts w:ascii="Times New Roman" w:eastAsia="Times New Roman" w:hAnsi="Times New Roman" w:cs="Times New Roman"/>
          <w:i/>
          <w:iCs/>
          <w:sz w:val="16"/>
          <w:szCs w:val="16"/>
        </w:rPr>
        <w:t>Pneumocystis jiroveci</w:t>
      </w:r>
      <w:r>
        <w:t xml:space="preserve"> (antes </w:t>
      </w:r>
      <w:r>
        <w:rPr>
          <w:rFonts w:ascii="Times New Roman" w:eastAsia="Times New Roman" w:hAnsi="Times New Roman" w:cs="Times New Roman"/>
          <w:i/>
          <w:iCs/>
          <w:sz w:val="16"/>
          <w:szCs w:val="16"/>
        </w:rPr>
        <w:t>Pneumocystis carinii)</w:t>
      </w:r>
      <w:r>
        <w:t xml:space="preserve"> se clasifica como hongo con base en el análisis de secuencia de DNA. Sin embargo, el microorganismo conserva algunas semejanzas morfológicas y biológicas de los protozoos, incluida su susceptibilidad a diversos agentes antiprotozoos, aunque son resistentes a muchos antimicóticos. Los quistes de 5 a 7 pm de diámetro contienen incluso ocho esporozoítos. Se conservarán las siglas PCP </w:t>
      </w:r>
      <w:r>
        <w:rPr>
          <w:i/>
          <w:iCs/>
        </w:rPr>
        <w:t>(</w:t>
      </w:r>
      <w:r>
        <w:rPr>
          <w:rFonts w:ascii="Times New Roman" w:eastAsia="Times New Roman" w:hAnsi="Times New Roman" w:cs="Times New Roman"/>
          <w:i/>
          <w:iCs/>
          <w:sz w:val="16"/>
          <w:szCs w:val="16"/>
        </w:rPr>
        <w:t>Pneumocystis carinii pneumonia</w:t>
      </w:r>
      <w:r>
        <w:rPr>
          <w:i/>
          <w:iCs/>
        </w:rPr>
        <w:t>)</w:t>
      </w:r>
      <w:r>
        <w:t xml:space="preserve"> y se le seguirá llamando neumonía por </w:t>
      </w:r>
      <w:r>
        <w:rPr>
          <w:rFonts w:ascii="Times New Roman" w:eastAsia="Times New Roman" w:hAnsi="Times New Roman" w:cs="Times New Roman"/>
          <w:i/>
          <w:iCs/>
          <w:sz w:val="16"/>
          <w:szCs w:val="16"/>
        </w:rPr>
        <w:t>Pneumocystis</w:t>
      </w:r>
      <w:r>
        <w:t>.</w:t>
      </w:r>
    </w:p>
    <w:p w14:paraId="01A41B30" w14:textId="77777777" w:rsidR="00D03C17" w:rsidRDefault="00D03C17">
      <w:pPr>
        <w:pStyle w:val="BodyText"/>
        <w:ind w:firstLine="0"/>
      </w:pPr>
      <w:r>
        <w:rPr>
          <w:b/>
          <w:bCs/>
        </w:rPr>
        <w:t>A</w:t>
      </w:r>
      <w:r>
        <w:rPr>
          <w:b/>
          <w:bCs/>
          <w:sz w:val="13"/>
          <w:szCs w:val="13"/>
        </w:rPr>
        <w:t xml:space="preserve">SPECTOS </w:t>
      </w:r>
      <w:r>
        <w:rPr>
          <w:b/>
          <w:bCs/>
          <w:smallCaps/>
          <w:sz w:val="16"/>
          <w:szCs w:val="16"/>
        </w:rPr>
        <w:t>epidemiológicos</w:t>
      </w:r>
      <w:r>
        <w:rPr>
          <w:b/>
          <w:bCs/>
          <w:smallCaps/>
          <w:sz w:val="20"/>
          <w:szCs w:val="20"/>
        </w:rPr>
        <w:t xml:space="preserve">: </w:t>
      </w:r>
      <w:r>
        <w:rPr>
          <w:rFonts w:ascii="Times New Roman" w:eastAsia="Times New Roman" w:hAnsi="Times New Roman" w:cs="Times New Roman"/>
          <w:i/>
          <w:iCs/>
          <w:sz w:val="16"/>
          <w:szCs w:val="16"/>
        </w:rPr>
        <w:t>Pneumocystis jiroveci</w:t>
      </w:r>
      <w:r>
        <w:t xml:space="preserve"> muestra distribución amplísima en el mundo de los mamíferos, en particular los roedores, y presenta tropismo por proliferar en las mucosas de las vías respiratorias. Los microorganismos aislados en ratones, ratas y hurones muestran diversidad genética entre sí y en relación con </w:t>
      </w:r>
      <w:r>
        <w:rPr>
          <w:rFonts w:ascii="Times New Roman" w:eastAsia="Times New Roman" w:hAnsi="Times New Roman" w:cs="Times New Roman"/>
          <w:i/>
          <w:iCs/>
          <w:sz w:val="16"/>
          <w:szCs w:val="16"/>
        </w:rPr>
        <w:t>P jiroveci</w:t>
      </w:r>
      <w:r>
        <w:t xml:space="preserve"> de seres humanos; los microorganismos aislados de una especie animal no infectan otra especie. La infección asintomática surge en fase temprana de la vida y más de 75% de las personas sanas tienen ya anticuerpos a los cuatros años de edad. En países con recursos limitados y en épocas de hambruna, PCP ha aparecido en epidemias que afectan más bien a lactantes y niños malnutridos. La epidemia también ha abarcado a los prematuros. En países industrializados, PCP ataca casi por completo a personas inmunodeficientes que muestran deterioro de su inmunidad mediada por células, en particular aquellas con infección por virus de inmunodeficiencia humana (VIH); quienes han recibido fármacos inmunosupresores después de trasplante de órganos o tratamiento de cánceres, y niños con síndromes de inmunodeficiencia congénita. PCP, a pesar de que su frecuencia ha disminuido gracias a las medidas profilácticas eficaces y el uso de antirretrovíricos, sigue siendo de los microorganismos oportunistas más graves y frecuentes que afectan a lactantes y niños con infección por VIH adquirida en fase perinatal. La enfermedad puede comenzar en cualquier edad, incluidos casos raros en el primer mes de vida, pero la infección por PCP afecta más a menudo a niños infectados por VIH entre los tres y seis meses de vida. Se desconoce el mecanismo de transmisión. Entre las hipótesis están la que señalan la transmisión directa de una persona a otra por la vía respiratoria y el contagio desde el entorno. Las pruebas circunstanciales sugieren que puede ocurrir la transmisión directa. La infección primaria quizá explica la aparición de enfermedad en la lactancia. Se ha planteado que la reactivación de una infección latente con la inmunosupresión sea una explicación del surgimiento de la enfermedad después de los primeros dos años de vida, pero los modelos animales de PCP no refuerzan la posibilidad de que exista una fase de latencia. En individuos con linfoma o leucemia la enfermedad puede surgir durante la remisión o la recaída. Se desconoce el periodo de transmisibilidad.</w:t>
      </w:r>
    </w:p>
    <w:p w14:paraId="0FB3B6FD" w14:textId="77777777" w:rsidR="00D03C17" w:rsidRDefault="00D03C17">
      <w:pPr>
        <w:pStyle w:val="BodyText"/>
        <w:ind w:firstLine="360"/>
      </w:pPr>
      <w:r>
        <w:t xml:space="preserve">Se desconoce el </w:t>
      </w:r>
      <w:r>
        <w:rPr>
          <w:b/>
          <w:bCs/>
        </w:rPr>
        <w:t>periodo de incubación</w:t>
      </w:r>
      <w:r>
        <w:t>, pero los datos de modelos animales sugieren que median cuatro a ocho semanas desde la exposición hasta la aparición de la infección clínicamente manifiesta.</w:t>
      </w:r>
    </w:p>
    <w:p w14:paraId="7C7FC460" w14:textId="77777777" w:rsidR="00D03C17" w:rsidRDefault="00D03C17">
      <w:pPr>
        <w:pStyle w:val="BodyText"/>
        <w:ind w:firstLine="0"/>
      </w:pPr>
      <w:r>
        <w:rPr>
          <w:b/>
          <w:bCs/>
        </w:rPr>
        <w:t>M</w:t>
      </w:r>
      <w:r>
        <w:rPr>
          <w:b/>
          <w:bCs/>
          <w:sz w:val="13"/>
          <w:szCs w:val="13"/>
        </w:rPr>
        <w:t>ÉTODOS DIAGNÓSTICOS</w:t>
      </w:r>
      <w:r>
        <w:rPr>
          <w:b/>
          <w:bCs/>
        </w:rPr>
        <w:t xml:space="preserve">: </w:t>
      </w:r>
      <w:r>
        <w:t xml:space="preserve">El diagnóstico definitivo de infección por PCP se hace al demostrar los microorganismos en muestras de tejido pulmonar o de secreciones de vías respiratorias. Los procedimientos más sensibles específicos para el diagnóstico son la biopsia abierta de pulmón, y en niños de mayor edad, la biopsia transbronquial. Sin embargo, algunos de los métodos menos invasores que a menudo corroboran el diagnóstico son la broncoscopia con lavado broncoalveolar, la inducción de esputo en niños mayores y adolescentes y la intubación con aspiración endobronquial profunda, y son sensibles en personas con infección por VIH que tienen un número mayor de microorganismos. Los colorantes más útiles para identificar los quistes de </w:t>
      </w:r>
      <w:r>
        <w:rPr>
          <w:rFonts w:ascii="Times New Roman" w:eastAsia="Times New Roman" w:hAnsi="Times New Roman" w:cs="Times New Roman"/>
          <w:i/>
          <w:iCs/>
          <w:sz w:val="16"/>
          <w:szCs w:val="16"/>
        </w:rPr>
        <w:t>P jiroveci</w:t>
      </w:r>
      <w:r>
        <w:t xml:space="preserve"> de pared gruesa son la metenamina argéntica, el azul de toluidina O, el calcofluor blanco y los anticuerpos monoclonales conjugados con fluoresceína. Las formas de trofozoíto extraquísticas se identifican con tinciones de Giemsa, de Wright-Giemsa modificados y de anticuerpos monoclonales conjugados con fluoresceína. Por medio de la reacción en cadena de polimerasa es posible detectar infección por </w:t>
      </w:r>
      <w:r>
        <w:rPr>
          <w:rFonts w:ascii="Times New Roman" w:eastAsia="Times New Roman" w:hAnsi="Times New Roman" w:cs="Times New Roman"/>
          <w:i/>
          <w:iCs/>
          <w:sz w:val="16"/>
          <w:szCs w:val="16"/>
        </w:rPr>
        <w:t>P jiroveci</w:t>
      </w:r>
      <w:r>
        <w:rPr>
          <w:i/>
          <w:iCs/>
        </w:rPr>
        <w:t>,</w:t>
      </w:r>
      <w:r>
        <w:t xml:space="preserve"> pero están en fase experimental y no se recomiendan para el diagnóstico. Tampoco son útiles los métodos serológicos.</w:t>
      </w:r>
    </w:p>
    <w:p w14:paraId="4C9D929E" w14:textId="77777777" w:rsidR="00D03C17" w:rsidRDefault="00D03C17">
      <w:pPr>
        <w:pStyle w:val="BodyText"/>
        <w:ind w:firstLine="0"/>
      </w:pPr>
      <w:r>
        <w:rPr>
          <w:b/>
          <w:bCs/>
        </w:rPr>
        <w:t>T</w:t>
      </w:r>
      <w:r>
        <w:rPr>
          <w:b/>
          <w:bCs/>
          <w:sz w:val="13"/>
          <w:szCs w:val="13"/>
        </w:rPr>
        <w:t>RATAMIENTO</w:t>
      </w:r>
      <w:r>
        <w:rPr>
          <w:b/>
          <w:bCs/>
        </w:rPr>
        <w:t xml:space="preserve">: </w:t>
      </w:r>
      <w:r>
        <w:t>El medicamento más indicado es el trimetoprim-sulfametoxazol intravenoso (trimetoprim, 15 a 20 mg/kg al día y sulfametoxazol, 75 a 100 mg/kg al día, en fracciones cada 6 h). La administración oral debe reservarse para niños con enfermedad leve que no tienen malabsorción ni diarrea. La cifra de reacciones adversas (erupción, neutropenia, anemia, disfunción renal, náuseas, vómitos y diarrea) al trimetoprim-sulfametoxazol es mayor en niños infectados por VIH (se calcula en 15%), que en otros pacientes. Si la reacción adversa no es grave, se recomienda continuar el tratamiento. La mitad de los niños con reacciones adversas fueron tratados más adelante y de un modo satisfactorio con trimetoprim-sulfametoxazol.</w:t>
      </w:r>
    </w:p>
    <w:p w14:paraId="540EA3AB" w14:textId="77777777" w:rsidR="00D03C17" w:rsidRDefault="00D03C17">
      <w:pPr>
        <w:pStyle w:val="BodyText"/>
        <w:ind w:firstLine="360"/>
      </w:pPr>
      <w:r>
        <w:t>Otro fármaco al que puede recurrirse es la pentamidina intravenosa (4 mg de sal/kg de peso al día, una vez al día) para niños y adultos que no toleran el trimetoprim- sulfametoxazol o que tienen enfermedad grave y que no han mejorado con dicho fármaco después de recibirlo cinco a siete días. La eficacia terapéutica de la pentamidina parenteral en adultos con PCP ha sido semejante a la del trimetoprim-sulfametoxazol. La pentamidina se acompaña de una incidencia alta de reacciones adversas, como pancreatitis, disfunción renal, hipoglucemia, hiperglucemia, hipotensión, fiebre y neutropenia. No debe administrarse junto con didanosina porque ambos fármacos ocasionan pancreatitis. Si la persona que recibe didanosina termina por mostrar infección por PCP y necesita pentamidina, habrá que interrumpir el uso de la didanosina hasta una semana después de completar la administración de pentamidina.</w:t>
      </w:r>
    </w:p>
    <w:p w14:paraId="50A9C304" w14:textId="77777777" w:rsidR="00D03C17" w:rsidRDefault="00D03C17">
      <w:pPr>
        <w:pStyle w:val="BodyText"/>
        <w:ind w:firstLine="360"/>
      </w:pPr>
      <w:r>
        <w:t>Se ha aprobado a la atovacuona ingerible para tratar PCP leve o moderada en adultos que no toleran trimetoprim-sulfametoxazol. La experiencia con el uso del fármaco mencionado en los niños es escasa. Otros medicamentos que pueden ser útiles en adultos incluyen dapsona con trimetoprim, glucuronato de trimetrexato con leucovorina cálcica y la combinación de clindamicina y fosfato de primaquina. La experiencia con las combinaciones en los niños es escasa.</w:t>
      </w:r>
    </w:p>
    <w:p w14:paraId="1BAB5FE0" w14:textId="77777777" w:rsidR="00D03C17" w:rsidRDefault="00D03C17">
      <w:pPr>
        <w:pStyle w:val="BodyText"/>
        <w:ind w:firstLine="360"/>
      </w:pPr>
      <w:r>
        <w:t>Se recomienda que el tratamiento dure como mínimo dos semanas; muchos expertos opinan que se necesitan tres semanas en sujetos con síndrome de inmunodeficiencia adquirida (SIDA). En estos últimos pacientes habrá que emprender</w:t>
      </w:r>
    </w:p>
    <w:tbl>
      <w:tblPr>
        <w:tblOverlap w:val="never"/>
        <w:tblW w:w="0" w:type="auto"/>
        <w:jc w:val="center"/>
        <w:tblLayout w:type="fixed"/>
        <w:tblCellMar>
          <w:left w:w="10" w:type="dxa"/>
          <w:right w:w="10" w:type="dxa"/>
        </w:tblCellMar>
        <w:tblLook w:val="04A0" w:firstRow="1" w:lastRow="0" w:firstColumn="1" w:lastColumn="0" w:noHBand="0" w:noVBand="1"/>
      </w:tblPr>
      <w:tblGrid>
        <w:gridCol w:w="2947"/>
        <w:gridCol w:w="3974"/>
      </w:tblGrid>
      <w:tr w:rsidR="00D03C17" w14:paraId="79576145" w14:textId="77777777">
        <w:tblPrEx>
          <w:tblCellMar>
            <w:top w:w="0" w:type="dxa"/>
            <w:bottom w:w="0" w:type="dxa"/>
          </w:tblCellMar>
        </w:tblPrEx>
        <w:trPr>
          <w:trHeight w:hRule="exact" w:val="1406"/>
          <w:jc w:val="center"/>
        </w:trPr>
        <w:tc>
          <w:tcPr>
            <w:tcW w:w="6921" w:type="dxa"/>
            <w:gridSpan w:val="2"/>
            <w:tcBorders>
              <w:top w:val="single" w:sz="4" w:space="0" w:color="auto"/>
            </w:tcBorders>
            <w:shd w:val="clear" w:color="auto" w:fill="FFFFFF"/>
            <w:vAlign w:val="bottom"/>
          </w:tcPr>
          <w:p w14:paraId="1889CBAD" w14:textId="77777777" w:rsidR="00D03C17" w:rsidRDefault="00D03C17">
            <w:pPr>
              <w:pStyle w:val="Other0"/>
              <w:spacing w:line="216" w:lineRule="auto"/>
              <w:ind w:firstLine="0"/>
              <w:jc w:val="center"/>
              <w:rPr>
                <w:sz w:val="26"/>
                <w:szCs w:val="26"/>
              </w:rPr>
            </w:pPr>
            <w:r>
              <w:rPr>
                <w:rFonts w:ascii="Arial" w:eastAsia="Arial" w:hAnsi="Arial" w:cs="Arial"/>
                <w:w w:val="70"/>
                <w:sz w:val="26"/>
                <w:szCs w:val="26"/>
              </w:rPr>
              <w:t xml:space="preserve">Cuadro 3-56. </w:t>
            </w:r>
            <w:r>
              <w:rPr>
                <w:rFonts w:ascii="Arial" w:eastAsia="Arial" w:hAnsi="Arial" w:cs="Arial"/>
                <w:b/>
                <w:bCs/>
                <w:w w:val="70"/>
                <w:sz w:val="26"/>
                <w:szCs w:val="26"/>
              </w:rPr>
              <w:t xml:space="preserve">Recomendaciones para la profilaxia contra la neumonía por </w:t>
            </w:r>
            <w:r>
              <w:rPr>
                <w:rFonts w:ascii="Arial" w:eastAsia="Arial" w:hAnsi="Arial" w:cs="Arial"/>
                <w:b/>
                <w:bCs/>
                <w:i/>
                <w:iCs/>
                <w:w w:val="70"/>
                <w:sz w:val="26"/>
                <w:szCs w:val="26"/>
              </w:rPr>
              <w:t>Pneumocystis</w:t>
            </w:r>
            <w:r>
              <w:rPr>
                <w:rFonts w:ascii="Arial" w:eastAsia="Arial" w:hAnsi="Arial" w:cs="Arial"/>
                <w:b/>
                <w:bCs/>
                <w:w w:val="70"/>
                <w:sz w:val="26"/>
                <w:szCs w:val="26"/>
              </w:rPr>
              <w:t xml:space="preserve"> (PCP) en lactantes y niños expuestos al virus de inmunodeficiencia humana (VIH), según la edad y el estado serológico del virus</w:t>
            </w:r>
            <w:r>
              <w:rPr>
                <w:rFonts w:ascii="Arial" w:eastAsia="Arial" w:hAnsi="Arial" w:cs="Arial"/>
                <w:b/>
                <w:bCs/>
                <w:w w:val="70"/>
                <w:sz w:val="26"/>
                <w:szCs w:val="26"/>
                <w:vertAlign w:val="superscript"/>
              </w:rPr>
              <w:t>1</w:t>
            </w:r>
          </w:p>
        </w:tc>
      </w:tr>
      <w:tr w:rsidR="00D03C17" w14:paraId="4284157E" w14:textId="77777777">
        <w:tblPrEx>
          <w:tblCellMar>
            <w:top w:w="0" w:type="dxa"/>
            <w:bottom w:w="0" w:type="dxa"/>
          </w:tblCellMar>
        </w:tblPrEx>
        <w:trPr>
          <w:trHeight w:hRule="exact" w:val="264"/>
          <w:jc w:val="center"/>
        </w:trPr>
        <w:tc>
          <w:tcPr>
            <w:tcW w:w="2947" w:type="dxa"/>
            <w:shd w:val="clear" w:color="auto" w:fill="231F20"/>
          </w:tcPr>
          <w:p w14:paraId="283B8177" w14:textId="77777777" w:rsidR="00D03C17" w:rsidRDefault="00D03C17">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Times New Roman" w:eastAsia="Times New Roman" w:hAnsi="Times New Roman" w:cs="Times New Roman"/>
                <w:color w:val="FFFFFF"/>
                <w:sz w:val="16"/>
                <w:szCs w:val="16"/>
              </w:rPr>
              <w:t xml:space="preserve">1 </w:t>
            </w:r>
            <w:r>
              <w:rPr>
                <w:rFonts w:ascii="Arial" w:eastAsia="Arial" w:hAnsi="Arial" w:cs="Arial"/>
                <w:b/>
                <w:bCs/>
                <w:color w:val="FFFFFF"/>
                <w:w w:val="70"/>
                <w:sz w:val="24"/>
                <w:szCs w:val="24"/>
              </w:rPr>
              <w:t>Edad y estado serológico de VIH</w:t>
            </w:r>
          </w:p>
        </w:tc>
        <w:tc>
          <w:tcPr>
            <w:tcW w:w="3974" w:type="dxa"/>
            <w:shd w:val="clear" w:color="auto" w:fill="231F20"/>
          </w:tcPr>
          <w:p w14:paraId="0DE26D34" w14:textId="77777777" w:rsidR="00D03C17" w:rsidRDefault="00D03C17">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500"/>
              <w:rPr>
                <w:sz w:val="8"/>
                <w:szCs w:val="8"/>
              </w:rPr>
            </w:pPr>
            <w:r>
              <w:rPr>
                <w:rFonts w:ascii="Arial" w:eastAsia="Arial" w:hAnsi="Arial" w:cs="Arial"/>
                <w:b/>
                <w:bCs/>
                <w:color w:val="FFFFFF"/>
                <w:w w:val="70"/>
                <w:sz w:val="24"/>
                <w:szCs w:val="24"/>
              </w:rPr>
              <w:t>Profilaxia contra PCP</w:t>
            </w:r>
            <w:r>
              <w:rPr>
                <w:rFonts w:ascii="Times New Roman" w:eastAsia="Times New Roman" w:hAnsi="Times New Roman" w:cs="Times New Roman"/>
                <w:color w:val="FFFFFF"/>
                <w:sz w:val="8"/>
                <w:szCs w:val="8"/>
                <w:vertAlign w:val="superscript"/>
              </w:rPr>
              <w:t>2</w:t>
            </w:r>
          </w:p>
        </w:tc>
      </w:tr>
      <w:tr w:rsidR="00D03C17" w14:paraId="2D094B5E" w14:textId="77777777">
        <w:tblPrEx>
          <w:tblCellMar>
            <w:top w:w="0" w:type="dxa"/>
            <w:bottom w:w="0" w:type="dxa"/>
          </w:tblCellMar>
        </w:tblPrEx>
        <w:trPr>
          <w:trHeight w:hRule="exact" w:val="278"/>
          <w:jc w:val="center"/>
        </w:trPr>
        <w:tc>
          <w:tcPr>
            <w:tcW w:w="2947" w:type="dxa"/>
            <w:shd w:val="clear" w:color="auto" w:fill="FFFFFF"/>
            <w:vAlign w:val="bottom"/>
          </w:tcPr>
          <w:p w14:paraId="6039660D"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Desde el nacimiento a las 4-6 semanas,</w:t>
            </w:r>
          </w:p>
        </w:tc>
        <w:tc>
          <w:tcPr>
            <w:tcW w:w="3974" w:type="dxa"/>
            <w:shd w:val="clear" w:color="auto" w:fill="FFFFFF"/>
            <w:vAlign w:val="bottom"/>
          </w:tcPr>
          <w:p w14:paraId="150CF46A" w14:textId="77777777" w:rsidR="00D03C17" w:rsidRDefault="00D03C17">
            <w:pPr>
              <w:pStyle w:val="Other0"/>
              <w:spacing w:line="240" w:lineRule="auto"/>
              <w:ind w:firstLine="500"/>
              <w:rPr>
                <w:sz w:val="16"/>
                <w:szCs w:val="16"/>
              </w:rPr>
            </w:pPr>
            <w:r>
              <w:rPr>
                <w:rFonts w:ascii="Times New Roman" w:eastAsia="Times New Roman" w:hAnsi="Times New Roman" w:cs="Times New Roman"/>
                <w:sz w:val="16"/>
                <w:szCs w:val="16"/>
              </w:rPr>
              <w:t>No es necesaria la profilaxia</w:t>
            </w:r>
          </w:p>
        </w:tc>
      </w:tr>
      <w:tr w:rsidR="00D03C17" w14:paraId="0484EC91" w14:textId="77777777">
        <w:tblPrEx>
          <w:tblCellMar>
            <w:top w:w="0" w:type="dxa"/>
            <w:bottom w:w="0" w:type="dxa"/>
          </w:tblCellMar>
        </w:tblPrEx>
        <w:trPr>
          <w:trHeight w:hRule="exact" w:val="230"/>
          <w:jc w:val="center"/>
        </w:trPr>
        <w:tc>
          <w:tcPr>
            <w:tcW w:w="2947" w:type="dxa"/>
            <w:shd w:val="clear" w:color="auto" w:fill="FFFFFF"/>
            <w:vAlign w:val="bottom"/>
          </w:tcPr>
          <w:p w14:paraId="589D2C37" w14:textId="77777777" w:rsidR="00D03C17" w:rsidRDefault="00D03C17">
            <w:pPr>
              <w:pStyle w:val="Other0"/>
              <w:spacing w:line="240" w:lineRule="auto"/>
              <w:ind w:firstLine="200"/>
              <w:rPr>
                <w:sz w:val="16"/>
                <w:szCs w:val="16"/>
              </w:rPr>
            </w:pPr>
            <w:r>
              <w:rPr>
                <w:rFonts w:ascii="Times New Roman" w:eastAsia="Times New Roman" w:hAnsi="Times New Roman" w:cs="Times New Roman"/>
                <w:sz w:val="16"/>
                <w:szCs w:val="16"/>
              </w:rPr>
              <w:t>producto expuesto a VIH</w:t>
            </w:r>
          </w:p>
        </w:tc>
        <w:tc>
          <w:tcPr>
            <w:tcW w:w="3974" w:type="dxa"/>
            <w:shd w:val="clear" w:color="auto" w:fill="FFFFFF"/>
          </w:tcPr>
          <w:p w14:paraId="20B6165F" w14:textId="77777777" w:rsidR="00D03C17" w:rsidRDefault="00D03C17">
            <w:pPr>
              <w:rPr>
                <w:sz w:val="10"/>
                <w:szCs w:val="10"/>
              </w:rPr>
            </w:pPr>
          </w:p>
        </w:tc>
      </w:tr>
      <w:tr w:rsidR="00D03C17" w14:paraId="0B9095D8" w14:textId="77777777">
        <w:tblPrEx>
          <w:tblCellMar>
            <w:top w:w="0" w:type="dxa"/>
            <w:bottom w:w="0" w:type="dxa"/>
          </w:tblCellMar>
        </w:tblPrEx>
        <w:trPr>
          <w:trHeight w:hRule="exact" w:val="202"/>
          <w:jc w:val="center"/>
        </w:trPr>
        <w:tc>
          <w:tcPr>
            <w:tcW w:w="2947" w:type="dxa"/>
            <w:shd w:val="clear" w:color="auto" w:fill="FFFFFF"/>
          </w:tcPr>
          <w:p w14:paraId="7A743709"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4-6 semanas a 4 meses, expuesto a VIH</w:t>
            </w:r>
          </w:p>
        </w:tc>
        <w:tc>
          <w:tcPr>
            <w:tcW w:w="3974" w:type="dxa"/>
            <w:shd w:val="clear" w:color="auto" w:fill="FFFFFF"/>
          </w:tcPr>
          <w:p w14:paraId="57705598" w14:textId="77777777" w:rsidR="00D03C17" w:rsidRDefault="00D03C17">
            <w:pPr>
              <w:pStyle w:val="Other0"/>
              <w:spacing w:line="240" w:lineRule="auto"/>
              <w:ind w:firstLine="500"/>
              <w:rPr>
                <w:sz w:val="16"/>
                <w:szCs w:val="16"/>
              </w:rPr>
            </w:pPr>
            <w:r>
              <w:rPr>
                <w:rFonts w:ascii="Times New Roman" w:eastAsia="Times New Roman" w:hAnsi="Times New Roman" w:cs="Times New Roman"/>
                <w:sz w:val="16"/>
                <w:szCs w:val="16"/>
              </w:rPr>
              <w:t>Profilaxia</w:t>
            </w:r>
          </w:p>
        </w:tc>
      </w:tr>
      <w:tr w:rsidR="00D03C17" w14:paraId="42AB336C" w14:textId="77777777">
        <w:tblPrEx>
          <w:tblCellMar>
            <w:top w:w="0" w:type="dxa"/>
            <w:bottom w:w="0" w:type="dxa"/>
          </w:tblCellMar>
        </w:tblPrEx>
        <w:trPr>
          <w:trHeight w:hRule="exact" w:val="206"/>
          <w:jc w:val="center"/>
        </w:trPr>
        <w:tc>
          <w:tcPr>
            <w:tcW w:w="2947" w:type="dxa"/>
            <w:shd w:val="clear" w:color="auto" w:fill="FFFFFF"/>
          </w:tcPr>
          <w:p w14:paraId="44D128FB"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4-12 meses</w:t>
            </w:r>
          </w:p>
        </w:tc>
        <w:tc>
          <w:tcPr>
            <w:tcW w:w="3974" w:type="dxa"/>
            <w:shd w:val="clear" w:color="auto" w:fill="FFFFFF"/>
          </w:tcPr>
          <w:p w14:paraId="271DF0CA" w14:textId="77777777" w:rsidR="00D03C17" w:rsidRDefault="00D03C17">
            <w:pPr>
              <w:rPr>
                <w:sz w:val="10"/>
                <w:szCs w:val="10"/>
              </w:rPr>
            </w:pPr>
          </w:p>
        </w:tc>
      </w:tr>
      <w:tr w:rsidR="00D03C17" w14:paraId="104E6032" w14:textId="77777777">
        <w:tblPrEx>
          <w:tblCellMar>
            <w:top w:w="0" w:type="dxa"/>
            <w:bottom w:w="0" w:type="dxa"/>
          </w:tblCellMar>
        </w:tblPrEx>
        <w:trPr>
          <w:trHeight w:hRule="exact" w:val="226"/>
          <w:jc w:val="center"/>
        </w:trPr>
        <w:tc>
          <w:tcPr>
            <w:tcW w:w="6921" w:type="dxa"/>
            <w:gridSpan w:val="2"/>
            <w:shd w:val="clear" w:color="auto" w:fill="FFFFFF"/>
            <w:vAlign w:val="bottom"/>
          </w:tcPr>
          <w:p w14:paraId="3CE09F5C" w14:textId="77777777" w:rsidR="00D03C17" w:rsidRDefault="00D03C17">
            <w:pPr>
              <w:pStyle w:val="Other0"/>
              <w:spacing w:line="240" w:lineRule="auto"/>
              <w:ind w:firstLine="200"/>
              <w:rPr>
                <w:sz w:val="16"/>
                <w:szCs w:val="16"/>
              </w:rPr>
            </w:pPr>
            <w:r>
              <w:rPr>
                <w:rFonts w:ascii="Times New Roman" w:eastAsia="Times New Roman" w:hAnsi="Times New Roman" w:cs="Times New Roman"/>
                <w:sz w:val="16"/>
                <w:szCs w:val="16"/>
              </w:rPr>
              <w:t>Infectado por VIH o estado indeterminado Profilaxia</w:t>
            </w:r>
          </w:p>
        </w:tc>
      </w:tr>
      <w:tr w:rsidR="00D03C17" w14:paraId="49AD327C" w14:textId="77777777">
        <w:tblPrEx>
          <w:tblCellMar>
            <w:top w:w="0" w:type="dxa"/>
            <w:bottom w:w="0" w:type="dxa"/>
          </w:tblCellMar>
        </w:tblPrEx>
        <w:trPr>
          <w:trHeight w:hRule="exact" w:val="235"/>
          <w:jc w:val="center"/>
        </w:trPr>
        <w:tc>
          <w:tcPr>
            <w:tcW w:w="2947" w:type="dxa"/>
            <w:shd w:val="clear" w:color="auto" w:fill="FFFFFF"/>
            <w:vAlign w:val="bottom"/>
          </w:tcPr>
          <w:p w14:paraId="29CD147D" w14:textId="77777777" w:rsidR="00D03C17" w:rsidRDefault="00D03C17">
            <w:pPr>
              <w:pStyle w:val="Other0"/>
              <w:spacing w:line="240" w:lineRule="auto"/>
              <w:ind w:firstLine="200"/>
              <w:rPr>
                <w:sz w:val="16"/>
                <w:szCs w:val="16"/>
              </w:rPr>
            </w:pPr>
            <w:r>
              <w:rPr>
                <w:rFonts w:ascii="Times New Roman" w:eastAsia="Times New Roman" w:hAnsi="Times New Roman" w:cs="Times New Roman"/>
                <w:sz w:val="16"/>
                <w:szCs w:val="16"/>
              </w:rPr>
              <w:t>Se excluyó la infección por VIH</w:t>
            </w:r>
            <w:r>
              <w:rPr>
                <w:rFonts w:ascii="Times New Roman" w:eastAsia="Times New Roman" w:hAnsi="Times New Roman" w:cs="Times New Roman"/>
                <w:sz w:val="16"/>
                <w:szCs w:val="16"/>
                <w:vertAlign w:val="superscript"/>
              </w:rPr>
              <w:t>3</w:t>
            </w:r>
          </w:p>
        </w:tc>
        <w:tc>
          <w:tcPr>
            <w:tcW w:w="3974" w:type="dxa"/>
            <w:shd w:val="clear" w:color="auto" w:fill="FFFFFF"/>
            <w:vAlign w:val="bottom"/>
          </w:tcPr>
          <w:p w14:paraId="3B97CD56" w14:textId="77777777" w:rsidR="00D03C17" w:rsidRDefault="00D03C17">
            <w:pPr>
              <w:pStyle w:val="Other0"/>
              <w:spacing w:line="240" w:lineRule="auto"/>
              <w:ind w:firstLine="500"/>
              <w:rPr>
                <w:sz w:val="16"/>
                <w:szCs w:val="16"/>
              </w:rPr>
            </w:pPr>
            <w:r>
              <w:rPr>
                <w:rFonts w:ascii="Times New Roman" w:eastAsia="Times New Roman" w:hAnsi="Times New Roman" w:cs="Times New Roman"/>
                <w:sz w:val="16"/>
                <w:szCs w:val="16"/>
              </w:rPr>
              <w:t>No es necesaria la profilaxia</w:t>
            </w:r>
          </w:p>
        </w:tc>
      </w:tr>
      <w:tr w:rsidR="00D03C17" w14:paraId="09CFA848" w14:textId="77777777">
        <w:tblPrEx>
          <w:tblCellMar>
            <w:top w:w="0" w:type="dxa"/>
            <w:bottom w:w="0" w:type="dxa"/>
          </w:tblCellMar>
        </w:tblPrEx>
        <w:trPr>
          <w:trHeight w:hRule="exact" w:val="658"/>
          <w:jc w:val="center"/>
        </w:trPr>
        <w:tc>
          <w:tcPr>
            <w:tcW w:w="2947" w:type="dxa"/>
            <w:shd w:val="clear" w:color="auto" w:fill="FFFFFF"/>
          </w:tcPr>
          <w:p w14:paraId="14769B83"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1-5 años, infectado con VIH</w:t>
            </w:r>
          </w:p>
        </w:tc>
        <w:tc>
          <w:tcPr>
            <w:tcW w:w="3974" w:type="dxa"/>
            <w:shd w:val="clear" w:color="auto" w:fill="FFFFFF"/>
            <w:vAlign w:val="bottom"/>
          </w:tcPr>
          <w:p w14:paraId="2538A99D" w14:textId="77777777" w:rsidR="00D03C17" w:rsidRDefault="00D03C17">
            <w:pPr>
              <w:pStyle w:val="Other0"/>
              <w:spacing w:line="288" w:lineRule="auto"/>
              <w:ind w:left="580" w:hanging="80"/>
              <w:rPr>
                <w:sz w:val="16"/>
                <w:szCs w:val="16"/>
              </w:rPr>
            </w:pPr>
            <w:r>
              <w:rPr>
                <w:rFonts w:ascii="Times New Roman" w:eastAsia="Times New Roman" w:hAnsi="Times New Roman" w:cs="Times New Roman"/>
                <w:sz w:val="16"/>
                <w:szCs w:val="16"/>
              </w:rPr>
              <w:t>Emprender profilaxia si: el número de linfocitos T CD4+ es menor de 500 células/pl o el porcentaje es menor de 15%</w:t>
            </w:r>
            <w:r>
              <w:rPr>
                <w:rFonts w:ascii="Times New Roman" w:eastAsia="Times New Roman" w:hAnsi="Times New Roman" w:cs="Times New Roman"/>
                <w:sz w:val="16"/>
                <w:szCs w:val="16"/>
                <w:vertAlign w:val="superscript"/>
              </w:rPr>
              <w:t>4,5</w:t>
            </w:r>
          </w:p>
        </w:tc>
      </w:tr>
      <w:tr w:rsidR="00D03C17" w14:paraId="5AB35908" w14:textId="77777777">
        <w:tblPrEx>
          <w:tblCellMar>
            <w:top w:w="0" w:type="dxa"/>
            <w:bottom w:w="0" w:type="dxa"/>
          </w:tblCellMar>
        </w:tblPrEx>
        <w:trPr>
          <w:trHeight w:hRule="exact" w:val="739"/>
          <w:jc w:val="center"/>
        </w:trPr>
        <w:tc>
          <w:tcPr>
            <w:tcW w:w="2947" w:type="dxa"/>
            <w:tcBorders>
              <w:bottom w:val="single" w:sz="4" w:space="0" w:color="auto"/>
            </w:tcBorders>
            <w:shd w:val="clear" w:color="auto" w:fill="FFFFFF"/>
          </w:tcPr>
          <w:p w14:paraId="7E778721"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5 años o mayores, infectados por VIH</w:t>
            </w:r>
          </w:p>
        </w:tc>
        <w:tc>
          <w:tcPr>
            <w:tcW w:w="3974" w:type="dxa"/>
            <w:tcBorders>
              <w:bottom w:val="single" w:sz="4" w:space="0" w:color="auto"/>
            </w:tcBorders>
            <w:shd w:val="clear" w:color="auto" w:fill="FFFFFF"/>
          </w:tcPr>
          <w:p w14:paraId="4A87E6F0" w14:textId="77777777" w:rsidR="00D03C17" w:rsidRDefault="00D03C17">
            <w:pPr>
              <w:pStyle w:val="Other0"/>
              <w:spacing w:line="283" w:lineRule="auto"/>
              <w:ind w:left="580" w:hanging="80"/>
              <w:rPr>
                <w:sz w:val="16"/>
                <w:szCs w:val="16"/>
              </w:rPr>
            </w:pPr>
            <w:r>
              <w:rPr>
                <w:rFonts w:ascii="Times New Roman" w:eastAsia="Times New Roman" w:hAnsi="Times New Roman" w:cs="Times New Roman"/>
                <w:sz w:val="16"/>
                <w:szCs w:val="16"/>
              </w:rPr>
              <w:t>Emprender profilaxia si: El número de linfocitos T CD4+ es menor de 200 células/pl o el porcentaje es menor de 15%5</w:t>
            </w:r>
          </w:p>
        </w:tc>
      </w:tr>
    </w:tbl>
    <w:p w14:paraId="2D6B6B90" w14:textId="77777777" w:rsidR="00D03C17" w:rsidRDefault="00D03C17">
      <w:pPr>
        <w:spacing w:after="99" w:line="1" w:lineRule="exact"/>
      </w:pPr>
    </w:p>
    <w:p w14:paraId="0D0A3D1F" w14:textId="77777777" w:rsidR="00D03C17" w:rsidRDefault="00D03C17">
      <w:pPr>
        <w:pStyle w:val="Bodytext20"/>
        <w:numPr>
          <w:ilvl w:val="0"/>
          <w:numId w:val="92"/>
        </w:numPr>
        <w:tabs>
          <w:tab w:val="left" w:pos="171"/>
        </w:tabs>
        <w:spacing w:line="252" w:lineRule="auto"/>
        <w:ind w:left="260" w:hanging="260"/>
        <w:rPr>
          <w:sz w:val="15"/>
          <w:szCs w:val="15"/>
        </w:rPr>
      </w:pPr>
      <w:bookmarkStart w:id="178" w:name="bookmark1202"/>
      <w:bookmarkEnd w:id="178"/>
      <w:r>
        <w:rPr>
          <w:sz w:val="15"/>
          <w:szCs w:val="15"/>
        </w:rPr>
        <w:t xml:space="preserve">Con autorización de los Centers for Disease Control and Prevention. 2002 USPHS/IDSA guidelines for preventing opportunistic infections among HIV-infected persons-2002. Recommendations of the US Public Health Service and the Infectious Diseases Society of America. </w:t>
      </w:r>
      <w:r>
        <w:rPr>
          <w:i/>
          <w:iCs/>
          <w:sz w:val="15"/>
          <w:szCs w:val="15"/>
        </w:rPr>
        <w:t xml:space="preserve">MMWR Recomm Rep. </w:t>
      </w:r>
      <w:r>
        <w:rPr>
          <w:sz w:val="15"/>
          <w:szCs w:val="15"/>
        </w:rPr>
        <w:t>2002;51(RR-8):1-46.</w:t>
      </w:r>
    </w:p>
    <w:p w14:paraId="5CD77E84" w14:textId="77777777" w:rsidR="00D03C17" w:rsidRDefault="00D03C17">
      <w:pPr>
        <w:pStyle w:val="Bodytext20"/>
        <w:numPr>
          <w:ilvl w:val="0"/>
          <w:numId w:val="92"/>
        </w:numPr>
        <w:tabs>
          <w:tab w:val="left" w:pos="178"/>
        </w:tabs>
        <w:spacing w:line="252" w:lineRule="auto"/>
        <w:ind w:left="260" w:hanging="260"/>
        <w:rPr>
          <w:sz w:val="15"/>
          <w:szCs w:val="15"/>
        </w:rPr>
      </w:pPr>
      <w:bookmarkStart w:id="179" w:name="bookmark1203"/>
      <w:bookmarkEnd w:id="179"/>
      <w:r>
        <w:rPr>
          <w:sz w:val="15"/>
          <w:szCs w:val="15"/>
        </w:rPr>
        <w:t>Los niños que han mostrado PCP deben ser sometidos a profilaxia permanente contra dicha forma de neumonía.</w:t>
      </w:r>
    </w:p>
    <w:p w14:paraId="521D66E4" w14:textId="77777777" w:rsidR="00D03C17" w:rsidRDefault="00D03C17">
      <w:pPr>
        <w:pStyle w:val="Bodytext20"/>
        <w:numPr>
          <w:ilvl w:val="0"/>
          <w:numId w:val="92"/>
        </w:numPr>
        <w:tabs>
          <w:tab w:val="left" w:pos="178"/>
        </w:tabs>
        <w:spacing w:line="252" w:lineRule="auto"/>
        <w:ind w:left="260" w:hanging="260"/>
        <w:rPr>
          <w:sz w:val="15"/>
          <w:szCs w:val="15"/>
        </w:rPr>
      </w:pPr>
      <w:bookmarkStart w:id="180" w:name="bookmark1204"/>
      <w:bookmarkEnd w:id="180"/>
      <w:r>
        <w:rPr>
          <w:sz w:val="15"/>
          <w:szCs w:val="15"/>
        </w:rPr>
        <w:t>Es posible descartar razonablemente la infección por VIH en niños que han tenido dos resultados negativos o más en los métodos diagnósticos para identificar el virus, y ambos se realizaron al mes de edad o en etapa ulterior y uno se hizo a los cuatro meses de edad o etapa ulterior, o bien dos resultados negativos o más en los métodos para identificar anticuerpo a inmunoglobulina G contra VIH hechos a los seis meses de vida o más en niños sin manifestaciones clínicas de enfermedad por VIH (véase “Humana, infección por virus de inmunodeficiencia [VIH]”, sección 3).</w:t>
      </w:r>
    </w:p>
    <w:p w14:paraId="4D0129F8" w14:textId="77777777" w:rsidR="00D03C17" w:rsidRDefault="00D03C17">
      <w:pPr>
        <w:pStyle w:val="Bodytext20"/>
        <w:numPr>
          <w:ilvl w:val="0"/>
          <w:numId w:val="92"/>
        </w:numPr>
        <w:tabs>
          <w:tab w:val="left" w:pos="183"/>
        </w:tabs>
        <w:spacing w:line="252" w:lineRule="auto"/>
        <w:ind w:left="260" w:hanging="260"/>
        <w:rPr>
          <w:sz w:val="15"/>
          <w:szCs w:val="15"/>
        </w:rPr>
      </w:pPr>
      <w:bookmarkStart w:id="181" w:name="bookmark1205"/>
      <w:bookmarkEnd w:id="181"/>
      <w:r>
        <w:rPr>
          <w:sz w:val="15"/>
          <w:szCs w:val="15"/>
        </w:rPr>
        <w:t>Es necesario continuar la profilaxia en todo niño de uno a dos años de vida que reciba profilaxia contra PCP y cuyo número de linfocitos T CD4+ sea menor de 750 células/pl o un porcentaje menor de 15% antes de los 12 meses de vida.</w:t>
      </w:r>
    </w:p>
    <w:p w14:paraId="40B3F393" w14:textId="77777777" w:rsidR="00D03C17" w:rsidRDefault="00D03C17">
      <w:pPr>
        <w:pStyle w:val="Bodytext20"/>
        <w:numPr>
          <w:ilvl w:val="0"/>
          <w:numId w:val="92"/>
        </w:numPr>
        <w:tabs>
          <w:tab w:val="left" w:pos="183"/>
        </w:tabs>
        <w:spacing w:after="480" w:line="252" w:lineRule="auto"/>
        <w:ind w:left="260" w:hanging="260"/>
        <w:rPr>
          <w:sz w:val="15"/>
          <w:szCs w:val="15"/>
        </w:rPr>
      </w:pPr>
      <w:bookmarkStart w:id="182" w:name="bookmark1206"/>
      <w:bookmarkEnd w:id="182"/>
      <w:r>
        <w:rPr>
          <w:sz w:val="15"/>
          <w:szCs w:val="15"/>
        </w:rPr>
        <w:t>Hay que pensar en la profilaxia en forma individual en niños que en otras situaciones estarían en peligro de contraer PCP, como aquellos que muestran disminución rápida en los números o porcentajes de linfocitos T CD4+ o menores dentro de la categoría C de la infección por virus de inmunodeficiencia humana.</w:t>
      </w:r>
    </w:p>
    <w:p w14:paraId="52941822" w14:textId="77777777" w:rsidR="00D03C17" w:rsidRDefault="00D03C17">
      <w:pPr>
        <w:pStyle w:val="BodyText"/>
        <w:ind w:firstLine="0"/>
      </w:pPr>
      <w:r>
        <w:t>la profilaxia al terminar la terapia contra la infección aguda y continuarlo hasta que el número de linfocitos T CD4+ rebase la concentración en que ya no se necesita profilaxia (cuadro 3-56) o permanentemente si no mejora el número de dichas células con los antirretrovíricos. Los niños con infección por PCP deben recibir la profilaxia en forma permanente para evitar recidivas.</w:t>
      </w:r>
    </w:p>
    <w:p w14:paraId="166EA001" w14:textId="77777777" w:rsidR="00D03C17" w:rsidRDefault="00D03C17">
      <w:pPr>
        <w:pStyle w:val="BodyText"/>
        <w:spacing w:after="280"/>
        <w:ind w:firstLine="380"/>
      </w:pPr>
      <w:r>
        <w:t>Los corticosteroides al parecer son beneficiosos en el tratamiento de adultos infectados por VIH que tienen PCP moderada o grave (definida por una presión de oxígeno arterial [PaO</w:t>
      </w:r>
      <w:r>
        <w:rPr>
          <w:rFonts w:ascii="Times New Roman" w:eastAsia="Times New Roman" w:hAnsi="Times New Roman" w:cs="Times New Roman"/>
          <w:sz w:val="11"/>
          <w:szCs w:val="11"/>
        </w:rPr>
        <w:t>2</w:t>
      </w:r>
      <w:r>
        <w:t>] menor de 70 mmHg en aire atmosférico o un gradiente alveoloarterial mayor de 35 mmHg). En el caso de adolescentes que tienen más de 13 años y en adultos, se ha recomendado usar 80 mg de prednisona ingerible/día en dos fracciones en los primeros cinco días; 40 mg una vez al día, del día seis al 10, y 20 mg una vez al día, de los días 11 a 21. No se han realizado estudios comparativos de la corticoterapia en niños de corta edad, pero muchos expertos incluirían a los corticosteroides como parte del tratamiento en menores con PCP moderada o grave.</w:t>
      </w:r>
    </w:p>
    <w:p w14:paraId="2CFCFD10" w14:textId="77777777" w:rsidR="00D03C17" w:rsidRDefault="00D03C17">
      <w:pPr>
        <w:pStyle w:val="BodyText"/>
        <w:ind w:firstLine="0"/>
      </w:pPr>
      <w:r>
        <w:t>No se ha precisado la dosis y la duración óptimas de dicha terapia en niños, pero casi todos los expertos sugieren usar 2 mg de prednisona/kg de peso al día o su equivalente durante siete a 10 días, y disminuir poco a poco la dosis en los 10 a 14 días siguientes.</w:t>
      </w:r>
    </w:p>
    <w:p w14:paraId="00851938" w14:textId="77777777" w:rsidR="00D03C17" w:rsidRDefault="00D03C17">
      <w:pPr>
        <w:pStyle w:val="BodyText"/>
        <w:spacing w:line="283" w:lineRule="auto"/>
        <w:ind w:firstLine="360"/>
      </w:pPr>
      <w:r>
        <w:rPr>
          <w:rFonts w:ascii="Arial" w:eastAsia="Arial" w:hAnsi="Arial" w:cs="Arial"/>
          <w:b/>
          <w:bCs/>
          <w:i/>
          <w:iCs/>
          <w:sz w:val="15"/>
          <w:szCs w:val="15"/>
        </w:rPr>
        <w:t>Quimioprofilaxia.</w:t>
      </w:r>
      <w:r>
        <w:t xml:space="preserve"> Es importante emprender la profilaxia contra el primer episodio de PCP en muchos niños con inmunodeficiencia significativa, incluidos los infectados por VIH (véase “Humana, infección por virus de inmunodeficiencia [VIH]”, en esta sección) y personas con inmunodeficiencias primarias o adquiridas.</w:t>
      </w:r>
    </w:p>
    <w:p w14:paraId="0D253AFC" w14:textId="77777777" w:rsidR="00D03C17" w:rsidRDefault="00D03C17">
      <w:pPr>
        <w:pStyle w:val="BodyText"/>
        <w:ind w:firstLine="360"/>
      </w:pPr>
      <w:r>
        <w:t>La mitad de los casos de PCP en la población pediátrica con la infección perinatal por VIH se centran en pequeños de tres a seis meses de vida, razón por la cual es esencial la identificación temprana de los niños que han estado expuestos en la fase perinatal al virus en cuestión, para emprender la profilaxia antes de que estén en peligro de contraer la neumonía. Se recomienda la profilaxia contra PCP en todo hijo de madre infectada por VIH, y tal medida comenzará entre las cuatro y las seis semanas de edad (véase cuadro 3-56). Se interrumpirá la profilaxia contra PCP en niños en quienes se ha descartado la infección por VIH, salvo que exista otro cuadro de inmunodeficiencia. En el caso de niños en los que no haya certeza de si tienen infección por VIH habrá que continuar la profilaxia en todo el primer año de vida.</w:t>
      </w:r>
    </w:p>
    <w:p w14:paraId="68548D84" w14:textId="77777777" w:rsidR="00D03C17" w:rsidRDefault="00D03C17">
      <w:pPr>
        <w:pStyle w:val="BodyText"/>
        <w:ind w:firstLine="360"/>
      </w:pPr>
      <w:r>
        <w:t>En el caso de lactantes y niños infectados con VIH habrá que continuar la profilaxia contra PCP o practicarla en las situaciones siguientes: 1) cualquier cifra de linfocitos T CD4+ que denote inmunosupresión profunda para la edad (véase cuadro 3-56); 2) una disminución rápida del número de las células mencionadas o 3) enfermedad sintomática grave por VIH (categoría C) (véase “Humana, infección por virus de inmunodeficiencia [VIH]”, en esta sección y cuadro 3-56). Los criterios son los mismos para niños de mayor edad y adolescentes, excepto las definiciones diferentes (específicas de cada grupo de edad) del recuento bajo absoluto de linfocitos T CD4+. En el caso de adolescentes o adultos se ha recomendado la profilaxia contra PCP si la persona tiene el antecedente de candidiasis bucofaríngea. Con base en la experiencia de interrumpir la profilaxia primaria o secundaria (después de un caso de PCP) contra dicha neumonitis en adolescentes y adultos después de que hubo una reacción adecuada en la cifra de linfocitos T CD4+ a los antirretrovíricos, también habrá que valorar la interrupción de las medidas preventivas en pacientes cuya cifra de los linfocitos mencionados es adecuada. Los niños con el antecedente de PCP deben recibir durante toda la vida quimioprofilaxia contra dicho microorganismo. No se ha estudiado ampliamente la posibilidad o seguridad de interrumpir la profilaxia secundaria en niños infectados por el virus de inmunodeficiencia humana.</w:t>
      </w:r>
    </w:p>
    <w:p w14:paraId="0EC60099" w14:textId="77777777" w:rsidR="00D03C17" w:rsidRDefault="00D03C17">
      <w:pPr>
        <w:pStyle w:val="BodyText"/>
        <w:ind w:firstLine="360"/>
      </w:pPr>
      <w:r>
        <w:t>Los niños infectados por VIH que tienen más de un año de vida y que no reciben fármacos profilácticos contra PCP (p. ej., niños que no habían sido identificados u otros en los que se interrumpió la profilaxia contra PCP) deben comenzar las medidas profilácticas si el número de linfocitos T CD4+ indica inmunosupresión profunda (véase cuadro 3-56).</w:t>
      </w:r>
    </w:p>
    <w:p w14:paraId="5D119E22" w14:textId="77777777" w:rsidR="00D03C17" w:rsidRDefault="00D03C17">
      <w:pPr>
        <w:pStyle w:val="BodyText"/>
        <w:ind w:firstLine="360"/>
        <w:sectPr w:rsidR="00D03C17" w:rsidSect="00D03C17">
          <w:headerReference w:type="even" r:id="rId219"/>
          <w:headerReference w:type="default" r:id="rId220"/>
          <w:footerReference w:type="even" r:id="rId221"/>
          <w:footerReference w:type="default" r:id="rId222"/>
          <w:footnotePr>
            <w:numFmt w:val="chicago"/>
          </w:footnotePr>
          <w:pgSz w:w="8501" w:h="13022"/>
          <w:pgMar w:top="707" w:right="578" w:bottom="444" w:left="521" w:header="0" w:footer="3" w:gutter="0"/>
          <w:pgNumType w:start="551"/>
          <w:cols w:space="720"/>
          <w:noEndnote/>
          <w:docGrid w:linePitch="360"/>
          <w15:footnoteColumns w:val="1"/>
        </w:sectPr>
      </w:pPr>
      <w:r>
        <w:t>En el caso de PCP se recomienda profilaxia</w:t>
      </w:r>
      <w:r>
        <w:footnoteReference w:id="17"/>
      </w:r>
      <w:r>
        <w:t xml:space="preserve"> para niños que han recibido trasplantes de hemoblastos </w:t>
      </w:r>
      <w:r>
        <w:rPr>
          <w:i/>
          <w:iCs/>
        </w:rPr>
        <w:t>(</w:t>
      </w:r>
      <w:r>
        <w:rPr>
          <w:rFonts w:ascii="Times New Roman" w:eastAsia="Times New Roman" w:hAnsi="Times New Roman" w:cs="Times New Roman"/>
          <w:i/>
          <w:iCs/>
          <w:sz w:val="16"/>
          <w:szCs w:val="16"/>
        </w:rPr>
        <w:t>hematopoietic stem cell transplants</w:t>
      </w:r>
      <w:r>
        <w:rPr>
          <w:i/>
          <w:iCs/>
        </w:rPr>
        <w:t>,</w:t>
      </w:r>
      <w:r>
        <w:t xml:space="preserve"> HSCT), en todos los que han recibido los hemoblastos y que tienen cánceres hematológicos (como leucemia o linfoma), y en quienes han recibido hemoblastos y al mismo tiempo han recibido regímenes condicionantes o manipulación de los injertos. La profilaxia debe emprenderse en el </w:t>
      </w:r>
    </w:p>
    <w:p w14:paraId="07EC732B" w14:textId="77777777" w:rsidR="00D03C17" w:rsidRDefault="00D03C17">
      <w:pPr>
        <w:pStyle w:val="BodyText"/>
        <w:ind w:firstLine="0"/>
      </w:pPr>
      <w:r>
        <w:t>momento en que fue aceptado el injerto por el organismo y se continuará durante seis meses; se rebasará tal límite en todos los niños que reciben inmunosupresores (como prednisona o ciclosporina) o en niños con enfermedad de rechazo inverso crónica (injerto contra huésped).</w:t>
      </w:r>
    </w:p>
    <w:p w14:paraId="150AF2EB" w14:textId="77777777" w:rsidR="00D03C17" w:rsidRDefault="00D03C17">
      <w:pPr>
        <w:pStyle w:val="BodyText"/>
        <w:ind w:firstLine="360"/>
      </w:pPr>
      <w:r>
        <w:t>El fármaco recomendado para la profilaxia contra PCP en todos los niños inmunodeficientes es el trimetoprim-sulfametoxazol administrado tres días consecutivos cada semana (cuadro 3-57, que incluye dosis). Los niños que no toleran dicho medicamento podrán recibir si tienen cinco años de edad o más como otro fármaco, la pentamidina en aerosol aplicado por medio de Respigard II (VitalSigns Inc, Totowa, NJ). Otro medicamento al que cabe recurrir es la dapsona ingerida, diariamente, para la profilaxia en niños, en particular los que tienen menos de cinco años (véase cuadro 3-57). La pentamidina intravenosa se ha utilizado pero es más tóxica que otros medicamentos administrados con fin profiláctico.</w:t>
      </w:r>
    </w:p>
    <w:p w14:paraId="6015E0FC" w14:textId="77777777" w:rsidR="00D03C17" w:rsidRDefault="00D03C17">
      <w:pPr>
        <w:pStyle w:val="BodyText"/>
        <w:spacing w:after="380"/>
        <w:ind w:firstLine="360"/>
      </w:pPr>
      <w:r>
        <w:t>Otros productos que pueden ser usados en la profilaxia incluyen la combinación de pirimetamina y dapsona y leucovorina, pirimetamina-sulfadoxina y atovacuona</w:t>
      </w:r>
    </w:p>
    <w:p w14:paraId="4265058E" w14:textId="77777777" w:rsidR="00D03C17" w:rsidRDefault="00D03C17">
      <w:pPr>
        <w:pStyle w:val="Heading31"/>
        <w:keepNext/>
        <w:keepLines/>
        <w:pBdr>
          <w:bottom w:val="single" w:sz="4" w:space="0" w:color="auto"/>
        </w:pBdr>
        <w:spacing w:after="380" w:line="216" w:lineRule="auto"/>
        <w:jc w:val="center"/>
      </w:pPr>
      <w:bookmarkStart w:id="183" w:name="bookmark1207"/>
      <w:bookmarkStart w:id="184" w:name="bookmark1208"/>
      <w:bookmarkStart w:id="185" w:name="bookmark1209"/>
      <w:r>
        <w:rPr>
          <w:b w:val="0"/>
          <w:bCs w:val="0"/>
        </w:rPr>
        <w:t xml:space="preserve">Cuadro 3-57. </w:t>
      </w:r>
      <w:r>
        <w:t>Regímenes farmacoterapéuticos para profilaxia contra</w:t>
      </w:r>
      <w:r>
        <w:br/>
        <w:t xml:space="preserve">neumonía por </w:t>
      </w:r>
      <w:r>
        <w:rPr>
          <w:i/>
          <w:iCs/>
        </w:rPr>
        <w:t>Pneumocystis</w:t>
      </w:r>
      <w:r>
        <w:t xml:space="preserve"> en niños de cuatro semanas de edad o</w:t>
      </w:r>
      <w:r>
        <w:br/>
        <w:t>mayores</w:t>
      </w:r>
      <w:r>
        <w:rPr>
          <w:vertAlign w:val="superscript"/>
        </w:rPr>
        <w:t>1</w:t>
      </w:r>
      <w:bookmarkEnd w:id="183"/>
      <w:bookmarkEnd w:id="184"/>
      <w:bookmarkEnd w:id="185"/>
    </w:p>
    <w:p w14:paraId="3892E28A" w14:textId="77777777" w:rsidR="00D03C17" w:rsidRDefault="00D03C17">
      <w:pPr>
        <w:pStyle w:val="Other0"/>
        <w:spacing w:line="240" w:lineRule="auto"/>
        <w:ind w:firstLine="0"/>
        <w:rPr>
          <w:sz w:val="20"/>
          <w:szCs w:val="20"/>
        </w:rPr>
      </w:pPr>
      <w:r>
        <w:rPr>
          <w:rFonts w:ascii="Arial" w:eastAsia="Arial" w:hAnsi="Arial" w:cs="Arial"/>
          <w:b/>
          <w:bCs/>
          <w:w w:val="70"/>
          <w:sz w:val="20"/>
          <w:szCs w:val="20"/>
        </w:rPr>
        <w:t>Régimen recomendado:</w:t>
      </w:r>
    </w:p>
    <w:p w14:paraId="7609ACAF" w14:textId="77777777" w:rsidR="00D03C17" w:rsidRDefault="00D03C17">
      <w:pPr>
        <w:pStyle w:val="Bodytext20"/>
        <w:ind w:left="180" w:hanging="180"/>
      </w:pPr>
      <w:r>
        <w:t>Trimetoprim-sulfametoxazol (trimetoprim, 150 mg/m</w:t>
      </w:r>
      <w:r>
        <w:rPr>
          <w:vertAlign w:val="superscript"/>
        </w:rPr>
        <w:footnoteReference w:id="18"/>
      </w:r>
      <w:r>
        <w:rPr>
          <w:vertAlign w:val="superscript"/>
        </w:rPr>
        <w:t xml:space="preserve"> </w:t>
      </w:r>
      <w:r>
        <w:rPr>
          <w:vertAlign w:val="superscript"/>
        </w:rPr>
        <w:footnoteReference w:id="19"/>
      </w:r>
      <w:r>
        <w:t xml:space="preserve"> al día, con 750 mg de sulfametoxazol/m</w:t>
      </w:r>
      <w:r>
        <w:rPr>
          <w:vertAlign w:val="superscript"/>
        </w:rPr>
        <w:t xml:space="preserve">2 </w:t>
      </w:r>
      <w:r>
        <w:t>al día), por vía oral en fracciones, dos veces al día y tres veces por semana en días consecutivos (como sería lunes, martes y miércoles)</w:t>
      </w:r>
    </w:p>
    <w:p w14:paraId="6C32ACA2" w14:textId="77777777" w:rsidR="00D03C17" w:rsidRDefault="00D03C17">
      <w:pPr>
        <w:pStyle w:val="Other0"/>
        <w:spacing w:line="230" w:lineRule="auto"/>
        <w:ind w:firstLine="0"/>
        <w:rPr>
          <w:sz w:val="20"/>
          <w:szCs w:val="20"/>
        </w:rPr>
      </w:pPr>
      <w:r>
        <w:rPr>
          <w:rFonts w:ascii="Arial" w:eastAsia="Arial" w:hAnsi="Arial" w:cs="Arial"/>
          <w:b/>
          <w:bCs/>
          <w:w w:val="70"/>
          <w:sz w:val="20"/>
          <w:szCs w:val="20"/>
        </w:rPr>
        <w:t>Otro esquema aceptable para la administración de trimetoprim-sulfametoxazol:</w:t>
      </w:r>
    </w:p>
    <w:p w14:paraId="6F15B4D1" w14:textId="77777777" w:rsidR="00D03C17" w:rsidRDefault="00D03C17">
      <w:pPr>
        <w:pStyle w:val="Bodytext20"/>
        <w:numPr>
          <w:ilvl w:val="0"/>
          <w:numId w:val="87"/>
        </w:numPr>
        <w:tabs>
          <w:tab w:val="left" w:pos="277"/>
        </w:tabs>
        <w:ind w:left="360" w:hanging="360"/>
      </w:pPr>
      <w:bookmarkStart w:id="186" w:name="bookmark1210"/>
      <w:bookmarkEnd w:id="186"/>
      <w:r>
        <w:t>Trimetoprim (150 mg/m</w:t>
      </w:r>
      <w:r>
        <w:rPr>
          <w:vertAlign w:val="superscript"/>
        </w:rPr>
        <w:t>2</w:t>
      </w:r>
      <w:r>
        <w:t xml:space="preserve"> al día) con sulfametoxazol (750 mg/m</w:t>
      </w:r>
      <w:r>
        <w:rPr>
          <w:vertAlign w:val="superscript"/>
        </w:rPr>
        <w:t>2</w:t>
      </w:r>
      <w:r>
        <w:t xml:space="preserve"> al día) ingeridos en </w:t>
      </w:r>
      <w:r>
        <w:rPr>
          <w:b/>
          <w:bCs/>
        </w:rPr>
        <w:t>una sola dosis diaria</w:t>
      </w:r>
      <w:r>
        <w:t>, tres veces a la semana en días consecutivos (como lunes, martes y miércoles)</w:t>
      </w:r>
    </w:p>
    <w:p w14:paraId="2EC69A68" w14:textId="77777777" w:rsidR="00D03C17" w:rsidRDefault="00D03C17">
      <w:pPr>
        <w:pStyle w:val="Bodytext20"/>
        <w:numPr>
          <w:ilvl w:val="0"/>
          <w:numId w:val="87"/>
        </w:numPr>
        <w:tabs>
          <w:tab w:val="left" w:pos="277"/>
        </w:tabs>
        <w:ind w:left="360" w:hanging="360"/>
      </w:pPr>
      <w:bookmarkStart w:id="187" w:name="bookmark1211"/>
      <w:bookmarkEnd w:id="187"/>
      <w:r>
        <w:t>Trimetoprim (150 mg/m</w:t>
      </w:r>
      <w:r>
        <w:rPr>
          <w:vertAlign w:val="superscript"/>
        </w:rPr>
        <w:t>2</w:t>
      </w:r>
      <w:r>
        <w:t xml:space="preserve"> al día) con sulfametoxazol (750 mg/m</w:t>
      </w:r>
      <w:r>
        <w:rPr>
          <w:vertAlign w:val="superscript"/>
        </w:rPr>
        <w:t>2</w:t>
      </w:r>
      <w:r>
        <w:t xml:space="preserve"> al día), ingeridos en dosis fraccionadas, dos veces al día y </w:t>
      </w:r>
      <w:r>
        <w:rPr>
          <w:b/>
          <w:bCs/>
        </w:rPr>
        <w:t>administrados siete días por semana.</w:t>
      </w:r>
    </w:p>
    <w:p w14:paraId="141E5197" w14:textId="77777777" w:rsidR="00D03C17" w:rsidRDefault="00D03C17">
      <w:pPr>
        <w:pStyle w:val="Bodytext20"/>
        <w:numPr>
          <w:ilvl w:val="0"/>
          <w:numId w:val="87"/>
        </w:numPr>
        <w:tabs>
          <w:tab w:val="left" w:pos="277"/>
        </w:tabs>
        <w:ind w:left="360" w:hanging="360"/>
      </w:pPr>
      <w:bookmarkStart w:id="188" w:name="bookmark1212"/>
      <w:bookmarkEnd w:id="188"/>
      <w:r>
        <w:t>Trimetoprim (150 mg/m</w:t>
      </w:r>
      <w:r>
        <w:rPr>
          <w:vertAlign w:val="superscript"/>
        </w:rPr>
        <w:t>2</w:t>
      </w:r>
      <w:r>
        <w:t xml:space="preserve"> al día) con sulfametoxazol (750 mg/m</w:t>
      </w:r>
      <w:r>
        <w:rPr>
          <w:vertAlign w:val="superscript"/>
        </w:rPr>
        <w:t>2</w:t>
      </w:r>
      <w:r>
        <w:t xml:space="preserve"> al día), ingeridos en dosis fraccionadas, dos veces al día, y administrados tres veces por semana cada 48 h (como serían lunes, miércoles y viernes).</w:t>
      </w:r>
    </w:p>
    <w:p w14:paraId="6A2CBE1B" w14:textId="77777777" w:rsidR="00D03C17" w:rsidRDefault="00D03C17">
      <w:pPr>
        <w:pStyle w:val="Other0"/>
        <w:spacing w:line="240" w:lineRule="auto"/>
        <w:ind w:firstLine="0"/>
        <w:rPr>
          <w:sz w:val="20"/>
          <w:szCs w:val="20"/>
        </w:rPr>
      </w:pPr>
      <w:r>
        <w:rPr>
          <w:rFonts w:ascii="Arial" w:eastAsia="Arial" w:hAnsi="Arial" w:cs="Arial"/>
          <w:b/>
          <w:bCs/>
          <w:w w:val="70"/>
          <w:sz w:val="20"/>
          <w:szCs w:val="20"/>
        </w:rPr>
        <w:t>Otros regímenes si el paciente no tolera trimetoprim-sulfametoxazol</w:t>
      </w:r>
      <w:r>
        <w:rPr>
          <w:vertAlign w:val="superscript"/>
        </w:rPr>
        <w:t>2</w:t>
      </w:r>
      <w:r>
        <w:rPr>
          <w:rFonts w:ascii="Arial" w:eastAsia="Arial" w:hAnsi="Arial" w:cs="Arial"/>
          <w:b/>
          <w:bCs/>
          <w:w w:val="70"/>
          <w:sz w:val="20"/>
          <w:szCs w:val="20"/>
        </w:rPr>
        <w:t>:</w:t>
      </w:r>
    </w:p>
    <w:p w14:paraId="5186111C" w14:textId="77777777" w:rsidR="00D03C17" w:rsidRDefault="00D03C17">
      <w:pPr>
        <w:pStyle w:val="Bodytext20"/>
        <w:numPr>
          <w:ilvl w:val="0"/>
          <w:numId w:val="87"/>
        </w:numPr>
        <w:tabs>
          <w:tab w:val="left" w:pos="277"/>
        </w:tabs>
      </w:pPr>
      <w:bookmarkStart w:id="189" w:name="bookmark1213"/>
      <w:bookmarkEnd w:id="189"/>
      <w:r>
        <w:rPr>
          <w:b/>
          <w:bCs/>
        </w:rPr>
        <w:t>Dapsona (en niños de un mes de edad o más)</w:t>
      </w:r>
    </w:p>
    <w:p w14:paraId="1F4B5051" w14:textId="77777777" w:rsidR="00D03C17" w:rsidRDefault="00D03C17">
      <w:pPr>
        <w:pStyle w:val="Bodytext20"/>
        <w:ind w:left="460"/>
      </w:pPr>
      <w:r>
        <w:t>2 mg/kg (dosis máxima, 100 mg) ingeridos una vez al día o 4 mg/kg (dosis máxima, 200 mg), ingeridos cada semana</w:t>
      </w:r>
    </w:p>
    <w:p w14:paraId="2754F18B" w14:textId="77777777" w:rsidR="00D03C17" w:rsidRDefault="00D03C17">
      <w:pPr>
        <w:pStyle w:val="Bodytext20"/>
        <w:numPr>
          <w:ilvl w:val="0"/>
          <w:numId w:val="87"/>
        </w:numPr>
        <w:tabs>
          <w:tab w:val="left" w:pos="277"/>
        </w:tabs>
      </w:pPr>
      <w:bookmarkStart w:id="190" w:name="bookmark1214"/>
      <w:bookmarkEnd w:id="190"/>
      <w:r>
        <w:rPr>
          <w:b/>
          <w:bCs/>
        </w:rPr>
        <w:t>Pentamidina en aerosol (niños de cinco años o mayores)</w:t>
      </w:r>
    </w:p>
    <w:p w14:paraId="00C32B3B" w14:textId="77777777" w:rsidR="00D03C17" w:rsidRDefault="00D03C17">
      <w:pPr>
        <w:pStyle w:val="Bodytext20"/>
        <w:ind w:firstLine="460"/>
      </w:pPr>
      <w:r>
        <w:t>300 mg aplicados por un inhalador Respirgard II cada mes</w:t>
      </w:r>
    </w:p>
    <w:p w14:paraId="5A5E1FB8" w14:textId="77777777" w:rsidR="00D03C17" w:rsidRDefault="00D03C17">
      <w:pPr>
        <w:pStyle w:val="Bodytext20"/>
        <w:numPr>
          <w:ilvl w:val="0"/>
          <w:numId w:val="87"/>
        </w:numPr>
        <w:tabs>
          <w:tab w:val="left" w:pos="277"/>
        </w:tabs>
      </w:pPr>
      <w:bookmarkStart w:id="191" w:name="bookmark1215"/>
      <w:bookmarkEnd w:id="191"/>
      <w:r>
        <w:rPr>
          <w:b/>
          <w:bCs/>
        </w:rPr>
        <w:t>Atovacuona (niños de uno a tres meses y mayores de 24 meses)</w:t>
      </w:r>
    </w:p>
    <w:p w14:paraId="67F3B2E7" w14:textId="77777777" w:rsidR="00D03C17" w:rsidRDefault="00D03C17">
      <w:pPr>
        <w:pStyle w:val="Bodytext20"/>
        <w:ind w:firstLine="460"/>
      </w:pPr>
      <w:r>
        <w:t>30 mg/kg ingeridos una vez al día</w:t>
      </w:r>
    </w:p>
    <w:p w14:paraId="0B234427" w14:textId="77777777" w:rsidR="00D03C17" w:rsidRDefault="00D03C17">
      <w:pPr>
        <w:pStyle w:val="Bodytext20"/>
        <w:ind w:firstLine="460"/>
      </w:pPr>
      <w:r>
        <w:rPr>
          <w:b/>
          <w:bCs/>
        </w:rPr>
        <w:t>(Niños de 4 a 24 meses)</w:t>
      </w:r>
    </w:p>
    <w:p w14:paraId="62FA45C9" w14:textId="77777777" w:rsidR="00D03C17" w:rsidRDefault="00D03C17">
      <w:pPr>
        <w:pStyle w:val="Bodytext20"/>
        <w:pBdr>
          <w:bottom w:val="single" w:sz="4" w:space="0" w:color="auto"/>
        </w:pBdr>
        <w:ind w:firstLine="460"/>
      </w:pPr>
      <w:r>
        <w:t>45 mg/kg ingeridos una vez al día</w:t>
      </w:r>
    </w:p>
    <w:p w14:paraId="36542402" w14:textId="77777777" w:rsidR="00D03C17" w:rsidRDefault="00D03C17">
      <w:pPr>
        <w:pStyle w:val="BodyText"/>
        <w:ind w:firstLine="0"/>
      </w:pPr>
      <w:r>
        <w:t>ingerible. Es escasa la experiencia acumulada con dicho fármaco en adultos y niños. Hay que pensar en su uso sólo en situaciones en que no hay tolerancia de los regímenes recomendados o no se les puede usar.</w:t>
      </w:r>
    </w:p>
    <w:p w14:paraId="54F64175" w14:textId="77777777" w:rsidR="00D03C17" w:rsidRDefault="00D03C17">
      <w:pPr>
        <w:pStyle w:val="BodyText"/>
        <w:ind w:firstLine="360"/>
      </w:pPr>
      <w:r>
        <w:t xml:space="preserve">La profilaxia disminuye sustancialmente el peligro de PCP, pero se sabe de infecciones pulmonares y extrapulmonares por </w:t>
      </w:r>
      <w:r>
        <w:rPr>
          <w:rFonts w:ascii="Times New Roman" w:eastAsia="Times New Roman" w:hAnsi="Times New Roman" w:cs="Times New Roman"/>
          <w:i/>
          <w:iCs/>
          <w:sz w:val="16"/>
          <w:szCs w:val="16"/>
        </w:rPr>
        <w:t>P jiroveci</w:t>
      </w:r>
      <w:r>
        <w:t xml:space="preserve"> en adultos y en niños infectados por VIH sometidos a profilaxia.</w:t>
      </w:r>
    </w:p>
    <w:p w14:paraId="063A1274" w14:textId="77777777" w:rsidR="00D03C17" w:rsidRDefault="00D03C17">
      <w:pPr>
        <w:pStyle w:val="BodyText"/>
        <w:spacing w:line="266" w:lineRule="auto"/>
        <w:ind w:firstLine="0"/>
      </w:pPr>
      <w:r>
        <w:rPr>
          <w:b/>
          <w:bCs/>
          <w:smallCaps/>
          <w:sz w:val="20"/>
          <w:szCs w:val="20"/>
        </w:rPr>
        <w:t>A</w:t>
      </w:r>
      <w:r>
        <w:rPr>
          <w:b/>
          <w:bCs/>
          <w:smallCaps/>
          <w:sz w:val="16"/>
          <w:szCs w:val="16"/>
        </w:rPr>
        <w:t>islamiento del paciente hospitalizado</w:t>
      </w:r>
      <w:r>
        <w:rPr>
          <w:b/>
          <w:bCs/>
          <w:smallCaps/>
          <w:sz w:val="20"/>
          <w:szCs w:val="20"/>
        </w:rPr>
        <w:t>:</w:t>
      </w:r>
      <w:r>
        <w:t xml:space="preserve"> Se recomienda seguir las precauciones estándar. Algunos expertos plantean que los niños con PCP no deben compartir la estancia con individuos inmunodeficientes, aunque no hay datos suficientes para apoyar dicha recomendación como práctica habitual.</w:t>
      </w:r>
    </w:p>
    <w:p w14:paraId="7CE2A3A9" w14:textId="77777777" w:rsidR="00D03C17" w:rsidRDefault="00D03C17">
      <w:pPr>
        <w:pStyle w:val="BodyText"/>
        <w:spacing w:after="100" w:line="286" w:lineRule="auto"/>
        <w:ind w:firstLine="0"/>
      </w:pPr>
      <w:r>
        <w:rPr>
          <w:b/>
          <w:bCs/>
        </w:rPr>
        <w:t>M</w:t>
      </w:r>
      <w:r>
        <w:rPr>
          <w:b/>
          <w:bCs/>
          <w:sz w:val="13"/>
          <w:szCs w:val="13"/>
        </w:rPr>
        <w:t xml:space="preserve">EDIDAS </w:t>
      </w:r>
      <w:r>
        <w:rPr>
          <w:b/>
          <w:bCs/>
          <w:smallCaps/>
          <w:sz w:val="16"/>
          <w:szCs w:val="16"/>
        </w:rPr>
        <w:t>preventivas</w:t>
      </w:r>
      <w:r>
        <w:rPr>
          <w:b/>
          <w:bCs/>
          <w:smallCaps/>
          <w:sz w:val="20"/>
          <w:szCs w:val="20"/>
        </w:rPr>
        <w:t>:</w:t>
      </w:r>
      <w:r>
        <w:t xml:space="preserve"> Las únicas formas de erradicación con que se cuenta son el tratamiento apropiado de pacientes infectados y la profilaxia en sujetos inmunodeficientes. En fecha reciente los </w:t>
      </w:r>
      <w:r>
        <w:rPr>
          <w:rFonts w:ascii="Times New Roman" w:eastAsia="Times New Roman" w:hAnsi="Times New Roman" w:cs="Times New Roman"/>
          <w:i/>
          <w:iCs/>
          <w:sz w:val="16"/>
          <w:szCs w:val="16"/>
        </w:rPr>
        <w:t>Centers for Disease Control and Prevention y la Infectious Diseases Society of America</w:t>
      </w:r>
      <w:r>
        <w:t xml:space="preserve"> han distribuido directrices detalladas que han sido apoyadas por la </w:t>
      </w:r>
      <w:r>
        <w:rPr>
          <w:rFonts w:ascii="Times New Roman" w:eastAsia="Times New Roman" w:hAnsi="Times New Roman" w:cs="Times New Roman"/>
          <w:i/>
          <w:iCs/>
          <w:sz w:val="16"/>
          <w:szCs w:val="16"/>
        </w:rPr>
        <w:t>American Academy of Pediatrics</w:t>
      </w:r>
      <w:r>
        <w:rPr>
          <w:i/>
          <w:iCs/>
        </w:rPr>
        <w:t>.</w:t>
      </w:r>
      <w:r>
        <w:rPr>
          <w:i/>
          <w:iCs/>
        </w:rPr>
        <w:footnoteReference w:id="20"/>
      </w:r>
    </w:p>
    <w:p w14:paraId="1DAD7B17" w14:textId="77777777" w:rsidR="00D03C17" w:rsidRDefault="00D03C17">
      <w:pPr>
        <w:pStyle w:val="Bodytext70"/>
        <w:spacing w:after="0"/>
      </w:pPr>
      <w:r>
        <w:t>Poliomielitico, virus, infecciones</w:t>
      </w:r>
    </w:p>
    <w:p w14:paraId="2357DC07" w14:textId="77777777" w:rsidR="00D03C17" w:rsidRDefault="00D03C17">
      <w:pPr>
        <w:pStyle w:val="BodyText"/>
        <w:ind w:firstLine="0"/>
      </w:pPr>
      <w:r>
        <w:rPr>
          <w:b/>
          <w:bCs/>
          <w:smallCaps/>
          <w:sz w:val="20"/>
          <w:szCs w:val="20"/>
        </w:rPr>
        <w:t>M</w:t>
      </w:r>
      <w:r>
        <w:rPr>
          <w:b/>
          <w:bCs/>
          <w:smallCaps/>
          <w:sz w:val="16"/>
          <w:szCs w:val="16"/>
        </w:rPr>
        <w:t>anifestaciones clínicas</w:t>
      </w:r>
      <w:r>
        <w:rPr>
          <w:b/>
          <w:bCs/>
          <w:smallCaps/>
          <w:sz w:val="20"/>
          <w:szCs w:val="20"/>
        </w:rPr>
        <w:t>:</w:t>
      </w:r>
      <w:r>
        <w:t xml:space="preserve"> En promedio, 95% de las infecciones por virus de poliomielitis son asintomáticas. En 4 a 8% de las personas infectadas surge un cuadro inespecífico con febrícula y faringitis (enfermedad menor). En 1 a 5% de las personas, días después de que ha cedido la enfermedad menor, aparecen meningitis aséptica y a veces con parestesias. En 0.1 a 2% de las infecciones, en forma rápida comienza la parálisis fláccida aguda y asimétrica con arreflexia de la extremidad atacada, y en cerca de 33% de las personas con la enfermedad aguda de motoneurona queda un cuadro paralítico que afecta las neuronas motoras (poliomielitis paralítica). A veces hay casos de ataque de pares craneales y parálisis de los músculos de la respiración. Los signos en el líquido cefalorraquídeo (LCR) son característicos de meningitis vírica con pleocitosis leve y predominio de linfocitos.</w:t>
      </w:r>
    </w:p>
    <w:p w14:paraId="7CA0B4A2" w14:textId="77777777" w:rsidR="00D03C17" w:rsidRDefault="00D03C17">
      <w:pPr>
        <w:pStyle w:val="BodyText"/>
        <w:ind w:firstLine="360"/>
      </w:pPr>
      <w:r>
        <w:t>Los adultos que contrajeron la poliomielitis paralítica en su niñez pueden presentar 30 a 40 años más tarde un síndrome pospoliomielítico que se caracteriza por mialgias y exacerbación de la debilidad, de comienzo lento.</w:t>
      </w:r>
    </w:p>
    <w:p w14:paraId="3C3E9E9E" w14:textId="77777777" w:rsidR="00D03C17" w:rsidRDefault="00D03C17">
      <w:pPr>
        <w:pStyle w:val="BodyText"/>
        <w:ind w:firstLine="0"/>
      </w:pPr>
      <w:r>
        <w:rPr>
          <w:b/>
          <w:bCs/>
        </w:rPr>
        <w:t>C</w:t>
      </w:r>
      <w:r>
        <w:rPr>
          <w:b/>
          <w:bCs/>
          <w:sz w:val="13"/>
          <w:szCs w:val="13"/>
        </w:rPr>
        <w:t>AUSAS</w:t>
      </w:r>
      <w:r>
        <w:rPr>
          <w:b/>
          <w:bCs/>
        </w:rPr>
        <w:t xml:space="preserve">: </w:t>
      </w:r>
      <w:r>
        <w:t xml:space="preserve">Las partículas patógenas son enterovirus, de tres serotipos: 1, 2 y 3. </w:t>
      </w:r>
      <w:r>
        <w:rPr>
          <w:b/>
          <w:bCs/>
        </w:rPr>
        <w:t>A</w:t>
      </w:r>
      <w:r>
        <w:rPr>
          <w:b/>
          <w:bCs/>
          <w:sz w:val="13"/>
          <w:szCs w:val="13"/>
        </w:rPr>
        <w:t>SPECTOS EPIDEMIOLÓGICOS</w:t>
      </w:r>
      <w:r>
        <w:rPr>
          <w:b/>
          <w:bCs/>
        </w:rPr>
        <w:t xml:space="preserve">: </w:t>
      </w:r>
      <w:r>
        <w:t>Las infecciones por virus poliomielíticos afectan solamente a seres humanos. La propagación se hace por las vías fecal-oral y respiratoria. La infección es más común en lactantes y niños de corta edad, y surge en edad más temprana en menores que viven en un medio desaseado. El peligro de enfermedad paralítica después de la infección aumenta con la edad. En climas templados las infecciones por dicho virus son más comunes en el verano y el otoño, y en los trópicos, el perfil estacional es variable con un nivel máximo de actividad menos pronunciado.</w:t>
      </w:r>
    </w:p>
    <w:p w14:paraId="4957DF4D" w14:textId="77777777" w:rsidR="00D03C17" w:rsidRDefault="00D03C17">
      <w:pPr>
        <w:pStyle w:val="BodyText"/>
        <w:ind w:firstLine="360"/>
        <w:sectPr w:rsidR="00D03C17" w:rsidSect="00D03C17">
          <w:headerReference w:type="even" r:id="rId223"/>
          <w:headerReference w:type="default" r:id="rId224"/>
          <w:footerReference w:type="even" r:id="rId225"/>
          <w:footerReference w:type="default" r:id="rId226"/>
          <w:headerReference w:type="first" r:id="rId227"/>
          <w:footerReference w:type="first" r:id="rId228"/>
          <w:footnotePr>
            <w:numFmt w:val="chicago"/>
          </w:footnotePr>
          <w:pgSz w:w="8501" w:h="13022"/>
          <w:pgMar w:top="707" w:right="578" w:bottom="444" w:left="521" w:header="0" w:footer="3" w:gutter="0"/>
          <w:cols w:space="720"/>
          <w:noEndnote/>
          <w:titlePg/>
          <w:docGrid w:linePitch="360"/>
          <w15:footnoteColumns w:val="1"/>
        </w:sectPr>
      </w:pPr>
      <w:r>
        <w:t>El último caso notificado de poliomielitis atribuible a un virus con origen en Estados Unidos se produjo en 1979. El único caso identificado de poliomielitis paralítica “importada” desde 1986 se observó en 1993 en un niño llevado a dicho país para su atención médica. Desde 1979, todos los casos han guardado vinculación con la vacuna, es decir la poliomielitis paralítica (</w:t>
      </w:r>
      <w:r>
        <w:rPr>
          <w:rFonts w:ascii="Times New Roman" w:eastAsia="Times New Roman" w:hAnsi="Times New Roman" w:cs="Times New Roman"/>
          <w:i/>
          <w:iCs/>
          <w:sz w:val="16"/>
          <w:szCs w:val="16"/>
        </w:rPr>
        <w:t>vaccine-associated paralytic poliomyelitis</w:t>
      </w:r>
      <w:r>
        <w:t xml:space="preserve">, </w:t>
      </w:r>
    </w:p>
    <w:p w14:paraId="4B1E66E3" w14:textId="77777777" w:rsidR="00D03C17" w:rsidRDefault="00D03C17">
      <w:pPr>
        <w:pStyle w:val="BodyText"/>
        <w:ind w:firstLine="0"/>
      </w:pPr>
      <w:r>
        <w:t>ingerible. Es escasa la experiencia acumulada con dicho fármaco en adultos y niños. Hay que pensar en su uso sólo en situaciones en que no hay tolerancia de los regímenes recomendados o no se les puede usar.</w:t>
      </w:r>
    </w:p>
    <w:p w14:paraId="685DEB1A" w14:textId="77777777" w:rsidR="00D03C17" w:rsidRDefault="00D03C17">
      <w:pPr>
        <w:pStyle w:val="BodyText"/>
        <w:ind w:firstLine="360"/>
      </w:pPr>
      <w:r>
        <w:t xml:space="preserve">La profilaxia disminuye sustancialmente el peligro de PCP, pero se sabe de infecciones pulmonares y extrapulmonares por </w:t>
      </w:r>
      <w:r>
        <w:rPr>
          <w:rFonts w:ascii="Times New Roman" w:eastAsia="Times New Roman" w:hAnsi="Times New Roman" w:cs="Times New Roman"/>
          <w:i/>
          <w:iCs/>
          <w:sz w:val="16"/>
          <w:szCs w:val="16"/>
        </w:rPr>
        <w:t>P jiroveci</w:t>
      </w:r>
      <w:r>
        <w:t xml:space="preserve"> en adultos y en niños infectados por VIH sometidos a profilaxia.</w:t>
      </w:r>
    </w:p>
    <w:p w14:paraId="76114013" w14:textId="77777777" w:rsidR="00D03C17" w:rsidRDefault="00D03C17">
      <w:pPr>
        <w:pStyle w:val="BodyText"/>
        <w:spacing w:line="266" w:lineRule="auto"/>
        <w:ind w:firstLine="0"/>
      </w:pPr>
      <w:r>
        <w:rPr>
          <w:b/>
          <w:bCs/>
          <w:smallCaps/>
          <w:sz w:val="20"/>
          <w:szCs w:val="20"/>
        </w:rPr>
        <w:t>A</w:t>
      </w:r>
      <w:r>
        <w:rPr>
          <w:b/>
          <w:bCs/>
          <w:smallCaps/>
          <w:sz w:val="16"/>
          <w:szCs w:val="16"/>
        </w:rPr>
        <w:t>islamiento del paciente hospitalizado</w:t>
      </w:r>
      <w:r>
        <w:rPr>
          <w:b/>
          <w:bCs/>
          <w:smallCaps/>
          <w:sz w:val="20"/>
          <w:szCs w:val="20"/>
        </w:rPr>
        <w:t>:</w:t>
      </w:r>
      <w:r>
        <w:t xml:space="preserve"> Se recomienda seguir las precauciones estándar. Algunos expertos plantean que los niños con PCP no deben compartir la estancia con individuos inmunodeficientes, aunque no hay datos suficientes para apoyar dicha recomendación como práctica habitual.</w:t>
      </w:r>
    </w:p>
    <w:p w14:paraId="0ED40DDE" w14:textId="77777777" w:rsidR="00D03C17" w:rsidRDefault="00D03C17">
      <w:pPr>
        <w:pStyle w:val="BodyText"/>
        <w:spacing w:after="100" w:line="286" w:lineRule="auto"/>
        <w:ind w:firstLine="0"/>
      </w:pPr>
      <w:r>
        <w:rPr>
          <w:b/>
          <w:bCs/>
        </w:rPr>
        <w:t>M</w:t>
      </w:r>
      <w:r>
        <w:rPr>
          <w:b/>
          <w:bCs/>
          <w:sz w:val="13"/>
          <w:szCs w:val="13"/>
        </w:rPr>
        <w:t xml:space="preserve">EDIDAS </w:t>
      </w:r>
      <w:r>
        <w:rPr>
          <w:b/>
          <w:bCs/>
          <w:smallCaps/>
          <w:sz w:val="16"/>
          <w:szCs w:val="16"/>
        </w:rPr>
        <w:t>preventivas</w:t>
      </w:r>
      <w:r>
        <w:rPr>
          <w:b/>
          <w:bCs/>
          <w:smallCaps/>
          <w:sz w:val="20"/>
          <w:szCs w:val="20"/>
        </w:rPr>
        <w:t>:</w:t>
      </w:r>
      <w:r>
        <w:t xml:space="preserve"> Las únicas formas de erradicación con que se cuenta son el tratamiento apropiado de pacientes infectados y la profilaxia en sujetos inmunodeficientes. En fecha reciente los </w:t>
      </w:r>
      <w:r>
        <w:rPr>
          <w:rFonts w:ascii="Times New Roman" w:eastAsia="Times New Roman" w:hAnsi="Times New Roman" w:cs="Times New Roman"/>
          <w:i/>
          <w:iCs/>
          <w:sz w:val="16"/>
          <w:szCs w:val="16"/>
        </w:rPr>
        <w:t>Centers for Disease Control and Prevention y la Infectious Diseases Society of America</w:t>
      </w:r>
      <w:r>
        <w:t xml:space="preserve"> han distribuido directrices detalladas que han sido apoyadas por la </w:t>
      </w:r>
      <w:r>
        <w:rPr>
          <w:rFonts w:ascii="Times New Roman" w:eastAsia="Times New Roman" w:hAnsi="Times New Roman" w:cs="Times New Roman"/>
          <w:i/>
          <w:iCs/>
          <w:sz w:val="16"/>
          <w:szCs w:val="16"/>
        </w:rPr>
        <w:t>American Academy of Pediatrics</w:t>
      </w:r>
      <w:r>
        <w:rPr>
          <w:i/>
          <w:iCs/>
        </w:rPr>
        <w:t>.</w:t>
      </w:r>
      <w:r>
        <w:rPr>
          <w:i/>
          <w:iCs/>
        </w:rPr>
        <w:footnoteReference w:id="21"/>
      </w:r>
    </w:p>
    <w:p w14:paraId="7824C5F3" w14:textId="77777777" w:rsidR="00D03C17" w:rsidRDefault="00D03C17">
      <w:pPr>
        <w:pStyle w:val="Bodytext70"/>
        <w:spacing w:after="0"/>
      </w:pPr>
      <w:r>
        <w:t>Poliomielítico, virus, infecciones</w:t>
      </w:r>
    </w:p>
    <w:p w14:paraId="35CB0658" w14:textId="77777777" w:rsidR="00D03C17" w:rsidRDefault="00D03C17">
      <w:pPr>
        <w:pStyle w:val="BodyText"/>
        <w:ind w:firstLine="0"/>
      </w:pPr>
      <w:r>
        <w:rPr>
          <w:b/>
          <w:bCs/>
          <w:smallCaps/>
          <w:sz w:val="20"/>
          <w:szCs w:val="20"/>
        </w:rPr>
        <w:t>M</w:t>
      </w:r>
      <w:r>
        <w:rPr>
          <w:b/>
          <w:bCs/>
          <w:smallCaps/>
          <w:sz w:val="16"/>
          <w:szCs w:val="16"/>
        </w:rPr>
        <w:t>anifestaciones clínicas</w:t>
      </w:r>
      <w:r>
        <w:rPr>
          <w:b/>
          <w:bCs/>
          <w:smallCaps/>
          <w:sz w:val="20"/>
          <w:szCs w:val="20"/>
        </w:rPr>
        <w:t>:</w:t>
      </w:r>
      <w:r>
        <w:t xml:space="preserve"> En promedio, 95% de las infecciones por virus de poliomielitis son asintomáticas. En 4 a 8% de las personas infectadas surge un cuadro inespecífico con febrícula y faringitis (enfermedad menor). En 1 a 5% de las personas, días después de que ha cedido la enfermedad menor, aparecen meningitis aséptica y a veces con parestesias. En 0.1 a 2% de las infecciones, en forma rápida comienza la parálisis fláccida aguda y asimétrica con arreflexia de la extremidad atacada, y en cerca de 33% de las personas con la enfermedad aguda de motoneurona queda un cuadro paralítico que afecta las neuronas motoras (poliomielitis paralítica). A veces hay casos de ataque de pares craneales y parálisis de los músculos de la respiración. Los signos en el líquido cefalorraquídeo (LCR) son característicos de meningitis vírica con pleocitosis leve y predominio de linfocitos.</w:t>
      </w:r>
    </w:p>
    <w:p w14:paraId="48BF3C9A" w14:textId="77777777" w:rsidR="00D03C17" w:rsidRDefault="00D03C17">
      <w:pPr>
        <w:pStyle w:val="BodyText"/>
        <w:ind w:firstLine="360"/>
      </w:pPr>
      <w:r>
        <w:t>Los adultos que contrajeron la poliomielitis paralítica en su niñez pueden presentar 30 a 40 años más tarde un síndrome pospoliomielítico que se caracteriza por mialgias y exacerbación de la debilidad, de comienzo lento.</w:t>
      </w:r>
    </w:p>
    <w:p w14:paraId="6B84C998" w14:textId="77777777" w:rsidR="00D03C17" w:rsidRDefault="00D03C17">
      <w:pPr>
        <w:pStyle w:val="BodyText"/>
        <w:ind w:firstLine="0"/>
      </w:pPr>
      <w:r>
        <w:rPr>
          <w:b/>
          <w:bCs/>
        </w:rPr>
        <w:t>C</w:t>
      </w:r>
      <w:r>
        <w:rPr>
          <w:b/>
          <w:bCs/>
          <w:sz w:val="13"/>
          <w:szCs w:val="13"/>
        </w:rPr>
        <w:t>AUSAS</w:t>
      </w:r>
      <w:r>
        <w:rPr>
          <w:b/>
          <w:bCs/>
        </w:rPr>
        <w:t xml:space="preserve">: </w:t>
      </w:r>
      <w:r>
        <w:t xml:space="preserve">Las partículas patógenas son enterovirus, de tres serotipos: 1, 2 y 3. </w:t>
      </w:r>
      <w:r>
        <w:rPr>
          <w:b/>
          <w:bCs/>
        </w:rPr>
        <w:t>A</w:t>
      </w:r>
      <w:r>
        <w:rPr>
          <w:b/>
          <w:bCs/>
          <w:sz w:val="13"/>
          <w:szCs w:val="13"/>
        </w:rPr>
        <w:t>SPECTOS EPIDEMIOLÓGICOS</w:t>
      </w:r>
      <w:r>
        <w:rPr>
          <w:b/>
          <w:bCs/>
        </w:rPr>
        <w:t xml:space="preserve">: </w:t>
      </w:r>
      <w:r>
        <w:t>Las infecciones por virus poliomielíticos afectan solamente a seres humanos. La propagación se hace por las vías fecal-oral y respiratoria. La infección es más común en lactantes y niños de corta edad, y surge en edad más temprana en menores que viven en un medio desaseado. El peligro de enfermedad paralítica después de la infección aumenta con la edad. En climas templados las infecciones por dicho virus son más comunes en el verano y el otoño, y en los trópicos, el perfil estacional es variable con un nivel máximo de actividad menos pronunciado.</w:t>
      </w:r>
    </w:p>
    <w:p w14:paraId="6036AA67" w14:textId="77777777" w:rsidR="00D03C17" w:rsidRDefault="00D03C17">
      <w:pPr>
        <w:pStyle w:val="BodyText"/>
        <w:ind w:firstLine="360"/>
      </w:pPr>
      <w:r>
        <w:t>El último caso notificado de poliomielitis atribuible a un virus con origen en Estados Unidos se produjo en 1979. El único caso identificado de poliomielitis paralítica “importada” desde 1986 se observó en 1993 en un niño llevado a dicho país para su atención médica. Desde 1979, todos los casos han guardado vinculación con la vacuna, es decir la poliomielitis paralítica (</w:t>
      </w:r>
      <w:r>
        <w:rPr>
          <w:rFonts w:ascii="Times New Roman" w:eastAsia="Times New Roman" w:hAnsi="Times New Roman" w:cs="Times New Roman"/>
          <w:i/>
          <w:iCs/>
          <w:sz w:val="16"/>
          <w:szCs w:val="16"/>
        </w:rPr>
        <w:t>vaccine-associated paralytic poliomyelitis</w:t>
      </w:r>
      <w:r>
        <w:t xml:space="preserve">, VAPP) se produjo en quienes la recibieron, o sus contactos, y han sido atribuibles a la vacuna ingerible contra esta enfermedad </w:t>
      </w:r>
      <w:r>
        <w:rPr>
          <w:i/>
          <w:iCs/>
        </w:rPr>
        <w:t>(</w:t>
      </w:r>
      <w:r>
        <w:rPr>
          <w:rFonts w:ascii="Times New Roman" w:eastAsia="Times New Roman" w:hAnsi="Times New Roman" w:cs="Times New Roman"/>
          <w:i/>
          <w:iCs/>
          <w:sz w:val="16"/>
          <w:szCs w:val="16"/>
        </w:rPr>
        <w:t>oral poliovirus</w:t>
      </w:r>
      <w:r>
        <w:rPr>
          <w:i/>
          <w:iCs/>
        </w:rPr>
        <w:t>,</w:t>
      </w:r>
      <w:r>
        <w:t xml:space="preserve"> OPV). De 1980 a 1996 fueron notificados cada año en Estados Unidos ocho casos de VAPP, en promedio, y desde 1997 ha sido menor el número de casos después de que hubo cambios en las normas de vacunación y se utilizó sólo vacuna con virus inactivado </w:t>
      </w:r>
      <w:r>
        <w:rPr>
          <w:rFonts w:ascii="Times New Roman" w:eastAsia="Times New Roman" w:hAnsi="Times New Roman" w:cs="Times New Roman"/>
          <w:i/>
          <w:iCs/>
          <w:sz w:val="16"/>
          <w:szCs w:val="16"/>
        </w:rPr>
        <w:t>(inactivated poliovirus</w:t>
      </w:r>
      <w:r>
        <w:rPr>
          <w:i/>
          <w:iCs/>
        </w:rPr>
        <w:t>,</w:t>
      </w:r>
      <w:r>
        <w:t xml:space="preserve"> IPV). El cumplimiento del calendario de vacunas de todas las IVP en 2000 terminó con la aparición de nuevos casos por VAPP en Estados Unidos. En ese país ha cesado la circulación de los virus naturales de poliomielitis y ha disminuido rápidamente el peligro de contacto con virus importados del mismo tipo, lo cual ha guardado un paralelismo con los buenos resultados del programa de erradicación global y constante practicado por la Organización Mundial de la Salud.</w:t>
      </w:r>
    </w:p>
    <w:p w14:paraId="2C3417B2" w14:textId="77777777" w:rsidR="00D03C17" w:rsidRDefault="00D03C17">
      <w:pPr>
        <w:pStyle w:val="BodyText"/>
        <w:ind w:firstLine="380"/>
      </w:pPr>
      <w:r>
        <w:t>El periodo de transmisibilidad del virus de poliomielitis es máximo poco antes o después de comenzar la enfermedad clínica cuando aparece el virus en la faringe y es excretado en gran concentración en los excrementos. El virus persiste en la faringe una semana, en promedio, después de comenzar la enfermedad, y durante varias semanas es excretado en las heces. Los pacientes pueden ser contagiosos durante todo el tiempo en que persista la excreción mencionada. Entre quienes reciben la vacuna OPV el virus persiste en la faringe una o dos semanas, y durante varias semanas es excretado por las heces, si bien en casos raros se ha sabido que la excreción dura más de dos meses. Los sujetos inmunodeficientes han excretado el virus por lapsos mayores de 10 años.</w:t>
      </w:r>
    </w:p>
    <w:p w14:paraId="657DDF2E" w14:textId="77777777" w:rsidR="00D03C17" w:rsidRDefault="00D03C17">
      <w:pPr>
        <w:pStyle w:val="BodyText"/>
        <w:ind w:firstLine="380"/>
      </w:pPr>
      <w:r>
        <w:t xml:space="preserve">El </w:t>
      </w:r>
      <w:r>
        <w:rPr>
          <w:b/>
          <w:bCs/>
        </w:rPr>
        <w:t xml:space="preserve">periodo de incubación </w:t>
      </w:r>
      <w:r>
        <w:t>de la poliomielitis asintomática o leve es de tres a seis días. En el caso del comienzo de la parálisis en la poliomielitis paralítica, el periodo de incubación suele ser de siete a 21 días.</w:t>
      </w:r>
    </w:p>
    <w:p w14:paraId="28E7C78C" w14:textId="77777777" w:rsidR="00D03C17" w:rsidRDefault="00D03C17">
      <w:pPr>
        <w:pStyle w:val="BodyText"/>
        <w:ind w:firstLine="0"/>
      </w:pPr>
      <w:r>
        <w:rPr>
          <w:b/>
          <w:bCs/>
        </w:rPr>
        <w:t>M</w:t>
      </w:r>
      <w:r>
        <w:rPr>
          <w:b/>
          <w:bCs/>
          <w:sz w:val="13"/>
          <w:szCs w:val="13"/>
        </w:rPr>
        <w:t>ÉTODOS DIAGNÓSTICOS</w:t>
      </w:r>
      <w:r>
        <w:rPr>
          <w:b/>
          <w:bCs/>
        </w:rPr>
        <w:t xml:space="preserve">: </w:t>
      </w:r>
      <w:r>
        <w:t>Es posible identificar el virus de poliomielitis de la faringe, las heces, la orina y, en raras ocasiones, se aísla en cultivo celular en el líquido cefalorraquídeo. Hay que obtener dos o más muestras de excremento o de exudado faríngeo (con aplicador) para el aislamiento de enterovirus con diferencia de 24 h, entre quienes se sospecha poliomielitis paralítica, en la fecha más temprana de la evolución del trastorno, que sea posible, en circunstancias óptimas en un lapso que no exceda de 14 días del comienzo de los síntomas. Existe mayor probabilidad de identificar el virus en material fecal.</w:t>
      </w:r>
    </w:p>
    <w:p w14:paraId="5EDF058C" w14:textId="77777777" w:rsidR="00D03C17" w:rsidRDefault="00D03C17">
      <w:pPr>
        <w:pStyle w:val="BodyText"/>
        <w:ind w:firstLine="380"/>
      </w:pPr>
      <w:r>
        <w:t xml:space="preserve">En Estados Unidos ya no se distribuye la vacuna OPV, por lo que se ha reducido la posibilidad de exponer a los niños a los virus poliomielíticos de tipo vacunal. En consecuencia si se aísla un virus de esa enfermedad en la nación mencionada habrá que enviarlo a los </w:t>
      </w:r>
      <w:r>
        <w:rPr>
          <w:rFonts w:ascii="Times New Roman" w:eastAsia="Times New Roman" w:hAnsi="Times New Roman" w:cs="Times New Roman"/>
          <w:i/>
          <w:iCs/>
          <w:sz w:val="16"/>
          <w:szCs w:val="16"/>
        </w:rPr>
        <w:t>Centers for Disease Control and Prevention</w:t>
      </w:r>
      <w:r>
        <w:t xml:space="preserve"> a través del departamento sanitario estatal para realizar nuevos estudios. Si se sospecha poliomielitis paralítica habrá que practicar estudios serológicos en muestras de suero de fase aguda y de convalecencia, pero es difícil interpretar los resultados de dichas pruebas. Por tal motivo, el método diagnóstico más indicado para confirmar la presencia de enfermedad poliomielítica es el cultivo de muestras de excremento y exudado faríngeo en busca del virus, obtenidos en la fecha más temprana de la enfermedad, que sea posible. </w:t>
      </w:r>
      <w:r>
        <w:rPr>
          <w:b/>
          <w:bCs/>
        </w:rPr>
        <w:t>T</w:t>
      </w:r>
      <w:r>
        <w:rPr>
          <w:b/>
          <w:bCs/>
          <w:sz w:val="13"/>
          <w:szCs w:val="13"/>
        </w:rPr>
        <w:t>RATAMIENTO</w:t>
      </w:r>
      <w:r>
        <w:rPr>
          <w:b/>
          <w:bCs/>
        </w:rPr>
        <w:t xml:space="preserve">: </w:t>
      </w:r>
      <w:r>
        <w:t>De sostén.</w:t>
      </w:r>
    </w:p>
    <w:p w14:paraId="2CE4B4D6" w14:textId="77777777" w:rsidR="00D03C17" w:rsidRDefault="00D03C17">
      <w:pPr>
        <w:pStyle w:val="BodyText"/>
        <w:ind w:firstLine="0"/>
      </w:pPr>
      <w:r>
        <w:rPr>
          <w:b/>
          <w:bCs/>
        </w:rPr>
        <w:t>A</w:t>
      </w:r>
      <w:r>
        <w:rPr>
          <w:b/>
          <w:bCs/>
          <w:sz w:val="13"/>
          <w:szCs w:val="13"/>
        </w:rPr>
        <w:t>ISLAMIENTO DEL PACIENTE HOSPITALIZADO</w:t>
      </w:r>
      <w:r>
        <w:rPr>
          <w:b/>
          <w:bCs/>
        </w:rPr>
        <w:t xml:space="preserve">: </w:t>
      </w:r>
      <w:r>
        <w:t>Además de las precauciones estándar conviene seguir las precauciones para evitar la transmisión por contacto en lactantes y niños de corta edad durante todo el tiempo que dure la hospitalización.</w:t>
      </w:r>
    </w:p>
    <w:p w14:paraId="5CFA3B93" w14:textId="77777777" w:rsidR="00D03C17" w:rsidRDefault="00D03C17">
      <w:pPr>
        <w:pStyle w:val="Other0"/>
        <w:spacing w:line="257" w:lineRule="auto"/>
        <w:ind w:firstLine="0"/>
        <w:rPr>
          <w:sz w:val="20"/>
          <w:szCs w:val="20"/>
        </w:rPr>
      </w:pPr>
      <w:r>
        <w:rPr>
          <w:b/>
          <w:bCs/>
          <w:smallCaps/>
          <w:sz w:val="20"/>
          <w:szCs w:val="20"/>
        </w:rPr>
        <w:t>M</w:t>
      </w:r>
      <w:r>
        <w:rPr>
          <w:b/>
          <w:bCs/>
          <w:smallCaps/>
          <w:sz w:val="16"/>
          <w:szCs w:val="16"/>
        </w:rPr>
        <w:t>edidas preventivas</w:t>
      </w:r>
      <w:r>
        <w:rPr>
          <w:b/>
          <w:bCs/>
          <w:smallCaps/>
          <w:sz w:val="20"/>
          <w:szCs w:val="20"/>
        </w:rPr>
        <w:t>:</w:t>
      </w:r>
    </w:p>
    <w:p w14:paraId="06CC5B56" w14:textId="77777777" w:rsidR="00D03C17" w:rsidRDefault="00D03C17">
      <w:pPr>
        <w:pStyle w:val="Bodytext80"/>
        <w:spacing w:line="334" w:lineRule="auto"/>
        <w:rPr>
          <w:sz w:val="15"/>
          <w:szCs w:val="15"/>
        </w:rPr>
      </w:pPr>
      <w:r>
        <w:rPr>
          <w:b/>
          <w:bCs/>
          <w:i/>
          <w:iCs/>
          <w:sz w:val="15"/>
          <w:szCs w:val="15"/>
        </w:rPr>
        <w:t>Vacunación de lactantes y niños</w:t>
      </w:r>
    </w:p>
    <w:p w14:paraId="68D8990E" w14:textId="77777777" w:rsidR="00D03C17" w:rsidRDefault="00D03C17">
      <w:pPr>
        <w:pStyle w:val="BodyText"/>
        <w:spacing w:line="290" w:lineRule="auto"/>
        <w:ind w:firstLine="0"/>
      </w:pPr>
      <w:r>
        <w:rPr>
          <w:rFonts w:ascii="Times New Roman" w:eastAsia="Times New Roman" w:hAnsi="Times New Roman" w:cs="Times New Roman"/>
          <w:b/>
          <w:bCs/>
          <w:i/>
          <w:iCs/>
          <w:sz w:val="16"/>
          <w:szCs w:val="16"/>
        </w:rPr>
        <w:t>Vacunas</w:t>
      </w:r>
      <w:r>
        <w:rPr>
          <w:i/>
          <w:iCs/>
        </w:rPr>
        <w:t>.</w:t>
      </w:r>
      <w:r>
        <w:t xml:space="preserve"> Los dos tipos de vacuna contra la enfermedad incluyen la elaborada de virus inactivados, que se aplica por vía parenteral (subcutánea o intramuscular) y la hecha de virus vivos que es ingerible. La primera vacuna mencionada constituye la única disponible en Estados Unidos. Ella contiene los tres tipos de virus poliomielíticos cultivados en células Vero e inactivados por formaldehído. La vacuna en cuestión se utiliza en Estados Unidos desde 1987 y tiene mayor potencia que las presentaciones anteriores. En la vacuna puede haber cantidades ínfimas de sulfato de estreptomicina, neomicina y sulfato de polimixina B. La vacuna ingerible contiene virus atenuados de tipos 1, 2 y 3, producidos en células de riñón de mono o cultivos celulares. También se cuenta con virus inactivados en una vacuna mixta que contiene DTaP, virus de hepatitis B e IPV (véase “Tos ferina”, en esta sección).</w:t>
      </w:r>
    </w:p>
    <w:p w14:paraId="58748B5F" w14:textId="77777777" w:rsidR="00D03C17" w:rsidRDefault="00D03C17">
      <w:pPr>
        <w:pStyle w:val="BodyText"/>
        <w:spacing w:line="283" w:lineRule="auto"/>
        <w:ind w:firstLine="360"/>
      </w:pPr>
      <w:r>
        <w:rPr>
          <w:rFonts w:ascii="Times New Roman" w:eastAsia="Times New Roman" w:hAnsi="Times New Roman" w:cs="Times New Roman"/>
          <w:b/>
          <w:bCs/>
          <w:i/>
          <w:iCs/>
          <w:sz w:val="16"/>
          <w:szCs w:val="16"/>
        </w:rPr>
        <w:t>Inmunogenicidady eficacia.</w:t>
      </w:r>
      <w:r>
        <w:t xml:space="preserve"> Las dos vacunas antipoliomielíticas, en los planes recomendados de aplicación, son altamente inmunógenas y eficaces para evitar la poliomielitis.</w:t>
      </w:r>
    </w:p>
    <w:p w14:paraId="0A139AD3" w14:textId="77777777" w:rsidR="00D03C17" w:rsidRDefault="00D03C17">
      <w:pPr>
        <w:pStyle w:val="BodyText"/>
        <w:ind w:firstLine="360"/>
      </w:pPr>
      <w:r>
        <w:t>La aplicación de la vacuna IPV origina seroconversión en 95% o más de los vacunados, así a cada uno de los tres serotipos, después de recibir dos dosis y en 99 a 100% de tales personas después de recibir tres dosis. La inmunidad es duradera, quizá permanente. La inmunidad de mucosas es inducida por la vacuna IPV de mayor potencia, pero en menor grado que con la vacuna OPV. Después de la infección con virus poliomielítico los niños vacunados con IPV excretan los virus en los excrementos, pero no en la bucofaringe. La serie de tres dosis de la vacuna OPV como se utilizaba en Estados Unidos origina inmunidad sostenida, tal vez permanente. La aplicación de dos dosis o más de la vacuna OPV origina una excelente respuesta de anticuerpos séricos y un alto grado de inmunidad intestinal contra la reinfección por virus poliomielíticos lo cual explica su eficacia para controlar la circulación de virus natural.</w:t>
      </w:r>
    </w:p>
    <w:p w14:paraId="2D2745EE" w14:textId="77777777" w:rsidR="00D03C17" w:rsidRDefault="00D03C17">
      <w:pPr>
        <w:pStyle w:val="BodyText"/>
        <w:spacing w:line="276" w:lineRule="auto"/>
        <w:ind w:firstLine="360"/>
      </w:pPr>
      <w:r>
        <w:rPr>
          <w:rFonts w:ascii="Times New Roman" w:eastAsia="Times New Roman" w:hAnsi="Times New Roman" w:cs="Times New Roman"/>
          <w:b/>
          <w:bCs/>
          <w:i/>
          <w:iCs/>
          <w:sz w:val="16"/>
          <w:szCs w:val="16"/>
        </w:rPr>
        <w:t>Administración junto con otras vacunas.</w:t>
      </w:r>
      <w:r>
        <w:t xml:space="preserve"> Es posible aplicar conjuntamente las vacunas IPV u OPV con las demás vacunas cuya aplicación se recomienda sistemáticamente en la niñez (véase “Administración simultánea de múltiples vacunas”, sección 1). Para la aplicación de la vacuna mixta DTaP, hepatitis B e IPV con otras vacunas más, y la posibilidad de cambiar la vacuna mixta por otros productos de este tipo, consúltese “Tos ferina”, en esta sección.</w:t>
      </w:r>
    </w:p>
    <w:p w14:paraId="56B2748E" w14:textId="77777777" w:rsidR="00D03C17" w:rsidRDefault="00D03C17">
      <w:pPr>
        <w:pStyle w:val="BodyText"/>
        <w:spacing w:line="276" w:lineRule="auto"/>
        <w:ind w:firstLine="360"/>
      </w:pPr>
      <w:r>
        <w:rPr>
          <w:rFonts w:ascii="Times New Roman" w:eastAsia="Times New Roman" w:hAnsi="Times New Roman" w:cs="Times New Roman"/>
          <w:b/>
          <w:bCs/>
          <w:i/>
          <w:iCs/>
          <w:sz w:val="16"/>
          <w:szCs w:val="16"/>
        </w:rPr>
        <w:t>Reacciones adversas.</w:t>
      </w:r>
      <w:r>
        <w:t xml:space="preserve"> El uso de la vacuna IPV disponible no se ha acompañado de reacciones adversas graves. Dado que la vacuna mencionada puede contener cantidades ínfimas de estreptomicina, neomicina o polimixina B, es posible que surjan reacciones alérgicas entre quienes la reciben y que tienen hipersensibilidad a uno o más de los antimicrobianos mencionados.</w:t>
      </w:r>
    </w:p>
    <w:p w14:paraId="172E552A" w14:textId="77777777" w:rsidR="00D03C17" w:rsidRDefault="00D03C17">
      <w:pPr>
        <w:pStyle w:val="BodyText"/>
        <w:ind w:firstLine="360"/>
      </w:pPr>
      <w:r>
        <w:t>La vacuna antipoliomielítica ingerible puede ocasionar VAPP. Antes de que se utilizara ampliamente la vacuna IPV en Estados Unidos, el peligro global de que surgiera VAPP era de alrededor de un caso por 2.4 millones de dosis de la vacuna OPV distribuida. La frecuencia después de la primera dosis, que incluía los casos del niño que recibía la vacuna y los contactos, eran de, aproximadamente, un caso por 750 000 dosis.</w:t>
      </w:r>
    </w:p>
    <w:p w14:paraId="6785DD1C" w14:textId="77777777" w:rsidR="00D03C17" w:rsidRDefault="00D03C17">
      <w:pPr>
        <w:pStyle w:val="BodyText"/>
        <w:spacing w:line="276" w:lineRule="auto"/>
        <w:ind w:firstLine="360"/>
        <w:sectPr w:rsidR="00D03C17" w:rsidSect="00D03C17">
          <w:headerReference w:type="even" r:id="rId229"/>
          <w:headerReference w:type="default" r:id="rId230"/>
          <w:footerReference w:type="even" r:id="rId231"/>
          <w:footerReference w:type="default" r:id="rId232"/>
          <w:footnotePr>
            <w:numFmt w:val="chicago"/>
          </w:footnotePr>
          <w:pgSz w:w="8501" w:h="13022"/>
          <w:pgMar w:top="707" w:right="578" w:bottom="444" w:left="521" w:header="0" w:footer="3" w:gutter="0"/>
          <w:pgNumType w:start="556"/>
          <w:cols w:space="720"/>
          <w:noEndnote/>
          <w:docGrid w:linePitch="360"/>
          <w15:footnoteColumns w:val="1"/>
        </w:sectPr>
      </w:pPr>
      <w:r>
        <w:rPr>
          <w:rFonts w:ascii="Arial" w:eastAsia="Arial" w:hAnsi="Arial" w:cs="Arial"/>
          <w:b/>
          <w:bCs/>
          <w:i/>
          <w:iCs/>
          <w:sz w:val="15"/>
          <w:szCs w:val="15"/>
        </w:rPr>
        <w:t>Calendario.</w:t>
      </w:r>
      <w:r>
        <w:t xml:space="preserve"> La </w:t>
      </w:r>
      <w:r>
        <w:rPr>
          <w:rFonts w:ascii="Times New Roman" w:eastAsia="Times New Roman" w:hAnsi="Times New Roman" w:cs="Times New Roman"/>
          <w:i/>
          <w:iCs/>
          <w:sz w:val="16"/>
          <w:szCs w:val="16"/>
        </w:rPr>
        <w:t>American Academy of Pediatrics</w:t>
      </w:r>
      <w:r>
        <w:t xml:space="preserve"> recomienda seguir un plan de cuatro dosis en todas las vacunas IPV para la vacunación regular de todos los lactantes y los niños en Estados Unidos. Las primeras dos dosis deben administrarse a intervalos de dos meses que comiencen a los dos meses de vida (edad mínima, seis semanas), y la tercera dosis se recomienda entre los seis y 18 meses de edad. Si conviene acelerar la protección se pueden dar las dosis a intervalos de cuatro semanas. La administración de la tercera dosis a los seis meses de vida genera la posible ventaja de aumentar la posibilidad de que el niño complete la serie primaria y no ponga en riesgo la seroconversión. Hay que dar una dosis suplementaria de la vacuna (IPV) antes de que el niño comience su ciclo escolar (entre </w:t>
      </w:r>
    </w:p>
    <w:p w14:paraId="1580657F" w14:textId="77777777" w:rsidR="00D03C17" w:rsidRDefault="00D03C17">
      <w:pPr>
        <w:pStyle w:val="BodyText"/>
        <w:spacing w:line="276" w:lineRule="auto"/>
        <w:ind w:firstLine="0"/>
      </w:pPr>
      <w:r>
        <w:t>los cuatro y seis años). No se necesita la cuarta dosis si se administró la tercera cuando cumplió cuatro años el menor o después de esa fecha.</w:t>
      </w:r>
    </w:p>
    <w:p w14:paraId="79C2894F" w14:textId="77777777" w:rsidR="00D03C17" w:rsidRDefault="00D03C17">
      <w:pPr>
        <w:pStyle w:val="BodyText"/>
        <w:ind w:firstLine="360"/>
      </w:pPr>
      <w:r>
        <w:t>La vacuna oral antipoliomielitica es la más indicada para la erradicación global. Su uso se recomienda en las áreas siguientes: 1) sitios en que hay circulación continua o reciente de virus natural; 2) casi todos los países en desarrollo en que el alto costo de la vacuna IPV impide su empleo y 3) en sitios en que la sanidad inadecuada obliga a que haya una barrera óptima de las mucosas a la circulación del virus natural.</w:t>
      </w:r>
    </w:p>
    <w:p w14:paraId="371A832D" w14:textId="77777777" w:rsidR="00D03C17" w:rsidRDefault="00D03C17">
      <w:pPr>
        <w:pStyle w:val="BodyText"/>
        <w:ind w:firstLine="360"/>
      </w:pPr>
      <w:r>
        <w:t>En Estados Unidos no se distribuye la vacuna oral; sin embargo, sigue siendo una opción en salud pública el posible empleo de ella para desterrar un brote futuro de poliomielitis paralítica. Siempre que se administra dicha vacuna, hay que comentar con los padres o cuidadores el riesgo de que surja VAPP entre quienes la reciben y los contactos en la familia.</w:t>
      </w:r>
    </w:p>
    <w:p w14:paraId="0F272958" w14:textId="77777777" w:rsidR="00D03C17" w:rsidRDefault="00D03C17">
      <w:pPr>
        <w:pStyle w:val="BodyText"/>
        <w:spacing w:line="276" w:lineRule="auto"/>
        <w:ind w:firstLine="360"/>
      </w:pPr>
      <w:r>
        <w:rPr>
          <w:rFonts w:ascii="Times New Roman" w:eastAsia="Times New Roman" w:hAnsi="Times New Roman" w:cs="Times New Roman"/>
          <w:b/>
          <w:bCs/>
          <w:i/>
          <w:iCs/>
          <w:sz w:val="16"/>
          <w:szCs w:val="16"/>
        </w:rPr>
        <w:t>Niños con vacunación incompleta.</w:t>
      </w:r>
      <w:r>
        <w:t xml:space="preserve"> Los menores que no han recibido las dosis recomendadas de vacunas antipoliomielíticas con base en un programa deben recibir dosis suficientes de la vacuna IPV para completar la serie correspondiente a su edad (véase cuadro 1-6, sección 1).</w:t>
      </w:r>
    </w:p>
    <w:p w14:paraId="6C69E032" w14:textId="77777777" w:rsidR="00D03C17" w:rsidRDefault="00D03C17">
      <w:pPr>
        <w:pStyle w:val="BodyText"/>
        <w:spacing w:line="276" w:lineRule="auto"/>
        <w:ind w:firstLine="360"/>
      </w:pPr>
      <w:r>
        <w:rPr>
          <w:rFonts w:ascii="Arial" w:eastAsia="Arial" w:hAnsi="Arial" w:cs="Arial"/>
          <w:b/>
          <w:bCs/>
          <w:i/>
          <w:iCs/>
          <w:sz w:val="15"/>
          <w:szCs w:val="15"/>
        </w:rPr>
        <w:t>Recomendaciones para adultos.</w:t>
      </w:r>
      <w:r>
        <w:t xml:space="preserve"> Casi todos los adultos que viven en Estados Unidos son inmunes como consecuencia de la vacuna que recibieron en su niñez y tienen un pequeño peligro de exposición a los virus naturales en dicho país. Se recomienda la vacunación sólo en el caso de algunos adultos expuestos a un mayor peligro de exposición al virus recién mencionado (natural), que en la población general e incluyen:</w:t>
      </w:r>
    </w:p>
    <w:p w14:paraId="34CAC617" w14:textId="77777777" w:rsidR="00D03C17" w:rsidRDefault="00D03C17">
      <w:pPr>
        <w:pStyle w:val="BodyText"/>
        <w:numPr>
          <w:ilvl w:val="0"/>
          <w:numId w:val="87"/>
        </w:numPr>
        <w:tabs>
          <w:tab w:val="left" w:pos="337"/>
        </w:tabs>
        <w:ind w:left="360" w:hanging="360"/>
      </w:pPr>
      <w:bookmarkStart w:id="192" w:name="bookmark1216"/>
      <w:bookmarkEnd w:id="192"/>
      <w:r>
        <w:t>Personas que viajan a zonas o países en que la poliomielitis es epidémica o endémica o puede serlo</w:t>
      </w:r>
    </w:p>
    <w:p w14:paraId="621E37CC" w14:textId="77777777" w:rsidR="00D03C17" w:rsidRDefault="00D03C17">
      <w:pPr>
        <w:pStyle w:val="BodyText"/>
        <w:numPr>
          <w:ilvl w:val="0"/>
          <w:numId w:val="87"/>
        </w:numPr>
        <w:tabs>
          <w:tab w:val="left" w:pos="337"/>
        </w:tabs>
        <w:ind w:left="360" w:hanging="360"/>
      </w:pPr>
      <w:bookmarkStart w:id="193" w:name="bookmark1217"/>
      <w:bookmarkEnd w:id="193"/>
      <w:r>
        <w:t>Miembros de comunidades o grupos poblacionales específicos con enfermedad causada por virus naturales</w:t>
      </w:r>
    </w:p>
    <w:p w14:paraId="3C4F65FA" w14:textId="77777777" w:rsidR="00D03C17" w:rsidRDefault="00D03C17">
      <w:pPr>
        <w:pStyle w:val="BodyText"/>
        <w:numPr>
          <w:ilvl w:val="0"/>
          <w:numId w:val="87"/>
        </w:numPr>
        <w:tabs>
          <w:tab w:val="left" w:pos="337"/>
        </w:tabs>
        <w:ind w:left="360" w:hanging="360"/>
      </w:pPr>
      <w:bookmarkStart w:id="194" w:name="bookmark1218"/>
      <w:bookmarkEnd w:id="194"/>
      <w:r>
        <w:t>Personas que trabajan en laboratorios y que manejan muestras que pudieran contener virus naturales de poliomielitis</w:t>
      </w:r>
    </w:p>
    <w:p w14:paraId="4D07EBA1" w14:textId="77777777" w:rsidR="00D03C17" w:rsidRDefault="00D03C17">
      <w:pPr>
        <w:pStyle w:val="BodyText"/>
        <w:numPr>
          <w:ilvl w:val="0"/>
          <w:numId w:val="87"/>
        </w:numPr>
        <w:tabs>
          <w:tab w:val="left" w:pos="337"/>
        </w:tabs>
        <w:ind w:left="360" w:hanging="360"/>
      </w:pPr>
      <w:bookmarkStart w:id="195" w:name="bookmark1219"/>
      <w:bookmarkEnd w:id="195"/>
      <w:r>
        <w:t>Profesionales asistenciales en contacto muy cercano con pacientes que pudieran excretar virus naturales de poliomielitis</w:t>
      </w:r>
    </w:p>
    <w:p w14:paraId="43E76817" w14:textId="77777777" w:rsidR="00D03C17" w:rsidRDefault="00D03C17">
      <w:pPr>
        <w:pStyle w:val="BodyText"/>
        <w:ind w:firstLine="360"/>
      </w:pPr>
      <w:r>
        <w:t>En el caso de adultos no vacunados se recomienda la inmunización primaria con la vacuna IPV; hay que administrar dos dosis de tal preparado a intervalos de uno a dos meses (cuatro a ocho semanas); se administra una tercera dosis seis a 12 meses después de la segunda, salvo que se haya agravado el peligro de exposición, como en el caso de viajes a zonas en que está circulando en forma comprobable el virus natural de la poliomielitis. Si el tiempo escaso no permite la administración de tres dosis de vacuna IPV, según el plan recomendado para la obtención de protección, cabe seguir las alternativas siguientes:</w:t>
      </w:r>
    </w:p>
    <w:p w14:paraId="1F9103B6" w14:textId="77777777" w:rsidR="00D03C17" w:rsidRDefault="00D03C17">
      <w:pPr>
        <w:pStyle w:val="BodyText"/>
        <w:numPr>
          <w:ilvl w:val="0"/>
          <w:numId w:val="87"/>
        </w:numPr>
        <w:tabs>
          <w:tab w:val="left" w:pos="337"/>
        </w:tabs>
        <w:ind w:left="360" w:hanging="360"/>
      </w:pPr>
      <w:bookmarkStart w:id="196" w:name="bookmark1220"/>
      <w:bookmarkEnd w:id="196"/>
      <w:r>
        <w:t>Si no se necesita la protección hasta las ocho semanas o más, habrá que administrar tres dosis de vacuna IPV con una diferencia mínima de cuatro semanas</w:t>
      </w:r>
    </w:p>
    <w:p w14:paraId="1948304A" w14:textId="77777777" w:rsidR="00D03C17" w:rsidRDefault="00D03C17">
      <w:pPr>
        <w:pStyle w:val="BodyText"/>
        <w:numPr>
          <w:ilvl w:val="0"/>
          <w:numId w:val="87"/>
        </w:numPr>
        <w:tabs>
          <w:tab w:val="left" w:pos="337"/>
        </w:tabs>
        <w:ind w:left="360" w:hanging="360"/>
      </w:pPr>
      <w:bookmarkStart w:id="197" w:name="bookmark1221"/>
      <w:bookmarkEnd w:id="197"/>
      <w:r>
        <w:t>Si no se necesita la protección durante cuatro a ocho semanas, habrá que administrar dos dosis de la vacuna mencionada con una diferencia mínima de cuatro semanas</w:t>
      </w:r>
    </w:p>
    <w:p w14:paraId="01715231" w14:textId="77777777" w:rsidR="00D03C17" w:rsidRDefault="00D03C17">
      <w:pPr>
        <w:pStyle w:val="BodyText"/>
        <w:numPr>
          <w:ilvl w:val="0"/>
          <w:numId w:val="87"/>
        </w:numPr>
        <w:tabs>
          <w:tab w:val="left" w:pos="337"/>
        </w:tabs>
        <w:ind w:left="360" w:hanging="360"/>
      </w:pPr>
      <w:bookmarkStart w:id="198" w:name="bookmark1222"/>
      <w:bookmarkEnd w:id="198"/>
      <w:r>
        <w:t>Si se necesita la protección en un lapso menor de cuatro semanas, se administrará una sola dosis de la vacuna IPV</w:t>
      </w:r>
    </w:p>
    <w:p w14:paraId="736AC3F7" w14:textId="77777777" w:rsidR="00D03C17" w:rsidRDefault="00D03C17">
      <w:pPr>
        <w:pStyle w:val="BodyText"/>
        <w:ind w:firstLine="360"/>
      </w:pPr>
      <w:r>
        <w:t>Habrá que administrar más adelante el resto de las dosis de la vacuna para completar el plan primario de inmunización si persiste el mayor riesgo para la persona. Estas son las recomendaciones en otras circunstancias:</w:t>
      </w:r>
    </w:p>
    <w:p w14:paraId="61ECD457" w14:textId="77777777" w:rsidR="00D03C17" w:rsidRDefault="00D03C17">
      <w:pPr>
        <w:pStyle w:val="BodyText"/>
        <w:numPr>
          <w:ilvl w:val="0"/>
          <w:numId w:val="87"/>
        </w:numPr>
        <w:tabs>
          <w:tab w:val="left" w:pos="337"/>
        </w:tabs>
        <w:ind w:left="360" w:hanging="360"/>
      </w:pPr>
      <w:bookmarkStart w:id="199" w:name="bookmark1223"/>
      <w:bookmarkEnd w:id="199"/>
      <w:r>
        <w:rPr>
          <w:rFonts w:ascii="Times New Roman" w:eastAsia="Times New Roman" w:hAnsi="Times New Roman" w:cs="Times New Roman"/>
          <w:b/>
          <w:bCs/>
          <w:i/>
          <w:iCs/>
          <w:sz w:val="16"/>
          <w:szCs w:val="16"/>
        </w:rPr>
        <w:t>Adultos con vacunación incompleta.</w:t>
      </w:r>
      <w:r>
        <w:t xml:space="preserve"> A los adultos a los que se administró menos del ciclo primario completo de vacunas OPV o IPV se aplicarán las dosis restantes necesarias de vacuna IPV independientemente del intervalo que haya transcurrido desde la última dosis y el tipo de vacuna usado antes.</w:t>
      </w:r>
    </w:p>
    <w:p w14:paraId="559AEB7D" w14:textId="77777777" w:rsidR="00D03C17" w:rsidRDefault="00D03C17">
      <w:pPr>
        <w:pStyle w:val="Bodytext20"/>
        <w:spacing w:line="276" w:lineRule="auto"/>
        <w:ind w:left="360" w:hanging="360"/>
        <w:rPr>
          <w:sz w:val="19"/>
          <w:szCs w:val="19"/>
        </w:rPr>
      </w:pPr>
      <w:r>
        <w:rPr>
          <w:rFonts w:ascii="Garamond" w:eastAsia="Garamond" w:hAnsi="Garamond" w:cs="Garamond"/>
          <w:sz w:val="19"/>
          <w:szCs w:val="19"/>
        </w:rPr>
        <w:t xml:space="preserve">• </w:t>
      </w:r>
      <w:r>
        <w:rPr>
          <w:b/>
          <w:bCs/>
          <w:i/>
          <w:iCs/>
        </w:rPr>
        <w:t>Adultos con un mayor peligro de exposición al virus natural o aquellos que completaron el ciclo de vacunación primaria con vacunas OPVo IPV.</w:t>
      </w:r>
      <w:r>
        <w:rPr>
          <w:rFonts w:ascii="Garamond" w:eastAsia="Garamond" w:hAnsi="Garamond" w:cs="Garamond"/>
          <w:sz w:val="19"/>
          <w:szCs w:val="19"/>
        </w:rPr>
        <w:t xml:space="preserve"> Dichos adultos recibirán una sola dosis de vacuna de virus de poliomielitis inactivado.</w:t>
      </w:r>
    </w:p>
    <w:p w14:paraId="33490B1A" w14:textId="77777777" w:rsidR="00D03C17" w:rsidRDefault="00D03C17">
      <w:pPr>
        <w:pStyle w:val="Bodytext80"/>
        <w:spacing w:line="331" w:lineRule="auto"/>
        <w:rPr>
          <w:sz w:val="15"/>
          <w:szCs w:val="15"/>
        </w:rPr>
      </w:pPr>
      <w:r>
        <w:rPr>
          <w:b/>
          <w:bCs/>
          <w:i/>
          <w:iCs/>
          <w:sz w:val="15"/>
          <w:szCs w:val="15"/>
        </w:rPr>
        <w:t>Precauciones y contraindicaciones para la vacunación</w:t>
      </w:r>
    </w:p>
    <w:p w14:paraId="143BC57B" w14:textId="77777777" w:rsidR="00D03C17" w:rsidRDefault="00D03C17">
      <w:pPr>
        <w:pStyle w:val="BodyText"/>
        <w:spacing w:line="276" w:lineRule="auto"/>
        <w:ind w:firstLine="0"/>
      </w:pPr>
      <w:r>
        <w:rPr>
          <w:rFonts w:ascii="Times New Roman" w:eastAsia="Times New Roman" w:hAnsi="Times New Roman" w:cs="Times New Roman"/>
          <w:b/>
          <w:bCs/>
          <w:i/>
          <w:iCs/>
          <w:sz w:val="16"/>
          <w:szCs w:val="16"/>
        </w:rPr>
        <w:t>Cuadros de inmunodeficiencia.</w:t>
      </w:r>
      <w:r>
        <w:t xml:space="preserve"> Deben recibir la vacuna IPV los sujetos con cuadros de inmunodeficiencia, como serían infección por VIH, inmunodeficiencia combinada, anormalidades de la síntesis de inmunoglobulinas (síndromes de deficiencia de anticuerpos), leucemia, linfoma o cánceres generalizados o personas que recibirán tratamiento inmunosupresor a base de fármacos (véase “Niños inmunodeficientes”, sección 1) o radioterapia. No es posible asegurar que se obtenga una respuesta inmunitaria protectora a la vacuna mencionada en un paciente inmunodeficiente.</w:t>
      </w:r>
    </w:p>
    <w:p w14:paraId="5413BBC6" w14:textId="77777777" w:rsidR="00D03C17" w:rsidRDefault="00D03C17">
      <w:pPr>
        <w:pStyle w:val="BodyText"/>
        <w:spacing w:line="276" w:lineRule="auto"/>
        <w:ind w:firstLine="360"/>
      </w:pPr>
      <w:r>
        <w:rPr>
          <w:rFonts w:ascii="Times New Roman" w:eastAsia="Times New Roman" w:hAnsi="Times New Roman" w:cs="Times New Roman"/>
          <w:b/>
          <w:bCs/>
          <w:i/>
          <w:iCs/>
          <w:sz w:val="16"/>
          <w:szCs w:val="16"/>
        </w:rPr>
        <w:t>Contactos del círculo familiar de personas con enfermedad por inmunodeficiencia, estados de alteración inmunitaria, inmunosupresión atribuible al tratamiento de otras enfermedades o infección diagnosticada por VIH.</w:t>
      </w:r>
      <w:r>
        <w:t xml:space="preserve"> Se recomienda en los casos anteriores el uso de la vacuna IPV, y será mejor no utilizar la vacuna OPV. Si inadvertidamente se introduce la vacuna OPV en el círculo familiar de una persona inmunodeficiente o infectada por VIH, hay que llevar al mínimo el contacto cercano entre el paciente y quien recibió la vacuna OPV, cuatro a seis semanas después de la vacunación. Habrá que orientar a los miembros del círculo familiar a la realización de prácticas que lleven al mínimo la exposición del sujeto inmunodeficiente o infectado con VIH a la vacuna que tiene virus de poliomielitis excretable. Las prácticas en cuestión incluyen cumplir con la higiene de las manos después de contacto con el niño por todas las personas y evitar que la persona inmunodeficiente cambie los pañales del menor.</w:t>
      </w:r>
    </w:p>
    <w:p w14:paraId="14178EB2" w14:textId="77777777" w:rsidR="00D03C17" w:rsidRDefault="00D03C17">
      <w:pPr>
        <w:pStyle w:val="BodyText"/>
        <w:spacing w:line="276" w:lineRule="auto"/>
        <w:ind w:firstLine="360"/>
      </w:pPr>
      <w:r>
        <w:rPr>
          <w:rFonts w:ascii="Times New Roman" w:eastAsia="Times New Roman" w:hAnsi="Times New Roman" w:cs="Times New Roman"/>
          <w:b/>
          <w:bCs/>
          <w:i/>
          <w:iCs/>
          <w:sz w:val="16"/>
          <w:szCs w:val="16"/>
        </w:rPr>
        <w:t>Embarazo.</w:t>
      </w:r>
      <w:r>
        <w:t xml:space="preserve"> Ante el riesgo teórico es mejor no aplicar la vacuna durante el embarazo, aunque ninguna prueba convincente indica que aumenten en las embarazadas o en el feto las cifras de reacciones adversas a la vacuna IPV. Si se necesita protección inmediata contra la poliomielitis se recomienda utilizar dicha vacuna (véase “Recomendaciones para adultos”, párrafos anteriores).</w:t>
      </w:r>
    </w:p>
    <w:p w14:paraId="66CA0E7D" w14:textId="77777777" w:rsidR="00D03C17" w:rsidRDefault="00D03C17">
      <w:pPr>
        <w:pStyle w:val="BodyText"/>
        <w:spacing w:line="286" w:lineRule="auto"/>
        <w:ind w:firstLine="360"/>
      </w:pPr>
      <w:r>
        <w:rPr>
          <w:rFonts w:ascii="Times New Roman" w:eastAsia="Times New Roman" w:hAnsi="Times New Roman" w:cs="Times New Roman"/>
          <w:b/>
          <w:bCs/>
          <w:i/>
          <w:iCs/>
          <w:sz w:val="16"/>
          <w:szCs w:val="16"/>
        </w:rPr>
        <w:t>Reacciones de hipersensibilidad o anafilácticas a las vacunas IPV u OPVo agentes antimicrobianos contenidos en ellas.</w:t>
      </w:r>
      <w:r>
        <w:t xml:space="preserve"> La vacuna IPV está contraindicada para personas que han mostrado una reacción anafiláctica después de haber recibido una dosis previa de la misma o algunos de los siguientes antimicrobianos: estreptomicina, neomicina y polimixina B.</w:t>
      </w:r>
    </w:p>
    <w:p w14:paraId="709ACAB7" w14:textId="77777777" w:rsidR="00D03C17" w:rsidRDefault="00D03C17">
      <w:pPr>
        <w:pStyle w:val="BodyText"/>
        <w:ind w:firstLine="360"/>
      </w:pPr>
      <w:r>
        <w:t>El amamantamiento y la diarrea no constituyen contraindicaciones para administrar las vacunas IPV u OPV.</w:t>
      </w:r>
    </w:p>
    <w:p w14:paraId="7D5FD19A" w14:textId="77777777" w:rsidR="00D03C17" w:rsidRDefault="00D03C17">
      <w:pPr>
        <w:pStyle w:val="BodyText"/>
        <w:spacing w:line="276" w:lineRule="auto"/>
        <w:ind w:firstLine="360"/>
      </w:pPr>
      <w:r>
        <w:rPr>
          <w:rFonts w:ascii="Times New Roman" w:eastAsia="Times New Roman" w:hAnsi="Times New Roman" w:cs="Times New Roman"/>
          <w:b/>
          <w:bCs/>
          <w:i/>
          <w:iCs/>
          <w:sz w:val="16"/>
          <w:szCs w:val="16"/>
        </w:rPr>
        <w:t>Notificación de reacciones adversas después de la vacunación.</w:t>
      </w:r>
      <w:r>
        <w:t xml:space="preserve"> Es importante notificar a las autoridades idóneas (véase “Notificación de reacciones adversas”, sección 1) todos los casos de VAPP y otros hechos graves vinculados cronológicamente con la aplicación de vacuna antipoliomielítica.</w:t>
      </w:r>
    </w:p>
    <w:p w14:paraId="5FF8FC5A" w14:textId="77777777" w:rsidR="00D03C17" w:rsidRDefault="00D03C17">
      <w:pPr>
        <w:pStyle w:val="BodyText"/>
        <w:spacing w:line="276" w:lineRule="auto"/>
        <w:ind w:firstLine="360"/>
        <w:sectPr w:rsidR="00D03C17" w:rsidSect="00D03C17">
          <w:headerReference w:type="even" r:id="rId233"/>
          <w:headerReference w:type="default" r:id="rId234"/>
          <w:footerReference w:type="even" r:id="rId235"/>
          <w:footerReference w:type="default" r:id="rId236"/>
          <w:headerReference w:type="first" r:id="rId237"/>
          <w:footerReference w:type="first" r:id="rId238"/>
          <w:footnotePr>
            <w:numFmt w:val="chicago"/>
          </w:footnotePr>
          <w:pgSz w:w="8501" w:h="13022"/>
          <w:pgMar w:top="707" w:right="578" w:bottom="444" w:left="521" w:header="0" w:footer="3" w:gutter="0"/>
          <w:cols w:space="720"/>
          <w:noEndnote/>
          <w:titlePg/>
          <w:docGrid w:linePitch="360"/>
          <w15:footnoteColumns w:val="1"/>
        </w:sectPr>
      </w:pPr>
      <w:r>
        <w:rPr>
          <w:rFonts w:ascii="Times New Roman" w:eastAsia="Times New Roman" w:hAnsi="Times New Roman" w:cs="Times New Roman"/>
          <w:b/>
          <w:bCs/>
          <w:i/>
          <w:iCs/>
          <w:sz w:val="16"/>
          <w:szCs w:val="16"/>
        </w:rPr>
        <w:t>Notificación e investigación de casos.</w:t>
      </w:r>
      <w:r>
        <w:t xml:space="preserve"> Es importante notificar inmediatamente a los departamentos de sanidad estatales todo caso sospechado de poliomielitis, que será el punto de partida de una investigación epidemiológica inmediata. Hay que incluir a la poliomielitis en las entidades del diagnóstico diferencial de todos los casos de parálisis fláccida aguda que incluyen el síndrome de Guillain-Barré y la mielitis transversa. Si la evolución es compatible clínicamente con poliomielitis hay que obtener muestras para estudios de virus (véase “Métodos diagnósticos”, páginas anteriores en este mismo</w:t>
      </w:r>
    </w:p>
    <w:p w14:paraId="6DF5E8D3" w14:textId="77777777" w:rsidR="00D03C17" w:rsidRDefault="00D03C17">
      <w:pPr>
        <w:pStyle w:val="BodyText"/>
        <w:spacing w:after="120"/>
        <w:ind w:firstLine="0"/>
      </w:pPr>
      <w:r>
        <w:t>resumen). Si las pruebas señalan la posible infección por virus natural de la poliomielitis, habrá que realizar una investigación extensa y se tomará una decisión sanitaria en cuanto a la necesidad de inmunizaciones suplementarias, selección de la vacuna y otras medidas más.</w:t>
      </w:r>
    </w:p>
    <w:p w14:paraId="0DF1E895" w14:textId="77777777" w:rsidR="00D03C17" w:rsidRDefault="00D03C17">
      <w:pPr>
        <w:pStyle w:val="Other0"/>
        <w:spacing w:after="120" w:line="240" w:lineRule="auto"/>
        <w:ind w:firstLine="0"/>
        <w:rPr>
          <w:sz w:val="24"/>
          <w:szCs w:val="24"/>
        </w:rPr>
      </w:pPr>
      <w:r>
        <w:rPr>
          <w:rFonts w:ascii="Times New Roman" w:eastAsia="Times New Roman" w:hAnsi="Times New Roman" w:cs="Times New Roman"/>
          <w:b/>
          <w:bCs/>
          <w:smallCaps/>
          <w:sz w:val="28"/>
          <w:szCs w:val="28"/>
        </w:rPr>
        <w:t>P</w:t>
      </w:r>
      <w:r>
        <w:rPr>
          <w:rFonts w:ascii="Times New Roman" w:eastAsia="Times New Roman" w:hAnsi="Times New Roman" w:cs="Times New Roman"/>
          <w:b/>
          <w:bCs/>
          <w:smallCaps/>
          <w:sz w:val="24"/>
          <w:szCs w:val="24"/>
        </w:rPr>
        <w:t>riones</w:t>
      </w:r>
      <w:r>
        <w:rPr>
          <w:rFonts w:ascii="Times New Roman" w:eastAsia="Times New Roman" w:hAnsi="Times New Roman" w:cs="Times New Roman"/>
          <w:b/>
          <w:bCs/>
          <w:smallCaps/>
          <w:sz w:val="28"/>
          <w:szCs w:val="28"/>
        </w:rPr>
        <w:t xml:space="preserve">, </w:t>
      </w:r>
      <w:r>
        <w:rPr>
          <w:rFonts w:ascii="Times New Roman" w:eastAsia="Times New Roman" w:hAnsi="Times New Roman" w:cs="Times New Roman"/>
          <w:b/>
          <w:bCs/>
          <w:smallCaps/>
          <w:sz w:val="24"/>
          <w:szCs w:val="24"/>
        </w:rPr>
        <w:t>enfermedades</w:t>
      </w:r>
    </w:p>
    <w:p w14:paraId="14744E69" w14:textId="77777777" w:rsidR="00D03C17" w:rsidRDefault="00D03C17">
      <w:pPr>
        <w:pStyle w:val="BodyText"/>
        <w:spacing w:line="252" w:lineRule="auto"/>
        <w:ind w:firstLine="0"/>
      </w:pPr>
      <w:r>
        <w:rPr>
          <w:rFonts w:ascii="Arial" w:eastAsia="Arial" w:hAnsi="Arial" w:cs="Arial"/>
          <w:b/>
          <w:bCs/>
          <w:w w:val="70"/>
          <w:sz w:val="32"/>
          <w:szCs w:val="32"/>
        </w:rPr>
        <w:t xml:space="preserve">Transmisibles, encefalopatías espongiformes* </w:t>
      </w:r>
      <w:r>
        <w:rPr>
          <w:b/>
          <w:bCs/>
        </w:rPr>
        <w:t>M</w:t>
      </w:r>
      <w:r>
        <w:rPr>
          <w:b/>
          <w:bCs/>
          <w:sz w:val="13"/>
          <w:szCs w:val="13"/>
        </w:rPr>
        <w:t>ANIFESTACIONES CLÍNICAS</w:t>
      </w:r>
      <w:r>
        <w:rPr>
          <w:b/>
          <w:bCs/>
        </w:rPr>
        <w:t xml:space="preserve">: </w:t>
      </w:r>
      <w:r>
        <w:t xml:space="preserve">Las encefalopatías espongiformes transmisibles </w:t>
      </w:r>
      <w:r>
        <w:rPr>
          <w:i/>
          <w:iCs/>
        </w:rPr>
        <w:t>(</w:t>
      </w:r>
      <w:r>
        <w:rPr>
          <w:rFonts w:ascii="Times New Roman" w:eastAsia="Times New Roman" w:hAnsi="Times New Roman" w:cs="Times New Roman"/>
          <w:i/>
          <w:iCs/>
          <w:sz w:val="16"/>
          <w:szCs w:val="16"/>
        </w:rPr>
        <w:t>transmissible spongiform encephalopathies</w:t>
      </w:r>
      <w:r>
        <w:rPr>
          <w:i/>
          <w:iCs/>
        </w:rPr>
        <w:t>,</w:t>
      </w:r>
      <w:r>
        <w:t xml:space="preserve"> TSE), o enfermedades por priones, comprenden un grupo de síndromes neurodegenerativos siempre letales, raros y de evolución rápida, que han surgido en seres humanos y animales, y que se caracterizan por degeneración neuronal, cambios espongiformes, gliosis y acumulación de una proteína amiloide anormal resistente a proteasa (proteína de prion resistente a proteasa </w:t>
      </w:r>
      <w:r>
        <w:rPr>
          <w:i/>
          <w:iCs/>
        </w:rPr>
        <w:t>[</w:t>
      </w:r>
      <w:r>
        <w:rPr>
          <w:rFonts w:ascii="Times New Roman" w:eastAsia="Times New Roman" w:hAnsi="Times New Roman" w:cs="Times New Roman"/>
          <w:i/>
          <w:iCs/>
          <w:sz w:val="16"/>
          <w:szCs w:val="16"/>
        </w:rPr>
        <w:t>protease-resistantprion protein</w:t>
      </w:r>
      <w:r>
        <w:rPr>
          <w:i/>
          <w:iCs/>
        </w:rPr>
        <w:t>,</w:t>
      </w:r>
      <w:r>
        <w:t xml:space="preserve"> PrPres] o proteína del prion scrapie </w:t>
      </w:r>
      <w:r>
        <w:rPr>
          <w:i/>
          <w:iCs/>
        </w:rPr>
        <w:t>[</w:t>
      </w:r>
      <w:r>
        <w:rPr>
          <w:rFonts w:ascii="Times New Roman" w:eastAsia="Times New Roman" w:hAnsi="Times New Roman" w:cs="Times New Roman"/>
          <w:i/>
          <w:iCs/>
          <w:sz w:val="16"/>
          <w:szCs w:val="16"/>
        </w:rPr>
        <w:t>scrapieprion protein</w:t>
      </w:r>
      <w:r>
        <w:rPr>
          <w:i/>
          <w:iCs/>
        </w:rPr>
        <w:t>,</w:t>
      </w:r>
      <w:r>
        <w:t xml:space="preserve"> PrPsc]) que se distribuye de manera difusa en el encéfalo y a veces también en la forma de placas circunscritas. En TSE de animales se han señalado la afección de otros órganos y sistemas, pero no en seres humanos.</w:t>
      </w:r>
    </w:p>
    <w:p w14:paraId="4CF0C10D" w14:textId="77777777" w:rsidR="00D03C17" w:rsidRDefault="00D03C17">
      <w:pPr>
        <w:pStyle w:val="BodyText"/>
        <w:ind w:firstLine="380"/>
      </w:pPr>
      <w:r>
        <w:t xml:space="preserve">Los cuadros en seres humanos incluyen algunas enfermedades como la de Creutzfeldt-Jakob </w:t>
      </w:r>
      <w:r>
        <w:rPr>
          <w:i/>
          <w:iCs/>
        </w:rPr>
        <w:t>(</w:t>
      </w:r>
      <w:r>
        <w:rPr>
          <w:rFonts w:ascii="Times New Roman" w:eastAsia="Times New Roman" w:hAnsi="Times New Roman" w:cs="Times New Roman"/>
          <w:i/>
          <w:iCs/>
          <w:sz w:val="16"/>
          <w:szCs w:val="16"/>
        </w:rPr>
        <w:t>Creutzfeldt-Jakob</w:t>
      </w:r>
      <w:r>
        <w:t xml:space="preserve"> disease, CJD), la de Gerstmann-Straüssler- Scheinker, el insomnio familiar letal, el kuru y la variante de CJD (vCJD). La forma clásica de CJD puede ser esporádica (85% de los casos, en promedio), familiar (15%, aproximadamente) o yatrógena (&lt;1%); esta última forma se ha propagado por la inyección de hormonas hipofisarias de cadáver (hormona de crecimiento y gonadotropina humana), aloinjertos de duramadre, trasplantes de córnea e instrumentación del encéfalo en la neurocirugía o el registro con electrodos profundos, en electroencefalografía. En 1996, en Inglaterra se notificó un brote de vCJD posiblemente por la exposición a tejidos de ganado infectado por encefalopatía espongiforme bovina </w:t>
      </w:r>
      <w:r>
        <w:rPr>
          <w:i/>
          <w:iCs/>
        </w:rPr>
        <w:t>(</w:t>
      </w:r>
      <w:r>
        <w:rPr>
          <w:rFonts w:ascii="Times New Roman" w:eastAsia="Times New Roman" w:hAnsi="Times New Roman" w:cs="Times New Roman"/>
          <w:i/>
          <w:iCs/>
          <w:sz w:val="16"/>
          <w:szCs w:val="16"/>
        </w:rPr>
        <w:t>bovine spongiform encephalopathy</w:t>
      </w:r>
      <w:r>
        <w:rPr>
          <w:i/>
          <w:iCs/>
        </w:rPr>
        <w:t>,</w:t>
      </w:r>
      <w:r>
        <w:t xml:space="preserve"> BSE). La variante de TSE mejor conocida que ataca a animales es la llamada escrapie de ovejas, BSE y una enfermedad consuntiva crónica del reno y el alce norteamericanos.</w:t>
      </w:r>
    </w:p>
    <w:p w14:paraId="4B2ADE52" w14:textId="77777777" w:rsidR="00D03C17" w:rsidRDefault="00D03C17">
      <w:pPr>
        <w:pStyle w:val="BodyText"/>
        <w:ind w:firstLine="380"/>
      </w:pPr>
      <w:r>
        <w:t>La enfermedad de Creutzfeldt-Jakob se manifiesta en la forma de un síndrome demencial con defectos progresivos en la memoria, la personalidad y otras funciones corticales superiores en 66% aproximadamente, de las personas afectadas. En promedio, 33% de los enfermos tienen disfunción cerebelosa que incluye ataxia y disartria. CJD yatrógena también se manifiesta por demencia (como después de alotrasplantes de duramadre) o por signos cerebelosos (como se observa en casi todos los casos de enfermedad de inoculación periférica). En algún punto de la evolución surge mioclono en 80%, como mínimo, de las personas afectadas, y la muerte por lo común ocurre en cuestión de semanas o meses; sólo alrededor de 10% de los sujetos con la forma esporádica de CJD viven más de un año.</w:t>
      </w:r>
    </w:p>
    <w:p w14:paraId="469FDE62" w14:textId="77777777" w:rsidR="00D03C17" w:rsidRDefault="00D03C17">
      <w:pPr>
        <w:pStyle w:val="BodyText"/>
        <w:spacing w:after="120"/>
        <w:ind w:firstLine="380"/>
        <w:sectPr w:rsidR="00D03C17" w:rsidSect="00D03C17">
          <w:headerReference w:type="even" r:id="rId239"/>
          <w:headerReference w:type="default" r:id="rId240"/>
          <w:footerReference w:type="even" r:id="rId241"/>
          <w:footerReference w:type="default" r:id="rId242"/>
          <w:footnotePr>
            <w:numFmt w:val="chicago"/>
          </w:footnotePr>
          <w:pgSz w:w="8501" w:h="13022"/>
          <w:pgMar w:top="941" w:right="514" w:bottom="1493" w:left="1104" w:header="0" w:footer="3" w:gutter="0"/>
          <w:cols w:space="720"/>
          <w:noEndnote/>
          <w:docGrid w:linePitch="360"/>
          <w15:footnoteColumns w:val="1"/>
        </w:sectPr>
      </w:pPr>
      <w:r>
        <w:t xml:space="preserve">La vCJD se diferencia de la forma clásica de la enfermedad porque comienza a edad más temprana, muestra manifestaciones “psiquiátricas” y otros signos, como serían síntomas sensitivos dolorosos, signos neurológicos francos de comienzo tardío, ausencia </w:t>
      </w:r>
    </w:p>
    <w:p w14:paraId="7E233355" w14:textId="77777777" w:rsidR="00D03C17" w:rsidRDefault="00D03C17">
      <w:pPr>
        <w:pStyle w:val="BodyText"/>
        <w:spacing w:after="120"/>
        <w:ind w:firstLine="0"/>
      </w:pPr>
      <w:r>
        <w:t>resumen). Si las pruebas señalan la posible infección por virus natural de la poliomielitis, habrá que realizar una investigación extensa y se tomará una decisión sanitaria en cuanto a la necesidad de inmunizaciones suplementarias, selección de la vacuna y otras medidas más.</w:t>
      </w:r>
    </w:p>
    <w:p w14:paraId="27754D00" w14:textId="77777777" w:rsidR="00D03C17" w:rsidRDefault="00D03C17">
      <w:pPr>
        <w:pStyle w:val="Other0"/>
        <w:spacing w:after="120" w:line="240" w:lineRule="auto"/>
        <w:ind w:firstLine="0"/>
        <w:rPr>
          <w:sz w:val="24"/>
          <w:szCs w:val="24"/>
        </w:rPr>
      </w:pPr>
      <w:r>
        <w:rPr>
          <w:rFonts w:ascii="Times New Roman" w:eastAsia="Times New Roman" w:hAnsi="Times New Roman" w:cs="Times New Roman"/>
          <w:b/>
          <w:bCs/>
          <w:smallCaps/>
          <w:sz w:val="28"/>
          <w:szCs w:val="28"/>
        </w:rPr>
        <w:t>P</w:t>
      </w:r>
      <w:r>
        <w:rPr>
          <w:rFonts w:ascii="Times New Roman" w:eastAsia="Times New Roman" w:hAnsi="Times New Roman" w:cs="Times New Roman"/>
          <w:b/>
          <w:bCs/>
          <w:smallCaps/>
          <w:sz w:val="24"/>
          <w:szCs w:val="24"/>
        </w:rPr>
        <w:t>riones</w:t>
      </w:r>
      <w:r>
        <w:rPr>
          <w:rFonts w:ascii="Times New Roman" w:eastAsia="Times New Roman" w:hAnsi="Times New Roman" w:cs="Times New Roman"/>
          <w:b/>
          <w:bCs/>
          <w:smallCaps/>
          <w:sz w:val="28"/>
          <w:szCs w:val="28"/>
        </w:rPr>
        <w:t xml:space="preserve">, </w:t>
      </w:r>
      <w:r>
        <w:rPr>
          <w:rFonts w:ascii="Times New Roman" w:eastAsia="Times New Roman" w:hAnsi="Times New Roman" w:cs="Times New Roman"/>
          <w:b/>
          <w:bCs/>
          <w:smallCaps/>
          <w:sz w:val="24"/>
          <w:szCs w:val="24"/>
        </w:rPr>
        <w:t>enfermedades</w:t>
      </w:r>
    </w:p>
    <w:p w14:paraId="5A17BC0F" w14:textId="77777777" w:rsidR="00D03C17" w:rsidRDefault="00D03C17">
      <w:pPr>
        <w:pStyle w:val="BodyText"/>
        <w:spacing w:line="252" w:lineRule="auto"/>
        <w:ind w:firstLine="0"/>
      </w:pPr>
      <w:r>
        <w:rPr>
          <w:rFonts w:ascii="Arial" w:eastAsia="Arial" w:hAnsi="Arial" w:cs="Arial"/>
          <w:b/>
          <w:bCs/>
          <w:w w:val="70"/>
          <w:sz w:val="32"/>
          <w:szCs w:val="32"/>
        </w:rPr>
        <w:t xml:space="preserve">Transmisibles, encefalopatías espongiformes* </w:t>
      </w:r>
      <w:r>
        <w:rPr>
          <w:b/>
          <w:bCs/>
        </w:rPr>
        <w:t>M</w:t>
      </w:r>
      <w:r>
        <w:rPr>
          <w:b/>
          <w:bCs/>
          <w:sz w:val="13"/>
          <w:szCs w:val="13"/>
        </w:rPr>
        <w:t>ANIFESTACIONES CLÍNICAS</w:t>
      </w:r>
      <w:r>
        <w:rPr>
          <w:b/>
          <w:bCs/>
        </w:rPr>
        <w:t xml:space="preserve">: </w:t>
      </w:r>
      <w:r>
        <w:t xml:space="preserve">Las encefalopatías espongiformes transmisibles </w:t>
      </w:r>
      <w:r>
        <w:rPr>
          <w:i/>
          <w:iCs/>
        </w:rPr>
        <w:t>(</w:t>
      </w:r>
      <w:r>
        <w:rPr>
          <w:rFonts w:ascii="Times New Roman" w:eastAsia="Times New Roman" w:hAnsi="Times New Roman" w:cs="Times New Roman"/>
          <w:i/>
          <w:iCs/>
          <w:sz w:val="16"/>
          <w:szCs w:val="16"/>
        </w:rPr>
        <w:t>transmissible spongiform encephalopathies</w:t>
      </w:r>
      <w:r>
        <w:rPr>
          <w:i/>
          <w:iCs/>
        </w:rPr>
        <w:t>,</w:t>
      </w:r>
      <w:r>
        <w:t xml:space="preserve"> TSE), o enfermedades por priones, comprenden un grupo de síndromes neurodegenerativos siempre letales, raros y de evolución rápida, que han surgido en seres humanos y animales, y que se caracterizan por degeneración neuronal, cambios espongiformes, gliosis y acumulación de una proteína amiloide anormal resistente a proteasa (proteína de prion resistente a proteasa </w:t>
      </w:r>
      <w:r>
        <w:rPr>
          <w:i/>
          <w:iCs/>
        </w:rPr>
        <w:t>[</w:t>
      </w:r>
      <w:r>
        <w:rPr>
          <w:rFonts w:ascii="Times New Roman" w:eastAsia="Times New Roman" w:hAnsi="Times New Roman" w:cs="Times New Roman"/>
          <w:i/>
          <w:iCs/>
          <w:sz w:val="16"/>
          <w:szCs w:val="16"/>
        </w:rPr>
        <w:t>protease-resistantprion protein</w:t>
      </w:r>
      <w:r>
        <w:rPr>
          <w:i/>
          <w:iCs/>
        </w:rPr>
        <w:t>,</w:t>
      </w:r>
      <w:r>
        <w:t xml:space="preserve"> PrPres] o proteína del prion scrapie </w:t>
      </w:r>
      <w:r>
        <w:rPr>
          <w:i/>
          <w:iCs/>
        </w:rPr>
        <w:t>[</w:t>
      </w:r>
      <w:r>
        <w:rPr>
          <w:rFonts w:ascii="Times New Roman" w:eastAsia="Times New Roman" w:hAnsi="Times New Roman" w:cs="Times New Roman"/>
          <w:i/>
          <w:iCs/>
          <w:sz w:val="16"/>
          <w:szCs w:val="16"/>
        </w:rPr>
        <w:t>scrapieprion protein</w:t>
      </w:r>
      <w:r>
        <w:rPr>
          <w:i/>
          <w:iCs/>
        </w:rPr>
        <w:t>,</w:t>
      </w:r>
      <w:r>
        <w:t xml:space="preserve"> PrPsc]) que se distribuye de manera difusa en el encéfalo y a veces también en la forma de placas circunscritas. En TSE de animales se han señalado la afección de otros órganos y sistemas, pero no en seres humanos.</w:t>
      </w:r>
    </w:p>
    <w:p w14:paraId="5B967B17" w14:textId="77777777" w:rsidR="00D03C17" w:rsidRDefault="00D03C17">
      <w:pPr>
        <w:pStyle w:val="BodyText"/>
        <w:ind w:firstLine="380"/>
      </w:pPr>
      <w:r>
        <w:t xml:space="preserve">Los cuadros en seres humanos incluyen algunas enfermedades como la de Creutzfeldt-Jakob </w:t>
      </w:r>
      <w:r>
        <w:rPr>
          <w:i/>
          <w:iCs/>
        </w:rPr>
        <w:t>(</w:t>
      </w:r>
      <w:r>
        <w:rPr>
          <w:rFonts w:ascii="Times New Roman" w:eastAsia="Times New Roman" w:hAnsi="Times New Roman" w:cs="Times New Roman"/>
          <w:i/>
          <w:iCs/>
          <w:sz w:val="16"/>
          <w:szCs w:val="16"/>
        </w:rPr>
        <w:t>Creutzfeldt-Jakob</w:t>
      </w:r>
      <w:r>
        <w:t xml:space="preserve"> disease, CJD), la de Gerstmann-Straüssler- Scheinker, el insomnio familiar letal, el kuru y la variante de CJD (vCJD). La forma clásica de CJD puede ser esporádica (85% de los casos, en promedio), familiar (15%, aproximadamente) o yatrógena (&lt;1%); esta última forma se ha propagado por la inyección de hormonas hipofisarias de cadáver (hormona de crecimiento y gonadotropina humana), aloinjertos de duramadre, trasplantes de córnea e instrumentación del encéfalo en la neurocirugía o el registro con electrodos profundos, en electroencefalografía. En 1996, en Inglaterra se notificó un brote de vCJD posiblemente por la exposición a tejidos de ganado infectado por encefalopatía espongiforme bovina </w:t>
      </w:r>
      <w:r>
        <w:rPr>
          <w:i/>
          <w:iCs/>
        </w:rPr>
        <w:t>(</w:t>
      </w:r>
      <w:r>
        <w:rPr>
          <w:rFonts w:ascii="Times New Roman" w:eastAsia="Times New Roman" w:hAnsi="Times New Roman" w:cs="Times New Roman"/>
          <w:i/>
          <w:iCs/>
          <w:sz w:val="16"/>
          <w:szCs w:val="16"/>
        </w:rPr>
        <w:t>bovine spongiform encephalopathy</w:t>
      </w:r>
      <w:r>
        <w:rPr>
          <w:i/>
          <w:iCs/>
        </w:rPr>
        <w:t>,</w:t>
      </w:r>
      <w:r>
        <w:t xml:space="preserve"> BSE). La variante de TSE mejor conocida que ataca a animales es la llamada escrapie de ovejas, BSE y una enfermedad consuntiva crónica del reno y el alce norteamericanos.</w:t>
      </w:r>
    </w:p>
    <w:p w14:paraId="36FD13EC" w14:textId="77777777" w:rsidR="00D03C17" w:rsidRDefault="00D03C17">
      <w:pPr>
        <w:pStyle w:val="BodyText"/>
        <w:ind w:firstLine="380"/>
      </w:pPr>
      <w:r>
        <w:t>La enfermedad de Creutzfeldt-Jakob se manifiesta en la forma de un síndrome demencial con defectos progresivos en la memoria, la personalidad y otras funciones corticales superiores en 66% aproximadamente, de las personas afectadas. En promedio, 33% de los enfermos tienen disfunción cerebelosa que incluye ataxia y disartria. CJD yatrógena también se manifiesta por demencia (como después de alotrasplantes de duramadre) o por signos cerebelosos (como se observa en casi todos los casos de enfermedad de inoculación periférica). En algún punto de la evolución surge mioclono en 80%, como mínimo, de las personas afectadas, y la muerte por lo común ocurre en cuestión de semanas o meses; sólo alrededor de 10% de los sujetos con la forma esporádica de CJD viven más de un año.</w:t>
      </w:r>
    </w:p>
    <w:p w14:paraId="25F21429" w14:textId="77777777" w:rsidR="00D03C17" w:rsidRDefault="00D03C17">
      <w:pPr>
        <w:pStyle w:val="BodyText"/>
        <w:spacing w:after="120"/>
        <w:ind w:firstLine="380"/>
        <w:sectPr w:rsidR="00D03C17" w:rsidSect="00D03C17">
          <w:footnotePr>
            <w:numFmt w:val="chicago"/>
          </w:footnotePr>
          <w:pgSz w:w="8501" w:h="13022"/>
          <w:pgMar w:top="941" w:right="514" w:bottom="1493" w:left="1104" w:header="0" w:footer="3" w:gutter="0"/>
          <w:pgNumType w:start="561"/>
          <w:cols w:space="720"/>
          <w:noEndnote/>
          <w:docGrid w:linePitch="360"/>
          <w15:footnoteColumns w:val="1"/>
        </w:sectPr>
      </w:pPr>
      <w:r>
        <w:t>La vCJD se diferencia de la forma clásica de la enfermedad porque comienza a edad más temprana, muestra manifestaciones “psiquiátricas” y otros signos, como serían síntomas sensitivos dolorosos, signos neurológicos francos de comienzo tardío, ausencia</w:t>
      </w:r>
    </w:p>
    <w:p w14:paraId="52FC310D" w14:textId="77777777" w:rsidR="00D03C17" w:rsidRDefault="00D03C17">
      <w:pPr>
        <w:pStyle w:val="BodyText"/>
        <w:ind w:firstLine="0"/>
      </w:pPr>
      <w:r>
        <w:t xml:space="preserve">de cambios electroencefalográficos diagnósticos y duración más larga de la enfermedad. En la forma variante de CJD, se identifican placas “floridas” o en “margarita” y notable acumulación de PrPres en sistema nervioso central y en los tejidos linfoides. </w:t>
      </w:r>
      <w:r>
        <w:rPr>
          <w:b/>
          <w:bCs/>
        </w:rPr>
        <w:t>C</w:t>
      </w:r>
      <w:r>
        <w:rPr>
          <w:b/>
          <w:bCs/>
          <w:sz w:val="13"/>
          <w:szCs w:val="13"/>
        </w:rPr>
        <w:t>AUSAS</w:t>
      </w:r>
      <w:r>
        <w:rPr>
          <w:b/>
          <w:bCs/>
        </w:rPr>
        <w:t xml:space="preserve">: </w:t>
      </w:r>
      <w:r>
        <w:t>Se piensa que la partícula infectante o prion que origina este tipo de enfermedades en seres humanos y animales es una glucoproteína anormal sin un componente de ácido nucleico, aunque algunos expertos se muestran aún escépticos hacia la hipótesis de los priones. Los partidarios de ella proponen que CJD esporádica proviene de un raro cambio estructural espontáneo de la glucoproteína codificada por el hospedador insensible a la proteasa normal (PrPsen) que aparece en circunstancias fisiológicas en la superficie de neuronas en seres humanos y animales. Se piensa que los cambios de conformación propios de la proteína de los priones (PrP) son propagados por una “reacción de reclutamiento” (de la cual se desconoce su naturaleza) en que PrP anormal sirve como una plantilla o trama para la conversión conformativa de moléculas PrPsen vecinas.</w:t>
      </w:r>
    </w:p>
    <w:p w14:paraId="2FF2967E" w14:textId="77777777" w:rsidR="00D03C17" w:rsidRDefault="00D03C17">
      <w:pPr>
        <w:pStyle w:val="BodyText"/>
        <w:ind w:firstLine="0"/>
      </w:pPr>
      <w:r>
        <w:rPr>
          <w:b/>
          <w:bCs/>
        </w:rPr>
        <w:t>A</w:t>
      </w:r>
      <w:r>
        <w:rPr>
          <w:b/>
          <w:bCs/>
          <w:sz w:val="13"/>
          <w:szCs w:val="13"/>
        </w:rPr>
        <w:t>SPECTOS EPIDEMIOLÓGICOS</w:t>
      </w:r>
      <w:r>
        <w:rPr>
          <w:b/>
          <w:bCs/>
        </w:rPr>
        <w:t xml:space="preserve">: </w:t>
      </w:r>
      <w:r>
        <w:t>La forma clásica de CJD es rara y su frecuencia anual es de un caso por millón de personas en Estados Unidos. El comienzo de la enfermedad alcanza su máximo entre personas de 60 a 69 años. La forma familiar aparece con una frecuencia que es un décimo de la de CJD esporádica, y el trastorno inicia aproximadamente 10 años antes que la forma esporádica.</w:t>
      </w:r>
    </w:p>
    <w:p w14:paraId="0884204A" w14:textId="77777777" w:rsidR="00D03C17" w:rsidRDefault="00D03C17">
      <w:pPr>
        <w:pStyle w:val="BodyText"/>
        <w:ind w:firstLine="360"/>
      </w:pPr>
      <w:r>
        <w:t>En estudios de casos y testigos de CJD esporádica no se ha identificado algún factor de peligro constante proveniente del entorno. Tampoco se ha observado un riesgo significativamente mayor, en términos estadísticos, con el tratamiento a base de sangre, hemoderivados o derivados de plasma, y la incidencia de CJD no aumenta en personas con algunas enfermedades que se acompañan de una mayor exposición a la sangre o hemoderivados, en particular hemofilias A y B, talasemia y enfermedad drepanocítica.</w:t>
      </w:r>
    </w:p>
    <w:p w14:paraId="4FD7796B" w14:textId="77777777" w:rsidR="00D03C17" w:rsidRDefault="00D03C17">
      <w:pPr>
        <w:pStyle w:val="BodyText"/>
        <w:ind w:firstLine="360"/>
      </w:pPr>
      <w:r>
        <w:t>Para marzo de 2002 se había notificado vCJD en 117 personas en Inglaterra, seis en Francia, una en Hong Kong, una en Italia y otra más en Irlanda. Los pacientes de Hong Kong e Irlanda habían vivido largo tiempo en Inglaterra. Casi todas las personas con vCJD tuvieron menos de 30 años de vida y algunos eran adolescentes. Salvo un paciente, todos los demás fallecieron antes de los 55 años. Con base en datos de estudios de inoculación de animales, tipificación de cepas e investigaciones epidemiológicas, se ha pensado que los casos de vCJD pudieran vincularse con exposición a tejidos de ganado bovino infectado por encefalopatía espongiforme.</w:t>
      </w:r>
    </w:p>
    <w:p w14:paraId="1859E31A" w14:textId="77777777" w:rsidR="00D03C17" w:rsidRDefault="00D03C17">
      <w:pPr>
        <w:pStyle w:val="BodyText"/>
        <w:ind w:firstLine="360"/>
      </w:pPr>
      <w:r>
        <w:t xml:space="preserve">El </w:t>
      </w:r>
      <w:r>
        <w:rPr>
          <w:b/>
          <w:bCs/>
        </w:rPr>
        <w:t xml:space="preserve">periodo de incubación </w:t>
      </w:r>
      <w:r>
        <w:t>en la CJD yatrógena varía con la vía de exposición y puede ser de 1.5 a más de 30 años.</w:t>
      </w:r>
    </w:p>
    <w:p w14:paraId="4B6A1F22" w14:textId="77777777" w:rsidR="00D03C17" w:rsidRDefault="00D03C17">
      <w:pPr>
        <w:pStyle w:val="BodyText"/>
        <w:spacing w:after="360"/>
        <w:ind w:firstLine="0"/>
      </w:pPr>
      <w:r>
        <w:rPr>
          <w:b/>
          <w:bCs/>
        </w:rPr>
        <w:t>M</w:t>
      </w:r>
      <w:r>
        <w:rPr>
          <w:b/>
          <w:bCs/>
          <w:sz w:val="13"/>
          <w:szCs w:val="13"/>
        </w:rPr>
        <w:t>ÉTODOS DIAGNÓSTICOS</w:t>
      </w:r>
      <w:r>
        <w:rPr>
          <w:b/>
          <w:bCs/>
        </w:rPr>
        <w:t xml:space="preserve">: </w:t>
      </w:r>
      <w:r>
        <w:t>El diagnóstico de enfermedades por priones en seres humanos se puede confirmar con certeza únicamente por el estudio neuropatológico del tejido encefálico afectado. En 75 a 85% de personas con la forma clásica, en los trazos electroencefalográficos se han descrito descargas atípicas de uno a dos ciclos por segundo, trifásicas y de ondas cortas. Según señalamientos, un nuevo método reciente que incluye proteína 14-3-3 que detecta la proteína en líquido cefalorraquídeo, es sensible y específico como marcador de CJD. No se cuenta con método alguno de tipo hematológico. Se supone que es una enfermedad de priones el síndrome neurológico progresivo en una persona que posee la mutación patógena del gen de la proteína del</w:t>
      </w:r>
    </w:p>
    <w:p w14:paraId="41392827" w14:textId="77777777" w:rsidR="00D03C17" w:rsidRDefault="00D03C17">
      <w:pPr>
        <w:pStyle w:val="Bodytext20"/>
        <w:spacing w:line="271" w:lineRule="auto"/>
        <w:rPr>
          <w:sz w:val="19"/>
          <w:szCs w:val="19"/>
        </w:rPr>
      </w:pPr>
      <w:r>
        <w:rPr>
          <w:sz w:val="15"/>
          <w:szCs w:val="15"/>
        </w:rPr>
        <w:t xml:space="preserve">* </w:t>
      </w:r>
      <w:r>
        <w:rPr>
          <w:i/>
          <w:iCs/>
          <w:sz w:val="15"/>
          <w:szCs w:val="15"/>
        </w:rPr>
        <w:t>WHO Infection Control Guidelines for Transmissible Spongiform Encephalopathies.</w:t>
      </w:r>
      <w:r>
        <w:rPr>
          <w:sz w:val="15"/>
          <w:szCs w:val="15"/>
        </w:rPr>
        <w:t xml:space="preserve"> Report of a WHO Consultation, Geneva, Switzerland, March 23-26, 1999. Se puede consultar: </w:t>
      </w:r>
      <w:hyperlink r:id="rId243" w:history="1">
        <w:r>
          <w:rPr>
            <w:sz w:val="15"/>
            <w:szCs w:val="15"/>
          </w:rPr>
          <w:t>www.who.int/emc- documents/tse/whocdscraph2003c.html</w:t>
        </w:r>
      </w:hyperlink>
      <w:r>
        <w:rPr>
          <w:sz w:val="15"/>
          <w:szCs w:val="15"/>
        </w:rPr>
        <w:t xml:space="preserve">. </w:t>
      </w:r>
      <w:r>
        <w:rPr>
          <w:rStyle w:val="BodyTextChar"/>
        </w:rPr>
        <w:t xml:space="preserve">prion (PRNP). El hecho de no detectar un componente de ácido nucleico peculiar de un prion impide detectar la partícula infectante por amplificación de genoma. </w:t>
      </w:r>
      <w:r>
        <w:rPr>
          <w:rStyle w:val="BodyTextChar"/>
          <w:b/>
          <w:bCs/>
        </w:rPr>
        <w:t>T</w:t>
      </w:r>
      <w:r>
        <w:rPr>
          <w:rStyle w:val="BodyTextChar"/>
          <w:b/>
          <w:bCs/>
          <w:sz w:val="13"/>
          <w:szCs w:val="13"/>
        </w:rPr>
        <w:t>RATAMIENTO</w:t>
      </w:r>
      <w:r>
        <w:rPr>
          <w:rStyle w:val="BodyTextChar"/>
          <w:b/>
          <w:bCs/>
        </w:rPr>
        <w:t xml:space="preserve">: </w:t>
      </w:r>
      <w:r>
        <w:rPr>
          <w:rStyle w:val="BodyTextChar"/>
        </w:rPr>
        <w:t>Ningún tratamiento lentifica o frena los síndromes neurodegenerativos de las enfermedades por priones en los seres humanos. Están en estudio tratamientos experimentales. Se necesitan medidas de apoyo para tratar la demencia, la espasticidad, la rigidez y las convulsiones que aparecen en el curso de la enfermedad. El apoyo psicológico puede ser útil para los parientes y los pacientes. En caso de enfermedad de índole familiar conviene el consejo genético.</w:t>
      </w:r>
    </w:p>
    <w:p w14:paraId="48C640FA" w14:textId="77777777" w:rsidR="00D03C17" w:rsidRDefault="00D03C17">
      <w:pPr>
        <w:pStyle w:val="BodyText"/>
        <w:spacing w:line="264" w:lineRule="auto"/>
        <w:ind w:firstLine="0"/>
      </w:pPr>
      <w:r>
        <w:rPr>
          <w:b/>
          <w:bCs/>
          <w:smallCaps/>
          <w:sz w:val="20"/>
          <w:szCs w:val="20"/>
        </w:rPr>
        <w:t>A</w:t>
      </w:r>
      <w:r>
        <w:rPr>
          <w:b/>
          <w:bCs/>
          <w:smallCaps/>
          <w:sz w:val="16"/>
          <w:szCs w:val="16"/>
        </w:rPr>
        <w:t>islamiento del paciente hospitalizado</w:t>
      </w:r>
      <w:r>
        <w:rPr>
          <w:b/>
          <w:bCs/>
          <w:smallCaps/>
          <w:sz w:val="20"/>
          <w:szCs w:val="20"/>
        </w:rPr>
        <w:t>:</w:t>
      </w:r>
      <w:r>
        <w:t xml:space="preserve"> Se recomienda seguir las precauciones estándar. Las pruebas publicadas indican que incluso el contacto íntimo y prolongado con personas infectadas por CJD no ha ocasionado la transmisión de la enfermedad.</w:t>
      </w:r>
    </w:p>
    <w:p w14:paraId="78B7845E" w14:textId="77777777" w:rsidR="00D03C17" w:rsidRDefault="00D03C17">
      <w:pPr>
        <w:pStyle w:val="BodyText"/>
        <w:ind w:firstLine="0"/>
      </w:pPr>
      <w:r>
        <w:t>Se consideran peligros biológicos los tejidos que poseen un alto grado de infectividad (como encéfalo, ojos y la médula espinal de persona afectadas) y los instrumentos en contacto con dichos tejidos; según señalamientos disminuyen la infectividad* métodos como incineración, esterilización duradera con autoclave a temperatura y presión altas y la exposición a una solución de hidróxido de sodio 1N o más o una solución de hipoclorito de sodio de 5.25% o más (cloro casero puro) durante 1 h.* Hay que considerar como infeccioso el líquido cefalorraquídeo. No se ha señalado transmisión directa de una persona a otra de la CJD por sangre, leche, saliva, orina o heces. Habrá que manejar tales líquidos corporales con los métodos estándar de erradicación de infecciones.</w:t>
      </w:r>
    </w:p>
    <w:p w14:paraId="335E0A47" w14:textId="77777777" w:rsidR="00D03C17" w:rsidRDefault="00D03C17">
      <w:pPr>
        <w:pStyle w:val="BodyText"/>
        <w:spacing w:after="100" w:line="276" w:lineRule="auto"/>
        <w:ind w:firstLine="0"/>
      </w:pPr>
      <w:r>
        <w:rPr>
          <w:b/>
          <w:bCs/>
        </w:rPr>
        <w:t>M</w:t>
      </w:r>
      <w:r>
        <w:rPr>
          <w:b/>
          <w:bCs/>
          <w:sz w:val="13"/>
          <w:szCs w:val="13"/>
        </w:rPr>
        <w:t>EDIDAS PREVENTIVAS</w:t>
      </w:r>
      <w:r>
        <w:rPr>
          <w:b/>
          <w:bCs/>
        </w:rPr>
        <w:t xml:space="preserve">: </w:t>
      </w:r>
      <w:r>
        <w:t xml:space="preserve">No se cuenta con vacunas contra las enfermedades por priones y no se ha demostrado que surja una respuesta inmunitaria a la infección. La transmisión yatrógena de CJD por hormonas hipofisarias de cadáveres se eliminó por el uso de productos obtenidos por bioingeniería. El reconocimiento de que CJD se puede propagar por transplante de duramadre y córneas infectadas ha hecho que se sigan criterios más estrictos en la selección de donantes y se mejoren los protocolos de obtención. En la actualidad no se sabe el efecto que tiene vCJD en la asistencia clínica (véase “Aspectos de seguridad en el uso de sangre y hemoderivados”, sección 2). Conviene hacer una autopsia encefálica en personas en quienes se sospechó o diagnosticó clínicamente CJD, para confirmar el diagnóstico y detectar otras formas nuevas de CJD como vCJD. La consulta al National </w:t>
      </w:r>
      <w:r>
        <w:rPr>
          <w:rFonts w:ascii="Times New Roman" w:eastAsia="Times New Roman" w:hAnsi="Times New Roman" w:cs="Times New Roman"/>
          <w:i/>
          <w:iCs/>
          <w:sz w:val="16"/>
          <w:szCs w:val="16"/>
        </w:rPr>
        <w:t>Prion Disease Pathology Surveillance Center</w:t>
      </w:r>
      <w:r>
        <w:t xml:space="preserve"> (teléfono, 216-368-0587; Internet, </w:t>
      </w:r>
      <w:hyperlink r:id="rId244" w:history="1">
        <w:r>
          <w:t>www.cjdsurveillance.com</w:t>
        </w:r>
      </w:hyperlink>
      <w:r>
        <w:t xml:space="preserve">) permite conocer el estado actual que tienen los métodos diagnósticos. El diagnóstico sospechado o confirmado de CJD para el cual se necesite una respuesta sanitaria especial (p. ej., sospecha de enfermedad yatrógena o vCJD) debe ser notificado a los departamentos sanitarios estatal y local y a la CJD </w:t>
      </w:r>
      <w:r>
        <w:rPr>
          <w:rFonts w:ascii="Times New Roman" w:eastAsia="Times New Roman" w:hAnsi="Times New Roman" w:cs="Times New Roman"/>
          <w:i/>
          <w:iCs/>
          <w:sz w:val="16"/>
          <w:szCs w:val="16"/>
        </w:rPr>
        <w:t>Surveillance Unit</w:t>
      </w:r>
      <w:r>
        <w:rPr>
          <w:i/>
          <w:iCs/>
        </w:rPr>
        <w:t xml:space="preserve">, </w:t>
      </w:r>
      <w:r>
        <w:rPr>
          <w:rFonts w:ascii="Times New Roman" w:eastAsia="Times New Roman" w:hAnsi="Times New Roman" w:cs="Times New Roman"/>
          <w:i/>
          <w:iCs/>
          <w:sz w:val="16"/>
          <w:szCs w:val="16"/>
        </w:rPr>
        <w:t>Division of Viral and Rickettsial Diseases</w:t>
      </w:r>
      <w:r>
        <w:rPr>
          <w:i/>
          <w:iCs/>
        </w:rPr>
        <w:t xml:space="preserve">, </w:t>
      </w:r>
      <w:r>
        <w:rPr>
          <w:rFonts w:ascii="Times New Roman" w:eastAsia="Times New Roman" w:hAnsi="Times New Roman" w:cs="Times New Roman"/>
          <w:i/>
          <w:iCs/>
          <w:sz w:val="16"/>
          <w:szCs w:val="16"/>
        </w:rPr>
        <w:t>Centers for Disease Control and Prevention</w:t>
      </w:r>
      <w:r>
        <w:rPr>
          <w:i/>
          <w:iCs/>
        </w:rPr>
        <w:t>,</w:t>
      </w:r>
      <w:r>
        <w:t xml:space="preserve"> Atlanta, GA 30333; teléfono, 404-639-3091. En la página de Internet </w:t>
      </w:r>
      <w:hyperlink r:id="rId245" w:history="1">
        <w:r>
          <w:t>www.fda.gov/cber/whatsnew.htm</w:t>
        </w:r>
      </w:hyperlink>
      <w:r>
        <w:t xml:space="preserve"> se pueden obtener normas de precaución planteadas por la Food and Drug Administration respecto al peligro de contagio de CJD, por productos humanos de sangre o sus derivados.</w:t>
      </w:r>
    </w:p>
    <w:p w14:paraId="39BD10A6" w14:textId="77777777" w:rsidR="00D03C17" w:rsidRDefault="00D03C17">
      <w:pPr>
        <w:pStyle w:val="Bodytext70"/>
        <w:spacing w:after="0"/>
      </w:pPr>
      <w:r>
        <w:t>Q, fiebre</w:t>
      </w:r>
    </w:p>
    <w:p w14:paraId="25347564" w14:textId="77777777" w:rsidR="00D03C17" w:rsidRDefault="00D03C17">
      <w:pPr>
        <w:pStyle w:val="BodyText"/>
        <w:ind w:firstLine="0"/>
        <w:sectPr w:rsidR="00D03C17" w:rsidSect="00D03C17">
          <w:headerReference w:type="even" r:id="rId246"/>
          <w:headerReference w:type="default" r:id="rId247"/>
          <w:footerReference w:type="even" r:id="rId248"/>
          <w:footerReference w:type="default" r:id="rId249"/>
          <w:headerReference w:type="first" r:id="rId250"/>
          <w:footerReference w:type="first" r:id="rId251"/>
          <w:footnotePr>
            <w:numFmt w:val="chicago"/>
          </w:footnotePr>
          <w:pgSz w:w="8501" w:h="13022"/>
          <w:pgMar w:top="926" w:right="740" w:bottom="532" w:left="878" w:header="0" w:footer="3" w:gutter="0"/>
          <w:cols w:space="720"/>
          <w:noEndnote/>
          <w:titlePg/>
          <w:docGrid w:linePitch="360"/>
          <w15:footnoteColumns w:val="1"/>
        </w:sectPr>
      </w:pPr>
      <w:r>
        <w:rPr>
          <w:b/>
          <w:bCs/>
        </w:rPr>
        <w:t>M</w:t>
      </w:r>
      <w:r>
        <w:rPr>
          <w:b/>
          <w:bCs/>
          <w:sz w:val="13"/>
          <w:szCs w:val="13"/>
        </w:rPr>
        <w:t>ANIFESTACIONES CLÍNICAS</w:t>
      </w:r>
      <w:r>
        <w:rPr>
          <w:b/>
          <w:bCs/>
        </w:rPr>
        <w:t xml:space="preserve">: </w:t>
      </w:r>
      <w:r>
        <w:t>Se sabe que incluso 60% de las infecciones iniciales son asintomáticas, pero el cuadro atribuible a la fiebre Q asume dos formas peculiares. Aguda: que en forma típica aparece después de la exposición inicial, y crónica, que se manifiesta años después de la infección aguda. La fiebre Q aguda suele caracterizarse por fiebre, escalofríos, debilidad, cefalea, anorexia y otros síntomas generalizados inespecíficos, todos de comienzo repentino. La pérdida ponderal y la debilidad pueden ser muy intensas. La</w:t>
      </w:r>
    </w:p>
    <w:p w14:paraId="688842EF" w14:textId="77777777" w:rsidR="00D03C17" w:rsidRDefault="00D03C17">
      <w:pPr>
        <w:pStyle w:val="BodyText"/>
        <w:ind w:firstLine="0"/>
      </w:pPr>
      <w:r>
        <w:t xml:space="preserve">prion (PRNP). El hecho de no detectar un componente de ácido nucleico peculiar de un prion impide detectar la partícula infectante por amplificación de genoma. </w:t>
      </w:r>
      <w:r>
        <w:rPr>
          <w:b/>
          <w:bCs/>
        </w:rPr>
        <w:t>T</w:t>
      </w:r>
      <w:r>
        <w:rPr>
          <w:b/>
          <w:bCs/>
          <w:sz w:val="13"/>
          <w:szCs w:val="13"/>
        </w:rPr>
        <w:t>RATAMIENTO</w:t>
      </w:r>
      <w:r>
        <w:rPr>
          <w:b/>
          <w:bCs/>
        </w:rPr>
        <w:t xml:space="preserve">: </w:t>
      </w:r>
      <w:r>
        <w:t>Ningún tratamiento lentifica o frena los síndromes neurodegenerativos de las enfermedades por priones en los seres humanos. Están en estudio tratamientos experimentales. Se necesitan medidas de apoyo para tratar la demencia, la espasticidad, la rigidez y las convulsiones que aparecen en el curso de la enfermedad. El apoyo psicológico puede ser útil para los parientes y los pacientes. En caso de enfermedad de índole familiar conviene el consejo genético.</w:t>
      </w:r>
    </w:p>
    <w:p w14:paraId="4E7CC136" w14:textId="77777777" w:rsidR="00D03C17" w:rsidRDefault="00D03C17">
      <w:pPr>
        <w:pStyle w:val="BodyText"/>
        <w:spacing w:line="264" w:lineRule="auto"/>
        <w:ind w:firstLine="0"/>
      </w:pPr>
      <w:r>
        <w:rPr>
          <w:b/>
          <w:bCs/>
          <w:smallCaps/>
          <w:sz w:val="20"/>
          <w:szCs w:val="20"/>
        </w:rPr>
        <w:t>A</w:t>
      </w:r>
      <w:r>
        <w:rPr>
          <w:b/>
          <w:bCs/>
          <w:smallCaps/>
          <w:sz w:val="16"/>
          <w:szCs w:val="16"/>
        </w:rPr>
        <w:t>islamiento del paciente hospitalizado</w:t>
      </w:r>
      <w:r>
        <w:rPr>
          <w:b/>
          <w:bCs/>
          <w:smallCaps/>
          <w:sz w:val="20"/>
          <w:szCs w:val="20"/>
        </w:rPr>
        <w:t>:</w:t>
      </w:r>
      <w:r>
        <w:t xml:space="preserve"> Se recomienda seguir las precauciones estándar. Las pruebas publicadas indican que incluso el contacto íntimo y prolongado con personas infectadas por CJD no ha ocasionado la transmisión de la enfermedad.</w:t>
      </w:r>
    </w:p>
    <w:p w14:paraId="230D0E29" w14:textId="77777777" w:rsidR="00D03C17" w:rsidRDefault="00D03C17">
      <w:pPr>
        <w:pStyle w:val="BodyText"/>
        <w:ind w:firstLine="0"/>
      </w:pPr>
      <w:r>
        <w:t>Se consideran peligros biológicos los tejidos que poseen un alto grado de infectividad (como encéfalo, ojos y la médula espinal de persona afectadas) y los instrumentos en contacto con dichos tejidos; según señalamientos disminuyen la infectividad* métodos como incineración, esterilización duradera con autoclave a temperatura y presión altas y la exposición a una solución de hidróxido de sodio 1N o más o una solución de hipoclorito de sodio de 5.25% o más (cloro casero puro) durante 1 h.* Hay que considerar como infeccioso el líquido cefalorraquídeo. No se ha señalado transmisión directa de una persona a otra de la CJD por sangre, leche, saliva, orina o heces. Habrá que manejar tales líquidos corporales con los métodos estándar de erradicación de infecciones.</w:t>
      </w:r>
    </w:p>
    <w:p w14:paraId="46E4F0B1" w14:textId="77777777" w:rsidR="00D03C17" w:rsidRDefault="00D03C17">
      <w:pPr>
        <w:pStyle w:val="BodyText"/>
        <w:spacing w:after="100" w:line="276" w:lineRule="auto"/>
        <w:ind w:firstLine="0"/>
      </w:pPr>
      <w:r>
        <w:rPr>
          <w:b/>
          <w:bCs/>
        </w:rPr>
        <w:t>M</w:t>
      </w:r>
      <w:r>
        <w:rPr>
          <w:b/>
          <w:bCs/>
          <w:sz w:val="13"/>
          <w:szCs w:val="13"/>
        </w:rPr>
        <w:t>EDIDAS PREVENTIVAS</w:t>
      </w:r>
      <w:r>
        <w:rPr>
          <w:b/>
          <w:bCs/>
        </w:rPr>
        <w:t xml:space="preserve">: </w:t>
      </w:r>
      <w:r>
        <w:t xml:space="preserve">No se cuenta con vacunas contra las enfermedades por priones y no se ha demostrado que surja una respuesta inmunitaria a la infección. La transmisión yatrógena de CJD por hormonas hipofisarias de cadáveres se eliminó por el uso de productos obtenidos por bioingeniería. El reconocimiento de que CJD se puede propagar por transplante de duramadre y córneas infectadas ha hecho que se sigan criterios más estrictos en la selección de donantes y se mejoren los protocolos de obtención. En la actualidad no se sabe el efecto que tiene vCJD en la asistencia clínica (véase “Aspectos de seguridad en el uso de sangre y hemoderivados”, sección 2). Conviene hacer una autopsia encefálica en personas en quienes se sospechó o diagnosticó clínicamente CJD, para confirmar el diagnóstico y detectar otras formas nuevas de CJD como vCJD. La consulta al National </w:t>
      </w:r>
      <w:r>
        <w:rPr>
          <w:rFonts w:ascii="Times New Roman" w:eastAsia="Times New Roman" w:hAnsi="Times New Roman" w:cs="Times New Roman"/>
          <w:i/>
          <w:iCs/>
          <w:sz w:val="16"/>
          <w:szCs w:val="16"/>
        </w:rPr>
        <w:t>Prion Disease Pathology Surveillance Center</w:t>
      </w:r>
      <w:r>
        <w:t xml:space="preserve"> (teléfono, 216-368-0587; Internet, </w:t>
      </w:r>
      <w:hyperlink r:id="rId252" w:history="1">
        <w:r>
          <w:t>www.cjdsurveillance.com</w:t>
        </w:r>
      </w:hyperlink>
      <w:r>
        <w:t xml:space="preserve">) permite conocer el estado actual que tienen los métodos diagnósticos. El diagnóstico sospechado o confirmado de CJD para el cual se necesite una respuesta sanitaria especial (p. ej., sospecha de enfermedad yatrógena o vCJD) debe ser notificado a los departamentos sanitarios estatal y local y a la CJD </w:t>
      </w:r>
      <w:r>
        <w:rPr>
          <w:rFonts w:ascii="Times New Roman" w:eastAsia="Times New Roman" w:hAnsi="Times New Roman" w:cs="Times New Roman"/>
          <w:i/>
          <w:iCs/>
          <w:sz w:val="16"/>
          <w:szCs w:val="16"/>
        </w:rPr>
        <w:t>Surveillance Unit</w:t>
      </w:r>
      <w:r>
        <w:rPr>
          <w:i/>
          <w:iCs/>
        </w:rPr>
        <w:t xml:space="preserve">, </w:t>
      </w:r>
      <w:r>
        <w:rPr>
          <w:rFonts w:ascii="Times New Roman" w:eastAsia="Times New Roman" w:hAnsi="Times New Roman" w:cs="Times New Roman"/>
          <w:i/>
          <w:iCs/>
          <w:sz w:val="16"/>
          <w:szCs w:val="16"/>
        </w:rPr>
        <w:t>Division of Viral and Rickettsial Diseases</w:t>
      </w:r>
      <w:r>
        <w:rPr>
          <w:i/>
          <w:iCs/>
        </w:rPr>
        <w:t xml:space="preserve">, </w:t>
      </w:r>
      <w:r>
        <w:rPr>
          <w:rFonts w:ascii="Times New Roman" w:eastAsia="Times New Roman" w:hAnsi="Times New Roman" w:cs="Times New Roman"/>
          <w:i/>
          <w:iCs/>
          <w:sz w:val="16"/>
          <w:szCs w:val="16"/>
        </w:rPr>
        <w:t>Centers for Disease Control and Prevention</w:t>
      </w:r>
      <w:r>
        <w:rPr>
          <w:i/>
          <w:iCs/>
        </w:rPr>
        <w:t>,</w:t>
      </w:r>
      <w:r>
        <w:t xml:space="preserve"> Atlanta, GA 30333; teléfono, 404-639-3091. En la página de Internet </w:t>
      </w:r>
      <w:hyperlink r:id="rId253" w:history="1">
        <w:r>
          <w:t>www.fda.gov/cber/whatsnew.htm</w:t>
        </w:r>
      </w:hyperlink>
      <w:r>
        <w:t xml:space="preserve"> se pueden obtener normas de precaución planteadas por la Food and Drug Administration respecto al peligro de contagio de CJD, por productos humanos de sangre o sus derivados.</w:t>
      </w:r>
    </w:p>
    <w:p w14:paraId="57F2A02C" w14:textId="77777777" w:rsidR="00D03C17" w:rsidRDefault="00D03C17">
      <w:pPr>
        <w:pStyle w:val="Bodytext70"/>
        <w:spacing w:after="0"/>
      </w:pPr>
      <w:r>
        <w:t>Q, fiebre</w:t>
      </w:r>
    </w:p>
    <w:p w14:paraId="11F7AB14" w14:textId="77777777" w:rsidR="00D03C17" w:rsidRDefault="00D03C17">
      <w:pPr>
        <w:pStyle w:val="BodyText"/>
        <w:ind w:firstLine="0"/>
      </w:pPr>
      <w:r>
        <w:rPr>
          <w:b/>
          <w:bCs/>
        </w:rPr>
        <w:t>M</w:t>
      </w:r>
      <w:r>
        <w:rPr>
          <w:b/>
          <w:bCs/>
          <w:sz w:val="13"/>
          <w:szCs w:val="13"/>
        </w:rPr>
        <w:t>ANIFESTACIONES CLÍNICAS</w:t>
      </w:r>
      <w:r>
        <w:rPr>
          <w:b/>
          <w:bCs/>
        </w:rPr>
        <w:t xml:space="preserve">: </w:t>
      </w:r>
      <w:r>
        <w:t>Se sabe que incluso 60% de las infecciones iniciales son asintomáticas, pero el cuadro atribuible a la fiebre Q asume dos formas peculiares. Aguda: que en forma típica aparece después de la exposición inicial, y crónica, que se manifiesta años después de la infección aguda. La fiebre Q aguda suele caracterizarse por fiebre, escalofríos, debilidad, cefalea, anorexia y otros síntomas generalizados inespecíficos, todos de comienzo repentino. La pérdida ponderal y la debilidad pueden ser muy intensas. La tos y el dolor retrosternal acompañan a la neumonía que aparece en 20 a 40% de los enfermos. En 40 a 60% de los sujetos afectados se identifica hepatitis, y por lo común son anormales las concentraciones de transaminasas séricas, pero pocas veces surge ictericia. Las erupciones son raras e inespecíficas. En forma típica la enfermedad dura una a cuatro semanas para mostrar resolución gradual. Rara vez surgen complicaciones letales de la infección aguda, como meningoencefalitis y miocarditis. La forma crónica afecta en promedio 1% de pacientes infectados con la forma aguda y se manifiesta por endocarditis entre quienes tienen cardiopatías primarias o prótesis valvulares implantadas, aneurismas vasculares o injertos de vasos. La hepatitis es otra manifestación común. La fiebre Q se manifiesta como fiebre de origen indeterminado. Pocas veces la fiebre Q aguda es letal, pero puede serlo cuando es crónica, sin tratamiento; sin embargo, si se usan antimicrobianos adecuados por largo tiempo, la mortalidad en sujetos con endocarditis disminuye a 10%, en promedio. La fiebre Q durante el embarazo se acompaña de aborto espontáneo, parto prematuro y producto con bajo peso neonatal.</w:t>
      </w:r>
    </w:p>
    <w:p w14:paraId="656AD1BD" w14:textId="77777777" w:rsidR="00D03C17" w:rsidRDefault="00D03C17">
      <w:pPr>
        <w:pStyle w:val="BodyText"/>
        <w:ind w:firstLine="0"/>
      </w:pPr>
      <w:r>
        <w:rPr>
          <w:b/>
          <w:bCs/>
        </w:rPr>
        <w:t>C</w:t>
      </w:r>
      <w:r>
        <w:rPr>
          <w:b/>
          <w:bCs/>
          <w:sz w:val="13"/>
          <w:szCs w:val="13"/>
        </w:rPr>
        <w:t>AUSAS</w:t>
      </w:r>
      <w:r>
        <w:rPr>
          <w:b/>
          <w:bCs/>
        </w:rPr>
        <w:t xml:space="preserve">: </w:t>
      </w:r>
      <w:r>
        <w:rPr>
          <w:rFonts w:ascii="Times New Roman" w:eastAsia="Times New Roman" w:hAnsi="Times New Roman" w:cs="Times New Roman"/>
          <w:i/>
          <w:iCs/>
          <w:sz w:val="16"/>
          <w:szCs w:val="16"/>
        </w:rPr>
        <w:t>Coxiella burnetii,</w:t>
      </w:r>
      <w:r>
        <w:t xml:space="preserve"> que es el microorganismo causal, es una rickettsia patógena intracelular. La forma infectante de ella resiste notablemente el calor, la secación y sustancias químicas, y puede persistir por largo tiempo en el entorno. </w:t>
      </w:r>
      <w:r>
        <w:rPr>
          <w:rFonts w:ascii="Times New Roman" w:eastAsia="Times New Roman" w:hAnsi="Times New Roman" w:cs="Times New Roman"/>
          <w:i/>
          <w:iCs/>
          <w:sz w:val="16"/>
          <w:szCs w:val="16"/>
        </w:rPr>
        <w:t xml:space="preserve">Coxiella burnetii </w:t>
      </w:r>
      <w:r>
        <w:t xml:space="preserve">ha sido clasificada recientemente y colocada dentro del grupo gamma de proteobacterias. </w:t>
      </w:r>
      <w:r>
        <w:rPr>
          <w:b/>
          <w:bCs/>
        </w:rPr>
        <w:t>A</w:t>
      </w:r>
      <w:r>
        <w:rPr>
          <w:b/>
          <w:bCs/>
          <w:sz w:val="13"/>
          <w:szCs w:val="13"/>
        </w:rPr>
        <w:t>SPECTOS EPIDEMIOLÓGICOS</w:t>
      </w:r>
      <w:r>
        <w:rPr>
          <w:b/>
          <w:bCs/>
        </w:rPr>
        <w:t xml:space="preserve">. </w:t>
      </w:r>
      <w:r>
        <w:t xml:space="preserve">La fiebre Q es una zoonosis de la que se tiene registro a nivel mundial. En los animales la infección suele ser asintomática. Los reservorios más comunes son ungulados domésticos de granja (en particular, ovejas, cabras y vacas) que muy a menudo guardan relación con la infección de seres humanos, pero también pueden transmitir la infección a personas gatos, perros, roedores, marsupiales, otras especies de mamíferos y especies de aves salvajes y domésticas. Las garrapatas vectoras pueden ser importantes para conservar los reservorios animales y de aves, pero según expertos no son importantes en la transmisión a los seres humanos. Rara vez se ha notificado enfermedad de seres humanos, pero se piensa que muchas veces no se le identifica con la frecuencia necesaria. De manera típica los seres humanos se contagian por inhalación de </w:t>
      </w:r>
      <w:r>
        <w:rPr>
          <w:rFonts w:ascii="Times New Roman" w:eastAsia="Times New Roman" w:hAnsi="Times New Roman" w:cs="Times New Roman"/>
          <w:i/>
          <w:iCs/>
          <w:sz w:val="16"/>
          <w:szCs w:val="16"/>
        </w:rPr>
        <w:t>C. burnetii</w:t>
      </w:r>
      <w:r>
        <w:t xml:space="preserve"> en aerosoles finos generados de líquidos que se dispersan durante el parto de animales o por inhalación del polvo contaminado por dichos materiales. La infección surge a veces por exposición directa a animales o tejidos infectados, en granjas y ranchos o en instalaciones de investigación, o por exposición a materiales contaminados como lana, paja, fertilizantes o artículos de lavandería. Las partículas que contienen especies de </w:t>
      </w:r>
      <w:r>
        <w:rPr>
          <w:rFonts w:ascii="Times New Roman" w:eastAsia="Times New Roman" w:hAnsi="Times New Roman" w:cs="Times New Roman"/>
          <w:i/>
          <w:iCs/>
          <w:sz w:val="16"/>
          <w:szCs w:val="16"/>
        </w:rPr>
        <w:t>Coxiella</w:t>
      </w:r>
      <w:r>
        <w:t xml:space="preserve"> pueden ser transportadas casi un kilómetro o más por el viento, y contribuye a los casos esporádicos en que no se ha demostrado un contacto manifiesto con animales. No se ha probado que la leche transmita el patógeno. Se observan tendencias estacionales en zonas agropecuarias, con frecuencia predecible, y la enfermedad coincide con la estación de partos de hembras en los comienzos de la primavera. Se han notificado datos de infección intrauterina humana y transmisión directa por transfusiones de sangre y médula ósea. El peligro de una infección crónica aumenta si la persona tiene una enfermedad cardiovascular primaria, en particular defectos de válvulas cardiacas, inmunodeficiencia y embarazo.</w:t>
      </w:r>
    </w:p>
    <w:p w14:paraId="4DFD37B2" w14:textId="77777777" w:rsidR="00D03C17" w:rsidRDefault="00D03C17">
      <w:pPr>
        <w:pStyle w:val="BodyText"/>
        <w:ind w:firstLine="360"/>
        <w:sectPr w:rsidR="00D03C17" w:rsidSect="00D03C17">
          <w:headerReference w:type="even" r:id="rId254"/>
          <w:headerReference w:type="default" r:id="rId255"/>
          <w:footerReference w:type="even" r:id="rId256"/>
          <w:footerReference w:type="default" r:id="rId257"/>
          <w:headerReference w:type="first" r:id="rId258"/>
          <w:footerReference w:type="first" r:id="rId259"/>
          <w:footnotePr>
            <w:numFmt w:val="chicago"/>
          </w:footnotePr>
          <w:pgSz w:w="8501" w:h="13022"/>
          <w:pgMar w:top="926" w:right="740" w:bottom="532" w:left="878" w:header="0" w:footer="3" w:gutter="0"/>
          <w:pgNumType w:start="673"/>
          <w:cols w:space="720"/>
          <w:noEndnote/>
          <w:titlePg/>
          <w:docGrid w:linePitch="360"/>
          <w15:footnoteColumns w:val="1"/>
        </w:sectPr>
      </w:pPr>
      <w:r>
        <w:t xml:space="preserve">El </w:t>
      </w:r>
      <w:r>
        <w:rPr>
          <w:b/>
          <w:bCs/>
        </w:rPr>
        <w:t xml:space="preserve">periodo de incubación </w:t>
      </w:r>
      <w:r>
        <w:t xml:space="preserve">es de 14 a 22 días, pero puede variar de nueve a 39 días. La fiebre Q crónica puede surgir años o decenios después de la infección inicial. </w:t>
      </w:r>
      <w:r>
        <w:rPr>
          <w:b/>
          <w:bCs/>
        </w:rPr>
        <w:t>M</w:t>
      </w:r>
      <w:r>
        <w:rPr>
          <w:b/>
          <w:bCs/>
          <w:sz w:val="13"/>
          <w:szCs w:val="13"/>
        </w:rPr>
        <w:t>ÉTODOS DIAGNÓSTICOS</w:t>
      </w:r>
      <w:r>
        <w:rPr>
          <w:b/>
          <w:bCs/>
        </w:rPr>
        <w:t xml:space="preserve">: </w:t>
      </w:r>
      <w:r>
        <w:t xml:space="preserve">Por lo común no se intenta aislar </w:t>
      </w:r>
      <w:r>
        <w:rPr>
          <w:rFonts w:ascii="Times New Roman" w:eastAsia="Times New Roman" w:hAnsi="Times New Roman" w:cs="Times New Roman"/>
          <w:i/>
          <w:iCs/>
          <w:sz w:val="16"/>
          <w:szCs w:val="16"/>
        </w:rPr>
        <w:t>C. burnetii</w:t>
      </w:r>
      <w:r>
        <w:t xml:space="preserve"> de la sangre porque constituye un peligro para los trabajadores de laboratorio. Se han obtenido muy buenos resultados con sistemas de cultivo celular, especialmente el método de centrifugación y cultivo, para aislar </w:t>
      </w:r>
      <w:r>
        <w:rPr>
          <w:rFonts w:ascii="Times New Roman" w:eastAsia="Times New Roman" w:hAnsi="Times New Roman" w:cs="Times New Roman"/>
          <w:i/>
          <w:iCs/>
          <w:sz w:val="16"/>
          <w:szCs w:val="16"/>
        </w:rPr>
        <w:t>C. burnetii</w:t>
      </w:r>
      <w:r>
        <w:t xml:space="preserve"> de muestra humanas, pero adquieren </w:t>
      </w:r>
    </w:p>
    <w:p w14:paraId="064E810F" w14:textId="77777777" w:rsidR="00D03C17" w:rsidRDefault="00D03C17">
      <w:pPr>
        <w:pStyle w:val="BodyText"/>
        <w:ind w:firstLine="0"/>
      </w:pPr>
      <w:r>
        <w:t xml:space="preserve">mayor sensibilidad en la endocarditis crónica por fiebre Q en personas no tratadas. La confirmación de la existencia de la fiebre exige que se cumplan una de las condiciones siguientes: 1) un cambio de cuatro tantos en el título de anticuerpos al antígeno de </w:t>
      </w:r>
      <w:r>
        <w:rPr>
          <w:rFonts w:ascii="Times New Roman" w:eastAsia="Times New Roman" w:hAnsi="Times New Roman" w:cs="Times New Roman"/>
          <w:i/>
          <w:iCs/>
          <w:sz w:val="16"/>
          <w:szCs w:val="16"/>
        </w:rPr>
        <w:t>C. burnetii</w:t>
      </w:r>
      <w:r>
        <w:t xml:space="preserve"> por el método de anticuerpos inmunofluorescentes o por método de anticuerpos por fijación de complemento; 2) positividad de la reacción en cadena de polimerasa; 3) obtención de </w:t>
      </w:r>
      <w:r>
        <w:rPr>
          <w:rFonts w:ascii="Times New Roman" w:eastAsia="Times New Roman" w:hAnsi="Times New Roman" w:cs="Times New Roman"/>
          <w:i/>
          <w:iCs/>
          <w:sz w:val="16"/>
          <w:szCs w:val="16"/>
        </w:rPr>
        <w:t>C. burnetii</w:t>
      </w:r>
      <w:r>
        <w:t xml:space="preserve"> en cultivo de una muestra clínica o 4) inmunotinción positiva de </w:t>
      </w:r>
      <w:r>
        <w:rPr>
          <w:rFonts w:ascii="Times New Roman" w:eastAsia="Times New Roman" w:hAnsi="Times New Roman" w:cs="Times New Roman"/>
          <w:i/>
          <w:iCs/>
          <w:sz w:val="16"/>
          <w:szCs w:val="16"/>
        </w:rPr>
        <w:t>C. burnetii</w:t>
      </w:r>
      <w:r>
        <w:t xml:space="preserve"> en tejidos, en particular válvulas del corazón. </w:t>
      </w:r>
      <w:r>
        <w:rPr>
          <w:b/>
          <w:bCs/>
        </w:rPr>
        <w:t>T</w:t>
      </w:r>
      <w:r>
        <w:rPr>
          <w:b/>
          <w:bCs/>
          <w:sz w:val="13"/>
          <w:szCs w:val="13"/>
        </w:rPr>
        <w:t>RATAMIENTO</w:t>
      </w:r>
      <w:r>
        <w:rPr>
          <w:b/>
          <w:bCs/>
        </w:rPr>
        <w:t xml:space="preserve">: </w:t>
      </w:r>
      <w:r>
        <w:t>La fiebre aguda por lo común no es un cuadro que cede por sí solo y casi todos los pacientes se recuperan sin necesidad de antimicrobianos. La doxiciclina es el fármaco más indicado y su administración puede acortar varios días el periodo de recuperación. Otros fármacos a los que cabe recurrir son fluoroquinolona o cloranfenicol. No deben administrarse tetraciclinas a niños menores de ocho años, salvo que los beneficios con ellas rebasen el peligro potencial de dejar manchas en los dientes. En Estados Unidos no se ha aprobado el uso de las fluoroquinolonas en niños menores de 18 años (véase “Antimicrobianos y fármacos similares”, sección 4). Es importante emprender a muy breve plazo el tratamiento y continuarlo hasta que el niño esté afebril y haya mejorado clínicamente, por lo común en un lapso de 10 a 14 días. En la fiebre Q crónica a veces hay recidivas que obligan a repetir los ciclos del tratamiento. El microorganismo puede permanecer en estado de latencia en los tejidos durante años y es muy difícil tratar la enfermedad crónica. La terapia de la endocarditis crónica es duradera y obliga a usar doxiciclina e hidroxicloroquina por 18 meses, como mínimo. Algunos expertos han recomendado administrar una fluoroquinolona durante tres años, como mínimo. Las recidivas surgen a veces después de interrumpir el tratamiento. En algunos pacientes se necesita la reposición quirúrgica de una válvula cardiaca infectada.</w:t>
      </w:r>
    </w:p>
    <w:p w14:paraId="0CB9C451" w14:textId="77777777" w:rsidR="00D03C17" w:rsidRDefault="00D03C17">
      <w:pPr>
        <w:pStyle w:val="BodyText"/>
        <w:spacing w:after="100"/>
        <w:ind w:firstLine="0"/>
      </w:pPr>
      <w:r>
        <w:rPr>
          <w:b/>
          <w:bCs/>
        </w:rPr>
        <w:t>A</w:t>
      </w:r>
      <w:r>
        <w:rPr>
          <w:b/>
          <w:bCs/>
          <w:sz w:val="13"/>
          <w:szCs w:val="13"/>
        </w:rPr>
        <w:t xml:space="preserve">ISLAMIENTO </w:t>
      </w:r>
      <w:r>
        <w:rPr>
          <w:b/>
          <w:bCs/>
          <w:smallCaps/>
          <w:sz w:val="16"/>
          <w:szCs w:val="16"/>
        </w:rPr>
        <w:t>del</w:t>
      </w:r>
      <w:r>
        <w:rPr>
          <w:b/>
          <w:bCs/>
          <w:sz w:val="13"/>
          <w:szCs w:val="13"/>
        </w:rPr>
        <w:t xml:space="preserve"> PACIENTE HOSPITALIZADO</w:t>
      </w:r>
      <w:r>
        <w:rPr>
          <w:b/>
          <w:bCs/>
        </w:rPr>
        <w:t xml:space="preserve">: </w:t>
      </w:r>
      <w:r>
        <w:t xml:space="preserve">Se recomienda seguir las precauciones estándar. </w:t>
      </w:r>
      <w:r>
        <w:rPr>
          <w:b/>
          <w:bCs/>
        </w:rPr>
        <w:t>M</w:t>
      </w:r>
      <w:r>
        <w:rPr>
          <w:b/>
          <w:bCs/>
          <w:sz w:val="13"/>
          <w:szCs w:val="13"/>
        </w:rPr>
        <w:t>EDIDAS PREVENTIVAS</w:t>
      </w:r>
      <w:r>
        <w:rPr>
          <w:b/>
          <w:bCs/>
        </w:rPr>
        <w:t xml:space="preserve">: </w:t>
      </w:r>
      <w:r>
        <w:t xml:space="preserve">El cumplimiento estricto de las medidas de higiene adecuadas cuando el operador maneje a hembras durante el parto ayuda a disminuir el riesgo de infección en granjas ganaderas. Mejorar la bioseguridad en instalaciones de investigación que utilizan ovejas también puede disminuir el riesgo de infección. Es recomendable seguir prácticas especiales de seguridad en caso de métodos no propagativos de laboratorio que utilicen </w:t>
      </w:r>
      <w:r>
        <w:rPr>
          <w:rFonts w:ascii="Times New Roman" w:eastAsia="Times New Roman" w:hAnsi="Times New Roman" w:cs="Times New Roman"/>
          <w:i/>
          <w:iCs/>
          <w:sz w:val="16"/>
          <w:szCs w:val="16"/>
        </w:rPr>
        <w:t>C. burnetii,</w:t>
      </w:r>
      <w:r>
        <w:t xml:space="preserve"> así como en todos los métodos propagativos, en las necropsias de animales infectados y en la manipulación de tejidos humanos y animales infectados. No se recomiendan medidas específicas para tratar a personas expuestas. También se han creado algunas vacunas de experimentación para animales domésticos y miembros de laboratorio y otro personal de alto riesgo, pero no han sido aprobadas ni se distribuyen en Estados Unidos. Es importante notificar todos los casos en seres humanos al departamento de sanidad estatal. Para información adicional respecto a fiebre Q consultar </w:t>
      </w:r>
      <w:hyperlink r:id="rId260" w:history="1">
        <w:r>
          <w:t>www.cdc.gov/ncidod/dvrd/qfever/</w:t>
        </w:r>
      </w:hyperlink>
      <w:r>
        <w:t>.</w:t>
      </w:r>
    </w:p>
    <w:p w14:paraId="4DACFCD1" w14:textId="77777777" w:rsidR="00D03C17" w:rsidRDefault="00D03C17">
      <w:pPr>
        <w:pStyle w:val="Bodytext70"/>
        <w:spacing w:after="0"/>
      </w:pPr>
      <w:r>
        <w:t>Rabia</w:t>
      </w:r>
      <w:r>
        <w:footnoteReference w:id="22"/>
      </w:r>
    </w:p>
    <w:p w14:paraId="006BA9E8" w14:textId="77777777" w:rsidR="00D03C17" w:rsidRDefault="00D03C17">
      <w:pPr>
        <w:pStyle w:val="BodyText"/>
        <w:ind w:firstLine="0"/>
        <w:sectPr w:rsidR="00D03C17" w:rsidSect="00D03C17">
          <w:headerReference w:type="even" r:id="rId261"/>
          <w:headerReference w:type="default" r:id="rId262"/>
          <w:footerReference w:type="even" r:id="rId263"/>
          <w:footerReference w:type="default" r:id="rId264"/>
          <w:footnotePr>
            <w:numFmt w:val="chicago"/>
          </w:footnotePr>
          <w:type w:val="continuous"/>
          <w:pgSz w:w="8501" w:h="13022"/>
          <w:pgMar w:top="926" w:right="740" w:bottom="532" w:left="878" w:header="0" w:footer="104" w:gutter="0"/>
          <w:cols w:space="720"/>
          <w:noEndnote/>
          <w:docGrid w:linePitch="360"/>
          <w15:footnoteColumns w:val="1"/>
        </w:sectPr>
      </w:pPr>
      <w:r>
        <w:rPr>
          <w:b/>
          <w:bCs/>
        </w:rPr>
        <w:t>M</w:t>
      </w:r>
      <w:r>
        <w:rPr>
          <w:b/>
          <w:bCs/>
          <w:sz w:val="13"/>
          <w:szCs w:val="13"/>
        </w:rPr>
        <w:t>ANIFESTACIONES CLÍNICAS</w:t>
      </w:r>
      <w:r>
        <w:rPr>
          <w:b/>
          <w:bCs/>
        </w:rPr>
        <w:t xml:space="preserve">: </w:t>
      </w:r>
      <w:r>
        <w:t xml:space="preserve">La infección por el virus de la rabia de manera característica produce una enfermedad aguda que incluye manifestaciones de evolución rápida en el sistema nervioso central, como ansiedad, disfagia y convulsiones. Algunas personas </w:t>
      </w:r>
    </w:p>
    <w:p w14:paraId="3D61E3CD" w14:textId="77777777" w:rsidR="00D03C17" w:rsidRDefault="00D03C17">
      <w:pPr>
        <w:pStyle w:val="BodyText"/>
        <w:ind w:firstLine="0"/>
      </w:pPr>
      <w:r>
        <w:t xml:space="preserve">mayor sensibilidad en la endocarditis crónica por fiebre Q en personas no tratadas. La confirmación de la existencia de la fiebre exige que se cumplan una de las condiciones siguientes: 1) un cambio de cuatro tantos en el título de anticuerpos al antígeno de </w:t>
      </w:r>
      <w:r>
        <w:rPr>
          <w:rFonts w:ascii="Times New Roman" w:eastAsia="Times New Roman" w:hAnsi="Times New Roman" w:cs="Times New Roman"/>
          <w:i/>
          <w:iCs/>
          <w:sz w:val="16"/>
          <w:szCs w:val="16"/>
        </w:rPr>
        <w:t>C. burnetii</w:t>
      </w:r>
      <w:r>
        <w:t xml:space="preserve"> por el método de anticuerpos inmunofluorescentes o por método de anticuerpos por fijación de complemento; 2) positividad de la reacción en cadena de polimerasa; 3) obtención de </w:t>
      </w:r>
      <w:r>
        <w:rPr>
          <w:rFonts w:ascii="Times New Roman" w:eastAsia="Times New Roman" w:hAnsi="Times New Roman" w:cs="Times New Roman"/>
          <w:i/>
          <w:iCs/>
          <w:sz w:val="16"/>
          <w:szCs w:val="16"/>
        </w:rPr>
        <w:t>C. burnetii</w:t>
      </w:r>
      <w:r>
        <w:t xml:space="preserve"> en cultivo de una muestra clínica o 4) inmunotinción positiva de </w:t>
      </w:r>
      <w:r>
        <w:rPr>
          <w:rFonts w:ascii="Times New Roman" w:eastAsia="Times New Roman" w:hAnsi="Times New Roman" w:cs="Times New Roman"/>
          <w:i/>
          <w:iCs/>
          <w:sz w:val="16"/>
          <w:szCs w:val="16"/>
        </w:rPr>
        <w:t>C. burnetii</w:t>
      </w:r>
      <w:r>
        <w:t xml:space="preserve"> en tejidos, en particular válvulas del corazón. </w:t>
      </w:r>
      <w:r>
        <w:rPr>
          <w:b/>
          <w:bCs/>
        </w:rPr>
        <w:t>T</w:t>
      </w:r>
      <w:r>
        <w:rPr>
          <w:b/>
          <w:bCs/>
          <w:sz w:val="13"/>
          <w:szCs w:val="13"/>
        </w:rPr>
        <w:t>RATAMIENTO</w:t>
      </w:r>
      <w:r>
        <w:rPr>
          <w:b/>
          <w:bCs/>
        </w:rPr>
        <w:t xml:space="preserve">: </w:t>
      </w:r>
      <w:r>
        <w:t>La fiebre aguda por lo común no es un cuadro que cede por sí solo y casi todos los pacientes se recuperan sin necesidad de antimicrobianos. La doxiciclina es el fármaco más indicado y su administración puede acortar varios días el periodo de recuperación. Otros fármacos a los que cabe recurrir son fluoroquinolona o cloranfenicol. No deben administrarse tetraciclinas a niños menores de ocho años, salvo que los beneficios con ellas rebasen el peligro potencial de dejar manchas en los dientes. En Estados Unidos no se ha aprobado el uso de las fluoroquinolonas en niños menores de 18 años (véase “Antimicrobianos y fármacos similares”, sección 4). Es importante emprender a muy breve plazo el tratamiento y continuarlo hasta que el niño esté afebril y haya mejorado clínicamente, por lo común en un lapso de 10 a 14 días. En la fiebre Q crónica a veces hay recidivas que obligan a repetir los ciclos del tratamiento. El microorganismo puede permanecer en estado de latencia en los tejidos durante años y es muy difícil tratar la enfermedad crónica. La terapia de la endocarditis crónica es duradera y obliga a usar doxiciclina e hidroxicloroquina por 18 meses, como mínimo. Algunos expertos han recomendado administrar una fluoroquinolona durante tres años, como mínimo. Las recidivas surgen a veces después de interrumpir el tratamiento. En algunos pacientes se necesita la reposición quirúrgica de una válvula cardiaca infectada.</w:t>
      </w:r>
    </w:p>
    <w:p w14:paraId="6F6D03FE" w14:textId="77777777" w:rsidR="00D03C17" w:rsidRDefault="00D03C17">
      <w:pPr>
        <w:pStyle w:val="BodyText"/>
        <w:spacing w:after="100"/>
        <w:ind w:firstLine="0"/>
      </w:pPr>
      <w:r>
        <w:rPr>
          <w:b/>
          <w:bCs/>
        </w:rPr>
        <w:t>A</w:t>
      </w:r>
      <w:r>
        <w:rPr>
          <w:b/>
          <w:bCs/>
          <w:sz w:val="13"/>
          <w:szCs w:val="13"/>
        </w:rPr>
        <w:t xml:space="preserve">ISLAMIENTO </w:t>
      </w:r>
      <w:r>
        <w:rPr>
          <w:b/>
          <w:bCs/>
          <w:smallCaps/>
          <w:sz w:val="16"/>
          <w:szCs w:val="16"/>
        </w:rPr>
        <w:t>del</w:t>
      </w:r>
      <w:r>
        <w:rPr>
          <w:b/>
          <w:bCs/>
          <w:sz w:val="13"/>
          <w:szCs w:val="13"/>
        </w:rPr>
        <w:t xml:space="preserve"> PACIENTE HOSPITALIZADO</w:t>
      </w:r>
      <w:r>
        <w:rPr>
          <w:b/>
          <w:bCs/>
        </w:rPr>
        <w:t xml:space="preserve">: </w:t>
      </w:r>
      <w:r>
        <w:t xml:space="preserve">Se recomienda seguir las precauciones estándar. </w:t>
      </w:r>
      <w:r>
        <w:rPr>
          <w:b/>
          <w:bCs/>
        </w:rPr>
        <w:t>M</w:t>
      </w:r>
      <w:r>
        <w:rPr>
          <w:b/>
          <w:bCs/>
          <w:sz w:val="13"/>
          <w:szCs w:val="13"/>
        </w:rPr>
        <w:t>EDIDAS PREVENTIVAS</w:t>
      </w:r>
      <w:r>
        <w:rPr>
          <w:b/>
          <w:bCs/>
        </w:rPr>
        <w:t xml:space="preserve">: </w:t>
      </w:r>
      <w:r>
        <w:t xml:space="preserve">El cumplimiento estricto de las medidas de higiene adecuadas cuando el operador maneje a hembras durante el parto ayuda a disminuir el riesgo de infección en granjas ganaderas. Mejorar la bioseguridad en instalaciones de investigación que utilizan ovejas también puede disminuir el riesgo de infección. Es recomendable seguir prácticas especiales de seguridad en caso de métodos no propagativos de laboratorio que utilicen </w:t>
      </w:r>
      <w:r>
        <w:rPr>
          <w:rFonts w:ascii="Times New Roman" w:eastAsia="Times New Roman" w:hAnsi="Times New Roman" w:cs="Times New Roman"/>
          <w:i/>
          <w:iCs/>
          <w:sz w:val="16"/>
          <w:szCs w:val="16"/>
        </w:rPr>
        <w:t>C. burnetii,</w:t>
      </w:r>
      <w:r>
        <w:t xml:space="preserve"> así como en todos los métodos propagativos, en las necropsias de animales infectados y en la manipulación de tejidos humanos y animales infectados. No se recomiendan medidas específicas para tratar a personas expuestas. También se han creado algunas vacunas de experimentación para animales domésticos y miembros de laboratorio y otro personal de alto riesgo, pero no han sido aprobadas ni se distribuyen en Estados Unidos. Es importante notificar todos los casos en seres humanos al departamento de sanidad estatal. Para información adicional respecto a fiebre Q consultar </w:t>
      </w:r>
      <w:hyperlink r:id="rId265" w:history="1">
        <w:r>
          <w:t>www.cdc.gov/ncidod/dvrd/qfever/</w:t>
        </w:r>
      </w:hyperlink>
      <w:r>
        <w:t>.</w:t>
      </w:r>
    </w:p>
    <w:p w14:paraId="443F0861" w14:textId="77777777" w:rsidR="00D03C17" w:rsidRDefault="00D03C17">
      <w:pPr>
        <w:pStyle w:val="Bodytext70"/>
        <w:spacing w:after="0"/>
      </w:pPr>
      <w:r>
        <w:t>Rabia</w:t>
      </w:r>
      <w:r>
        <w:footnoteReference w:id="23"/>
      </w:r>
    </w:p>
    <w:p w14:paraId="41315AAA" w14:textId="77777777" w:rsidR="00D03C17" w:rsidRDefault="00D03C17">
      <w:pPr>
        <w:pStyle w:val="BodyText"/>
        <w:ind w:firstLine="0"/>
      </w:pPr>
      <w:r>
        <w:rPr>
          <w:b/>
          <w:bCs/>
        </w:rPr>
        <w:t>M</w:t>
      </w:r>
      <w:r>
        <w:rPr>
          <w:b/>
          <w:bCs/>
          <w:sz w:val="13"/>
          <w:szCs w:val="13"/>
        </w:rPr>
        <w:t>ANIFESTACIONES CLÍNICAS</w:t>
      </w:r>
      <w:r>
        <w:rPr>
          <w:b/>
          <w:bCs/>
        </w:rPr>
        <w:t xml:space="preserve">: </w:t>
      </w:r>
      <w:r>
        <w:t>La infección por el virus de la rabia de manera característica produce una enfermedad aguda que incluye manifestaciones de evolución rápida en el sistema nervioso central, como ansiedad, disfagia y convulsiones. Algunas personas afectadas pueden mostrar parálisis, y la enfermedad casi indefectiblemente evoluciona hasta la muerte. Entre las entidades por incluir en el diagnóstico diferencial de cuadros encefalíticos agudos de causa desconocida con signos neurológicos focales atípicos o por parálisis, debe estar la rabia.</w:t>
      </w:r>
    </w:p>
    <w:p w14:paraId="1D6FF50A" w14:textId="77777777" w:rsidR="00D03C17" w:rsidRDefault="00D03C17">
      <w:pPr>
        <w:pStyle w:val="BodyText"/>
        <w:ind w:firstLine="0"/>
      </w:pPr>
      <w:r>
        <w:rPr>
          <w:b/>
          <w:bCs/>
        </w:rPr>
        <w:t>C</w:t>
      </w:r>
      <w:r>
        <w:rPr>
          <w:b/>
          <w:bCs/>
          <w:sz w:val="13"/>
          <w:szCs w:val="13"/>
        </w:rPr>
        <w:t>AUSAS</w:t>
      </w:r>
      <w:r>
        <w:rPr>
          <w:b/>
          <w:bCs/>
        </w:rPr>
        <w:t xml:space="preserve">: </w:t>
      </w:r>
      <w:r>
        <w:t xml:space="preserve">El virus es una partícula de RNA que se clasifica dentro de la familia de Rhabdoviridae. </w:t>
      </w:r>
      <w:r>
        <w:rPr>
          <w:b/>
          <w:bCs/>
        </w:rPr>
        <w:t>A</w:t>
      </w:r>
      <w:r>
        <w:rPr>
          <w:b/>
          <w:bCs/>
          <w:sz w:val="13"/>
          <w:szCs w:val="13"/>
        </w:rPr>
        <w:t>SPECTOS EPIDEMIOLÓGICOS</w:t>
      </w:r>
      <w:r>
        <w:rPr>
          <w:b/>
          <w:bCs/>
        </w:rPr>
        <w:t xml:space="preserve">: </w:t>
      </w:r>
      <w:r>
        <w:t>El conocimiento de los aspectos epidemiológicos de la rabia ha mejorado gracias a la identificación de cepas por medio de anticuerpos monoclonales y secuencias de nucleótidos. En Estados Unidos, el número de casos de rabia en seres humanos ha disminuido progresivamente desde el decenio de 1950, lo que ha reflejado la amplia vacunación antirrábica de perros y el hecho de contar con inmunoprofilaxia eficaz después de exposición a un animal rabioso. Entre 1990 y 2001, un total de 26 de las 35 muertes por rabia en seres humanos (74%) en Estados Unidos guardaron relación con un virus variante propagado por murciélagos. Sólo dos de los 26 casos en seres humanos correspondieron a mordeduras de animales. A pesar de la concentración de casos de rabia en mapaches en el este de Estados Unidos no se ha atribuido muerte alguna de seres humanos a la variante del virus de la rabia de dichos animales. En raras ocasiones se ha dicho que ha habido transmisión aerófora en el laboratorio y en cuevas habitadas por murciélagos. También se ha sabido de transmisión por el transplante de córneas de personas que fallecieron de rabia no diagnosticada. No se ha corroborado en Estados Unidos la transmisión directa de una persona a otra por mordedura, aunque se ha aislado de la saliva de pacientes infectados.</w:t>
      </w:r>
    </w:p>
    <w:p w14:paraId="6B184CD5" w14:textId="77777777" w:rsidR="00D03C17" w:rsidRDefault="00D03C17">
      <w:pPr>
        <w:pStyle w:val="BodyText"/>
        <w:ind w:firstLine="360"/>
      </w:pPr>
      <w:r>
        <w:t>La rabia “natural” en animales salvajes existe en todo Estados Unidos, excepto en Hawaii, que es una isla en que no se observa tal enfermedad. La principal fuente posible de infección para los seres humanos y los animales domésticos en Estados Unidos son los animales salvajes, que incluyen mapaches, mofetas, zorros, coyotes, murciélagos y otras especies. Son raros los casos de rabia en roedores pequeños (ardillas, cricetos, cobayos, gerbils, ratones de campo, ratas y ratones) y lagomorfos (conejos y liebres), pero la rabia puede aparecer en marmotas norteamericanas u otros grandes roedores en zonas en que es frecuente la rabia de mapaches. El virus aparece en la saliva y es transmitido por mordeduras o en raros casos por contaminación de mucosa o lesiones cutáneas, por parte del material infectante. A nivel mundial, casi todos los casos de rabia en seres humanos son consecuencia de mordedura de perros en zonas en que la rabia canina es enzoótica. Casi todos los perros, gatos y hurones se enferman en término de cuatro o cinco días de la propagación del virus, y ningún caso de rabia de seres humanos en Estados Unidos ha sido atribuido a un perro, un gato o un hurón que siguió estando sano durante todo el periodo habitual de 10 días de retención y confinamiento.</w:t>
      </w:r>
    </w:p>
    <w:p w14:paraId="1E487D2B" w14:textId="77777777" w:rsidR="00D03C17" w:rsidRDefault="00D03C17">
      <w:pPr>
        <w:pStyle w:val="BodyText"/>
        <w:ind w:firstLine="360"/>
      </w:pPr>
      <w:r>
        <w:t xml:space="preserve">El </w:t>
      </w:r>
      <w:r>
        <w:rPr>
          <w:b/>
          <w:bCs/>
        </w:rPr>
        <w:t xml:space="preserve">periodo de incubación </w:t>
      </w:r>
      <w:r>
        <w:t xml:space="preserve">es de cuatro a seis semanas en promedio, pero varía de cinco días a más de un año. Los periodos de incubación incluso de seis años han sido confirmados por la tipificación antigénica y el establecimiento de secuencias de nucleótidos de cepas. </w:t>
      </w:r>
      <w:r>
        <w:rPr>
          <w:b/>
          <w:bCs/>
        </w:rPr>
        <w:t>M</w:t>
      </w:r>
      <w:r>
        <w:rPr>
          <w:b/>
          <w:bCs/>
          <w:sz w:val="13"/>
          <w:szCs w:val="13"/>
        </w:rPr>
        <w:t>ÉTODOS DIAGNÓSTICOS</w:t>
      </w:r>
      <w:r>
        <w:rPr>
          <w:b/>
          <w:bCs/>
        </w:rPr>
        <w:t xml:space="preserve">: </w:t>
      </w:r>
      <w:r>
        <w:t>La infección en animales se diagnostica al demostrar el antígeno fluorescente específico de virus en tejido encefálico. Hay que dar una muerte piadosa a los animales en quienes se sospecha rabia de modo que se conserve el tejido encefálico para el estudio apropiado. Los virus se pueden aislar de la saliva, el encéfalo y otros tejidos en ratones neonatos o en cultivo tisular. El diagnóstico en casos sospechados de seres humanos puede hacerse post mortem por estudio de inmunofluorescencia o inmunohistoquímica del encéfalo. El diagnóstico premortem se hace por el estudio microscópico con fluorescencia de muestras de biopsia de piel de la nuca, al aislar el virus de la saliva, detectar el anticuerpo en el líquido cefalorraquídeo (LCR) o en suero en personas no vacunadas y por detección del ácido nucleico vírico en tejidos infectados. Es importante consultar a expertos de laboratorio antes de enviar las muestras para así arreglar la reunión y transporte apropiados de los materiales.</w:t>
      </w:r>
    </w:p>
    <w:p w14:paraId="5DF6A2C7" w14:textId="77777777" w:rsidR="00D03C17" w:rsidRDefault="00D03C17">
      <w:pPr>
        <w:pStyle w:val="BodyText"/>
        <w:ind w:firstLine="0"/>
      </w:pPr>
      <w:r>
        <w:rPr>
          <w:b/>
          <w:bCs/>
        </w:rPr>
        <w:t>T</w:t>
      </w:r>
      <w:r>
        <w:rPr>
          <w:b/>
          <w:bCs/>
          <w:sz w:val="13"/>
          <w:szCs w:val="13"/>
        </w:rPr>
        <w:t>RATAMIENTO</w:t>
      </w:r>
      <w:r>
        <w:rPr>
          <w:b/>
          <w:bCs/>
        </w:rPr>
        <w:t xml:space="preserve">: </w:t>
      </w:r>
      <w:r>
        <w:t>Una vez que han surgido los síntomas, el pronóstico no se mejora con la vacuna ni con el concentrado inmunoglobulínico antirrábico. No existe un tratamiento específico. Sólo unos pocos pacientes de rabia han vivido con el uso de medidas de apoyo intensivas; todos los demás han fallecido a pesar del tratamiento.</w:t>
      </w:r>
    </w:p>
    <w:p w14:paraId="59CF830F" w14:textId="77777777" w:rsidR="00D03C17" w:rsidRDefault="00D03C17">
      <w:pPr>
        <w:pStyle w:val="BodyText"/>
        <w:spacing w:line="266" w:lineRule="auto"/>
        <w:ind w:firstLine="0"/>
      </w:pPr>
      <w:r>
        <w:rPr>
          <w:b/>
          <w:bCs/>
          <w:smallCaps/>
          <w:sz w:val="20"/>
          <w:szCs w:val="20"/>
        </w:rPr>
        <w:t>A</w:t>
      </w:r>
      <w:r>
        <w:rPr>
          <w:b/>
          <w:bCs/>
          <w:smallCaps/>
          <w:sz w:val="16"/>
          <w:szCs w:val="16"/>
        </w:rPr>
        <w:t>islamiento del paciente hospitalizado</w:t>
      </w:r>
      <w:r>
        <w:rPr>
          <w:b/>
          <w:bCs/>
          <w:smallCaps/>
          <w:sz w:val="20"/>
          <w:szCs w:val="20"/>
        </w:rPr>
        <w:t>:</w:t>
      </w:r>
      <w:r>
        <w:t xml:space="preserve"> Se recomienda seguir las precauciones estándar durante todo el tiempo que dure la enfermedad. Si el enfermo ha mordido a otra persona o su saliva ha contaminado una herida abierta o una membrana mucosa, habrá que lavar perfectamente la zona afectada y emprender profilaxia después de exposición (consultar “Cuidados de personas expuestas”, más adelante).</w:t>
      </w:r>
    </w:p>
    <w:p w14:paraId="08E3BD54" w14:textId="77777777" w:rsidR="00D03C17" w:rsidRDefault="00D03C17">
      <w:pPr>
        <w:pStyle w:val="BodyText"/>
        <w:ind w:firstLine="0"/>
      </w:pPr>
      <w:r>
        <w:rPr>
          <w:b/>
          <w:bCs/>
        </w:rPr>
        <w:t>M</w:t>
      </w:r>
      <w:r>
        <w:rPr>
          <w:b/>
          <w:bCs/>
          <w:sz w:val="13"/>
          <w:szCs w:val="13"/>
        </w:rPr>
        <w:t>EDIDAS PREVENTIVAS</w:t>
      </w:r>
      <w:r>
        <w:rPr>
          <w:b/>
          <w:bCs/>
        </w:rPr>
        <w:t xml:space="preserve">: </w:t>
      </w:r>
      <w:r>
        <w:t>Una medida de importancia fundamental es enseñar a los niños que eviten el contacto con animales callejeros o salvajes. También hay que pedirles que no provoquen ni intenten la captura de ambos tipos de animales o que toquen los animales abiertos en canal. El contacto inadvertido de los miembros de la familia y las mascotas con animales que pueden estar rabiosos, como mapaches, zorros, coyotes y mofetas, puede disminuir al asegurar la eliminación de basura y excreta para disminuir la atracción de animales domésticos y salvajes. En forma semejante, hay que identificar y cubrir chimeneas y otros posibles sitios en que pudieran penetrar animales no domésticos, incluidos los murciélagos. Hay que recomendar a personas que viajan a zonas de rabia endémica de perros, en otras naciones, que eviten la exposición a los perros callejeros, y si acuden a un área de ese tipo, en que es escaso el acceso inmediato a la atención de médicos y productos biológicos, que se sometan a profilaxia antes de exposición.</w:t>
      </w:r>
    </w:p>
    <w:p w14:paraId="23E3020E" w14:textId="77777777" w:rsidR="00D03C17" w:rsidRDefault="00D03C17">
      <w:pPr>
        <w:pStyle w:val="BodyText"/>
        <w:spacing w:line="276" w:lineRule="auto"/>
        <w:ind w:firstLine="360"/>
      </w:pPr>
      <w:r>
        <w:rPr>
          <w:rFonts w:ascii="Arial" w:eastAsia="Arial" w:hAnsi="Arial" w:cs="Arial"/>
          <w:b/>
          <w:bCs/>
          <w:i/>
          <w:iCs/>
          <w:sz w:val="15"/>
          <w:szCs w:val="15"/>
        </w:rPr>
        <w:t>Riesgo de exposición y decisiones para aplicar inmunoprofilaxia</w:t>
      </w:r>
      <w:r>
        <w:rPr>
          <w:i/>
          <w:iCs/>
        </w:rPr>
        <w:t>.</w:t>
      </w:r>
      <w:r>
        <w:t xml:space="preserve"> La exposición a la rabia es consecuencia de la solución de continuidad de la piel causada por los dientes de un animal rabioso o por contaminación de raspaduras, abrasiones o membranas mucosas con saliva de un animal enfermo. La decisión de vacunar a una persona expuesta debe tomarse en consulta con el departamento sanitario local, el cual puede aportar datos sobre el peligro de rabia en la zona particular, respecto a cada especie de animal y en correspondencia con las directrices del cuadro 3-58. En Estados Unidos existe mayor posibilidad de que los mapaches, las mofetas, los zorros y los murciélagos estén infectados, que otros animales, pero también pueden estarlo, coyotes, ganado vacuno, perros, gatos, hurones y otras especies. Las mordeduras de roedores como ardillas y ratas, o lagomorfos como conejos y liebres, obligan a seguir normas específicas de profilaxia antirrábica. Hay que tomar en consideración factores adicionales cuando se decida si conviene emplear la inmunoprofilaxia. Un ataque repentino, sin provocación, sugiere más que el animal tiene rabia, que una mordedura durante intentos de alimentarlo o manipularlo. Los perros, gatos y hurones perfectamente vacunados tienen mínima posibilidad de presentar rabia; sin embargo, en casos raros en ellos ha surgido la enfermedad a pesar de estar vacunados.</w:t>
      </w:r>
    </w:p>
    <w:p w14:paraId="56D291F3" w14:textId="77777777" w:rsidR="00D03C17" w:rsidRDefault="00D03C17">
      <w:pPr>
        <w:pStyle w:val="BodyText"/>
        <w:ind w:firstLine="360"/>
        <w:sectPr w:rsidR="00D03C17" w:rsidSect="00D03C17">
          <w:headerReference w:type="even" r:id="rId266"/>
          <w:headerReference w:type="default" r:id="rId267"/>
          <w:footerReference w:type="even" r:id="rId268"/>
          <w:footerReference w:type="default" r:id="rId269"/>
          <w:headerReference w:type="first" r:id="rId270"/>
          <w:footerReference w:type="first" r:id="rId271"/>
          <w:footnotePr>
            <w:numFmt w:val="chicago"/>
          </w:footnotePr>
          <w:pgSz w:w="8501" w:h="13022"/>
          <w:pgMar w:top="926" w:right="740" w:bottom="532" w:left="878" w:header="0" w:footer="3" w:gutter="0"/>
          <w:pgNumType w:start="565"/>
          <w:cols w:space="720"/>
          <w:noEndnote/>
          <w:titlePg/>
          <w:docGrid w:linePitch="360"/>
          <w15:footnoteColumns w:val="1"/>
        </w:sectPr>
      </w:pPr>
      <w:r>
        <w:t>La profilaxia contra la rabia después de exposición es recomendable en toda persona mordida por mamíferos carnívoros salvajes o murciélagos o por animales domésticos que pueden estar infectados. A excepción de las mordeduras, las exposiciones rara vez han ocasionado infección, pero el contacto físico al parecer insignificante con murciélagos pudiera ocasionar transmisión de los virus incluso sin el antecedente claro de una mordedura. Se recomienda la profilaxia después de exposición en sujetos que indican que una herida abierta, raspadura o la propia membrana mucosa se contaminó con saliva o con otro material potencialmente infectante (como el tejido</w:t>
      </w:r>
    </w:p>
    <w:p w14:paraId="67360053" w14:textId="77777777" w:rsidR="00D03C17" w:rsidRDefault="00D03C17">
      <w:pPr>
        <w:pStyle w:val="Heading31"/>
        <w:keepNext/>
        <w:keepLines/>
        <w:ind w:firstLine="140"/>
      </w:pPr>
      <w:bookmarkStart w:id="200" w:name="bookmark1233"/>
      <w:bookmarkStart w:id="201" w:name="bookmark1234"/>
      <w:bookmarkStart w:id="202" w:name="bookmark1235"/>
      <w:r>
        <w:rPr>
          <w:b w:val="0"/>
          <w:bCs w:val="0"/>
        </w:rPr>
        <w:t xml:space="preserve">Cuadro 3-58. </w:t>
      </w:r>
      <w:r>
        <w:t>Orientación para la profilaxia después de exposición a la rabia</w:t>
      </w:r>
      <w:bookmarkEnd w:id="200"/>
      <w:bookmarkEnd w:id="201"/>
      <w:bookmarkEnd w:id="202"/>
    </w:p>
    <w:p w14:paraId="1DB76352" w14:textId="77777777" w:rsidR="00D03C17" w:rsidRDefault="00D03C17">
      <w:pPr>
        <w:spacing w:line="1" w:lineRule="exact"/>
        <w:sectPr w:rsidR="00D03C17" w:rsidSect="00D03C17">
          <w:footnotePr>
            <w:numFmt w:val="chicago"/>
          </w:footnotePr>
          <w:pgSz w:w="8501" w:h="13022"/>
          <w:pgMar w:top="883" w:right="1128" w:bottom="533" w:left="499" w:header="0" w:footer="3" w:gutter="0"/>
          <w:cols w:space="720"/>
          <w:noEndnote/>
          <w:docGrid w:linePitch="360"/>
          <w15:footnoteColumns w:val="1"/>
        </w:sectPr>
      </w:pPr>
      <w:r>
        <w:rPr>
          <w:noProof/>
        </w:rPr>
        <mc:AlternateContent>
          <mc:Choice Requires="wps">
            <w:drawing>
              <wp:anchor distT="0" distB="3307080" distL="0" distR="0" simplePos="0" relativeHeight="251668480" behindDoc="0" locked="0" layoutInCell="1" allowOverlap="1" wp14:anchorId="012D9C01" wp14:editId="4DC67175">
                <wp:simplePos x="0" y="0"/>
                <wp:positionH relativeFrom="page">
                  <wp:posOffset>347345</wp:posOffset>
                </wp:positionH>
                <wp:positionV relativeFrom="paragraph">
                  <wp:posOffset>0</wp:posOffset>
                </wp:positionV>
                <wp:extent cx="807720" cy="189230"/>
                <wp:effectExtent l="0" t="0" r="0" b="0"/>
                <wp:wrapTopAndBottom/>
                <wp:docPr id="1603" name="Shape 1603"/>
                <wp:cNvGraphicFramePr/>
                <a:graphic xmlns:a="http://schemas.openxmlformats.org/drawingml/2006/main">
                  <a:graphicData uri="http://schemas.microsoft.com/office/word/2010/wordprocessingShape">
                    <wps:wsp>
                      <wps:cNvSpPr txBox="1"/>
                      <wps:spPr>
                        <a:xfrm>
                          <a:off x="0" y="0"/>
                          <a:ext cx="807720" cy="189230"/>
                        </a:xfrm>
                        <a:prstGeom prst="rect">
                          <a:avLst/>
                        </a:prstGeom>
                        <a:noFill/>
                      </wps:spPr>
                      <wps:txbx>
                        <w:txbxContent>
                          <w:p w14:paraId="4667B83D" w14:textId="77777777" w:rsidR="00D03C17" w:rsidRDefault="00D03C17">
                            <w:pPr>
                              <w:pStyle w:val="Heading41"/>
                              <w:keepNext/>
                              <w:keepLines/>
                              <w:pBdr>
                                <w:top w:val="single" w:sz="0" w:space="0" w:color="231F20"/>
                                <w:left w:val="single" w:sz="0" w:space="0" w:color="231F20"/>
                                <w:bottom w:val="single" w:sz="0" w:space="0" w:color="231F20"/>
                                <w:right w:val="single" w:sz="0" w:space="0" w:color="231F20"/>
                              </w:pBdr>
                              <w:shd w:val="clear" w:color="auto" w:fill="231F20"/>
                            </w:pPr>
                            <w:bookmarkStart w:id="203" w:name="bookmark1224"/>
                            <w:bookmarkStart w:id="204" w:name="bookmark1225"/>
                            <w:bookmarkStart w:id="205" w:name="bookmark1226"/>
                            <w:r>
                              <w:rPr>
                                <w:color w:val="FFFFFF"/>
                              </w:rPr>
                              <w:t>Tipo de animal</w:t>
                            </w:r>
                            <w:bookmarkEnd w:id="203"/>
                            <w:bookmarkEnd w:id="204"/>
                            <w:bookmarkEnd w:id="205"/>
                          </w:p>
                        </w:txbxContent>
                      </wps:txbx>
                      <wps:bodyPr wrap="none" lIns="0" tIns="0" rIns="0" bIns="0"/>
                    </wps:wsp>
                  </a:graphicData>
                </a:graphic>
              </wp:anchor>
            </w:drawing>
          </mc:Choice>
          <mc:Fallback>
            <w:pict>
              <v:shape w14:anchorId="012D9C01" id="Shape 1603" o:spid="_x0000_s1035" type="#_x0000_t202" style="position:absolute;margin-left:27.35pt;margin-top:0;width:63.6pt;height:14.9pt;z-index:251668480;visibility:visible;mso-wrap-style:none;mso-wrap-distance-left:0;mso-wrap-distance-top:0;mso-wrap-distance-right:0;mso-wrap-distance-bottom:260.4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" filled="f" stroked="f">
                <v:textbox inset="0,0,0,0">
                  <w:txbxContent>
                    <w:p w14:paraId="4667B83D" w14:textId="77777777" w:rsidR="00D03C17" w:rsidRDefault="00D03C17">
                      <w:pPr>
                        <w:pStyle w:val="Heading41"/>
                        <w:keepNext/>
                        <w:keepLines/>
                        <w:pBdr>
                          <w:top w:val="single" w:sz="0" w:space="0" w:color="231F20"/>
                          <w:left w:val="single" w:sz="0" w:space="0" w:color="231F20"/>
                          <w:bottom w:val="single" w:sz="0" w:space="0" w:color="231F20"/>
                          <w:right w:val="single" w:sz="0" w:space="0" w:color="231F20"/>
                        </w:pBdr>
                        <w:shd w:val="clear" w:color="auto" w:fill="231F20"/>
                      </w:pPr>
                      <w:bookmarkStart w:id="206" w:name="bookmark1224"/>
                      <w:bookmarkStart w:id="207" w:name="bookmark1225"/>
                      <w:bookmarkStart w:id="208" w:name="bookmark1226"/>
                      <w:r>
                        <w:rPr>
                          <w:color w:val="FFFFFF"/>
                        </w:rPr>
                        <w:t>Tipo de animal</w:t>
                      </w:r>
                      <w:bookmarkEnd w:id="206"/>
                      <w:bookmarkEnd w:id="207"/>
                      <w:bookmarkEnd w:id="208"/>
                    </w:p>
                  </w:txbxContent>
                </v:textbox>
                <w10:wrap type="topAndBottom" anchorx="page"/>
              </v:shape>
            </w:pict>
          </mc:Fallback>
        </mc:AlternateContent>
      </w:r>
      <w:r>
        <w:rPr>
          <w:noProof/>
        </w:rPr>
        <mc:AlternateContent>
          <mc:Choice Requires="wps">
            <w:drawing>
              <wp:anchor distT="15240" distB="3157855" distL="0" distR="0" simplePos="0" relativeHeight="251669504" behindDoc="0" locked="0" layoutInCell="1" allowOverlap="1" wp14:anchorId="50FB7DF4" wp14:editId="5B1BE6E2">
                <wp:simplePos x="0" y="0"/>
                <wp:positionH relativeFrom="page">
                  <wp:posOffset>1801495</wp:posOffset>
                </wp:positionH>
                <wp:positionV relativeFrom="paragraph">
                  <wp:posOffset>15240</wp:posOffset>
                </wp:positionV>
                <wp:extent cx="996950" cy="323215"/>
                <wp:effectExtent l="0" t="0" r="0" b="0"/>
                <wp:wrapTopAndBottom/>
                <wp:docPr id="1605" name="Shape 1605"/>
                <wp:cNvGraphicFramePr/>
                <a:graphic xmlns:a="http://schemas.openxmlformats.org/drawingml/2006/main">
                  <a:graphicData uri="http://schemas.microsoft.com/office/word/2010/wordprocessingShape">
                    <wps:wsp>
                      <wps:cNvSpPr txBox="1"/>
                      <wps:spPr>
                        <a:xfrm>
                          <a:off x="0" y="0"/>
                          <a:ext cx="996950" cy="323215"/>
                        </a:xfrm>
                        <a:prstGeom prst="rect">
                          <a:avLst/>
                        </a:prstGeom>
                        <a:noFill/>
                      </wps:spPr>
                      <wps:txbx>
                        <w:txbxContent>
                          <w:p w14:paraId="590E03C6" w14:textId="77777777" w:rsidR="00D03C17" w:rsidRDefault="00D03C17">
                            <w:pPr>
                              <w:pStyle w:val="Heading41"/>
                              <w:keepNext/>
                              <w:keepLines/>
                              <w:pBdr>
                                <w:top w:val="single" w:sz="0" w:space="0" w:color="231F20"/>
                                <w:left w:val="single" w:sz="0" w:space="0" w:color="231F20"/>
                                <w:bottom w:val="single" w:sz="0" w:space="0" w:color="231F20"/>
                                <w:right w:val="single" w:sz="0" w:space="0" w:color="231F20"/>
                              </w:pBdr>
                              <w:shd w:val="clear" w:color="auto" w:fill="231F20"/>
                              <w:spacing w:line="209" w:lineRule="auto"/>
                            </w:pPr>
                            <w:bookmarkStart w:id="209" w:name="bookmark1227"/>
                            <w:bookmarkStart w:id="210" w:name="bookmark1228"/>
                            <w:bookmarkStart w:id="211" w:name="bookmark1229"/>
                            <w:r>
                              <w:rPr>
                                <w:color w:val="FFFFFF"/>
                              </w:rPr>
                              <w:t>Evaluación y destino del animal</w:t>
                            </w:r>
                            <w:bookmarkEnd w:id="209"/>
                            <w:bookmarkEnd w:id="210"/>
                            <w:bookmarkEnd w:id="211"/>
                          </w:p>
                        </w:txbxContent>
                      </wps:txbx>
                      <wps:bodyPr lIns="0" tIns="0" rIns="0" bIns="0"/>
                    </wps:wsp>
                  </a:graphicData>
                </a:graphic>
              </wp:anchor>
            </w:drawing>
          </mc:Choice>
          <mc:Fallback>
            <w:pict>
              <v:shape w14:anchorId="50FB7DF4" id="Shape 1605" o:spid="_x0000_s1036" type="#_x0000_t202" style="position:absolute;margin-left:141.85pt;margin-top:1.2pt;width:78.5pt;height:25.45pt;z-index:251669504;visibility:visible;mso-wrap-style:square;mso-wrap-distance-left:0;mso-wrap-distance-top:1.2pt;mso-wrap-distance-right:0;mso-wrap-distance-bottom:248.6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" filled="f" stroked="f">
                <v:textbox inset="0,0,0,0">
                  <w:txbxContent>
                    <w:p w14:paraId="590E03C6" w14:textId="77777777" w:rsidR="00D03C17" w:rsidRDefault="00D03C17">
                      <w:pPr>
                        <w:pStyle w:val="Heading41"/>
                        <w:keepNext/>
                        <w:keepLines/>
                        <w:pBdr>
                          <w:top w:val="single" w:sz="0" w:space="0" w:color="231F20"/>
                          <w:left w:val="single" w:sz="0" w:space="0" w:color="231F20"/>
                          <w:bottom w:val="single" w:sz="0" w:space="0" w:color="231F20"/>
                          <w:right w:val="single" w:sz="0" w:space="0" w:color="231F20"/>
                        </w:pBdr>
                        <w:shd w:val="clear" w:color="auto" w:fill="231F20"/>
                        <w:spacing w:line="209" w:lineRule="auto"/>
                      </w:pPr>
                      <w:bookmarkStart w:id="212" w:name="bookmark1227"/>
                      <w:bookmarkStart w:id="213" w:name="bookmark1228"/>
                      <w:bookmarkStart w:id="214" w:name="bookmark1229"/>
                      <w:r>
                        <w:rPr>
                          <w:color w:val="FFFFFF"/>
                        </w:rPr>
                        <w:t>Evaluación y destino del animal</w:t>
                      </w:r>
                      <w:bookmarkEnd w:id="212"/>
                      <w:bookmarkEnd w:id="213"/>
                      <w:bookmarkEnd w:id="214"/>
                    </w:p>
                  </w:txbxContent>
                </v:textbox>
                <w10:wrap type="topAndBottom" anchorx="page"/>
              </v:shape>
            </w:pict>
          </mc:Fallback>
        </mc:AlternateContent>
      </w:r>
      <w:r>
        <w:rPr>
          <w:noProof/>
        </w:rPr>
        <mc:AlternateContent>
          <mc:Choice Requires="wps">
            <w:drawing>
              <wp:anchor distT="15240" distB="3005455" distL="0" distR="0" simplePos="0" relativeHeight="251670528" behindDoc="0" locked="0" layoutInCell="1" allowOverlap="1" wp14:anchorId="587565DC" wp14:editId="2AD18922">
                <wp:simplePos x="0" y="0"/>
                <wp:positionH relativeFrom="page">
                  <wp:posOffset>3230880</wp:posOffset>
                </wp:positionH>
                <wp:positionV relativeFrom="paragraph">
                  <wp:posOffset>15240</wp:posOffset>
                </wp:positionV>
                <wp:extent cx="1243330" cy="475615"/>
                <wp:effectExtent l="0" t="0" r="0" b="0"/>
                <wp:wrapTopAndBottom/>
                <wp:docPr id="1607" name="Shape 1607"/>
                <wp:cNvGraphicFramePr/>
                <a:graphic xmlns:a="http://schemas.openxmlformats.org/drawingml/2006/main">
                  <a:graphicData uri="http://schemas.microsoft.com/office/word/2010/wordprocessingShape">
                    <wps:wsp>
                      <wps:cNvSpPr txBox="1"/>
                      <wps:spPr>
                        <a:xfrm>
                          <a:off x="0" y="0"/>
                          <a:ext cx="1243330" cy="475615"/>
                        </a:xfrm>
                        <a:prstGeom prst="rect">
                          <a:avLst/>
                        </a:prstGeom>
                        <a:noFill/>
                      </wps:spPr>
                      <wps:txbx>
                        <w:txbxContent>
                          <w:p w14:paraId="4B2D3C41" w14:textId="77777777" w:rsidR="00D03C17" w:rsidRDefault="00D03C17">
                            <w:pPr>
                              <w:pStyle w:val="Heading41"/>
                              <w:keepNext/>
                              <w:keepLines/>
                              <w:pBdr>
                                <w:top w:val="single" w:sz="0" w:space="0" w:color="231F20"/>
                                <w:left w:val="single" w:sz="0" w:space="0" w:color="231F20"/>
                                <w:bottom w:val="single" w:sz="0" w:space="0" w:color="231F20"/>
                                <w:right w:val="single" w:sz="0" w:space="0" w:color="231F20"/>
                              </w:pBdr>
                              <w:shd w:val="clear" w:color="auto" w:fill="231F20"/>
                              <w:spacing w:line="209" w:lineRule="auto"/>
                            </w:pPr>
                            <w:bookmarkStart w:id="215" w:name="bookmark1230"/>
                            <w:bookmarkStart w:id="216" w:name="bookmark1231"/>
                            <w:bookmarkStart w:id="217" w:name="bookmark1232"/>
                            <w:r>
                              <w:rPr>
                                <w:color w:val="FFFFFF"/>
                              </w:rPr>
                              <w:t>Recomendaciones para profilaxia después de exposición</w:t>
                            </w:r>
                            <w:bookmarkEnd w:id="215"/>
                            <w:bookmarkEnd w:id="216"/>
                            <w:bookmarkEnd w:id="217"/>
                          </w:p>
                        </w:txbxContent>
                      </wps:txbx>
                      <wps:bodyPr lIns="0" tIns="0" rIns="0" bIns="0"/>
                    </wps:wsp>
                  </a:graphicData>
                </a:graphic>
              </wp:anchor>
            </w:drawing>
          </mc:Choice>
          <mc:Fallback>
            <w:pict>
              <v:shape w14:anchorId="587565DC" id="Shape 1607" o:spid="_x0000_s1037" type="#_x0000_t202" style="position:absolute;margin-left:254.4pt;margin-top:1.2pt;width:97.9pt;height:37.45pt;z-index:251670528;visibility:visible;mso-wrap-style:square;mso-wrap-distance-left:0;mso-wrap-distance-top:1.2pt;mso-wrap-distance-right:0;mso-wrap-distance-bottom:236.6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" filled="f" stroked="f">
                <v:textbox inset="0,0,0,0">
                  <w:txbxContent>
                    <w:p w14:paraId="4B2D3C41" w14:textId="77777777" w:rsidR="00D03C17" w:rsidRDefault="00D03C17">
                      <w:pPr>
                        <w:pStyle w:val="Heading41"/>
                        <w:keepNext/>
                        <w:keepLines/>
                        <w:pBdr>
                          <w:top w:val="single" w:sz="0" w:space="0" w:color="231F20"/>
                          <w:left w:val="single" w:sz="0" w:space="0" w:color="231F20"/>
                          <w:bottom w:val="single" w:sz="0" w:space="0" w:color="231F20"/>
                          <w:right w:val="single" w:sz="0" w:space="0" w:color="231F20"/>
                        </w:pBdr>
                        <w:shd w:val="clear" w:color="auto" w:fill="231F20"/>
                        <w:spacing w:line="209" w:lineRule="auto"/>
                      </w:pPr>
                      <w:bookmarkStart w:id="218" w:name="bookmark1230"/>
                      <w:bookmarkStart w:id="219" w:name="bookmark1231"/>
                      <w:bookmarkStart w:id="220" w:name="bookmark1232"/>
                      <w:r>
                        <w:rPr>
                          <w:color w:val="FFFFFF"/>
                        </w:rPr>
                        <w:t>Recomendaciones para profilaxia después de exposición</w:t>
                      </w:r>
                      <w:bookmarkEnd w:id="218"/>
                      <w:bookmarkEnd w:id="219"/>
                      <w:bookmarkEnd w:id="220"/>
                    </w:p>
                  </w:txbxContent>
                </v:textbox>
                <w10:wrap type="topAndBottom" anchorx="page"/>
              </v:shape>
            </w:pict>
          </mc:Fallback>
        </mc:AlternateContent>
      </w:r>
      <w:r>
        <w:rPr>
          <w:noProof/>
        </w:rPr>
        <mc:AlternateContent>
          <mc:Choice Requires="wps">
            <w:drawing>
              <wp:anchor distT="554990" distB="2792095" distL="0" distR="0" simplePos="0" relativeHeight="251671552" behindDoc="0" locked="0" layoutInCell="1" allowOverlap="1" wp14:anchorId="43869985" wp14:editId="1DBC57B0">
                <wp:simplePos x="0" y="0"/>
                <wp:positionH relativeFrom="page">
                  <wp:posOffset>359410</wp:posOffset>
                </wp:positionH>
                <wp:positionV relativeFrom="paragraph">
                  <wp:posOffset>554990</wp:posOffset>
                </wp:positionV>
                <wp:extent cx="1048385" cy="149225"/>
                <wp:effectExtent l="0" t="0" r="0" b="0"/>
                <wp:wrapTopAndBottom/>
                <wp:docPr id="1609" name="Shape 1609"/>
                <wp:cNvGraphicFramePr/>
                <a:graphic xmlns:a="http://schemas.openxmlformats.org/drawingml/2006/main">
                  <a:graphicData uri="http://schemas.microsoft.com/office/word/2010/wordprocessingShape">
                    <wps:wsp>
                      <wps:cNvSpPr txBox="1"/>
                      <wps:spPr>
                        <a:xfrm>
                          <a:off x="0" y="0"/>
                          <a:ext cx="1048385" cy="149225"/>
                        </a:xfrm>
                        <a:prstGeom prst="rect">
                          <a:avLst/>
                        </a:prstGeom>
                        <a:noFill/>
                      </wps:spPr>
                      <wps:txbx>
                        <w:txbxContent>
                          <w:p w14:paraId="7DA11E65" w14:textId="77777777" w:rsidR="00D03C17" w:rsidRDefault="00D03C17">
                            <w:pPr>
                              <w:pStyle w:val="Bodytext20"/>
                              <w:spacing w:line="240" w:lineRule="auto"/>
                            </w:pPr>
                            <w:r>
                              <w:t>Perros, gatos y hurones</w:t>
                            </w:r>
                          </w:p>
                        </w:txbxContent>
                      </wps:txbx>
                      <wps:bodyPr wrap="none" lIns="0" tIns="0" rIns="0" bIns="0"/>
                    </wps:wsp>
                  </a:graphicData>
                </a:graphic>
              </wp:anchor>
            </w:drawing>
          </mc:Choice>
          <mc:Fallback>
            <w:pict>
              <v:shape w14:anchorId="43869985" id="Shape 1609" o:spid="_x0000_s1038" type="#_x0000_t202" style="position:absolute;margin-left:28.3pt;margin-top:43.7pt;width:82.55pt;height:11.75pt;z-index:251671552;visibility:visible;mso-wrap-style:none;mso-wrap-distance-left:0;mso-wrap-distance-top:43.7pt;mso-wrap-distance-right:0;mso-wrap-distance-bottom:219.8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" filled="f" stroked="f">
                <v:textbox inset="0,0,0,0">
                  <w:txbxContent>
                    <w:p w14:paraId="7DA11E65" w14:textId="77777777" w:rsidR="00D03C17" w:rsidRDefault="00D03C17">
                      <w:pPr>
                        <w:pStyle w:val="Bodytext20"/>
                        <w:spacing w:line="240" w:lineRule="auto"/>
                      </w:pPr>
                      <w:r>
                        <w:t>Perros, gatos y hurones</w:t>
                      </w:r>
                    </w:p>
                  </w:txbxContent>
                </v:textbox>
                <w10:wrap type="topAndBottom" anchorx="page"/>
              </v:shape>
            </w:pict>
          </mc:Fallback>
        </mc:AlternateContent>
      </w:r>
      <w:r>
        <w:rPr>
          <w:noProof/>
        </w:rPr>
        <mc:AlternateContent>
          <mc:Choice Requires="wps">
            <w:drawing>
              <wp:anchor distT="1441450" distB="1015365" distL="0" distR="0" simplePos="0" relativeHeight="251672576" behindDoc="0" locked="0" layoutInCell="1" allowOverlap="1" wp14:anchorId="5D7CC2A4" wp14:editId="16440744">
                <wp:simplePos x="0" y="0"/>
                <wp:positionH relativeFrom="page">
                  <wp:posOffset>356235</wp:posOffset>
                </wp:positionH>
                <wp:positionV relativeFrom="paragraph">
                  <wp:posOffset>1441450</wp:posOffset>
                </wp:positionV>
                <wp:extent cx="1383665" cy="1039495"/>
                <wp:effectExtent l="0" t="0" r="0" b="0"/>
                <wp:wrapTopAndBottom/>
                <wp:docPr id="1611" name="Shape 1611"/>
                <wp:cNvGraphicFramePr/>
                <a:graphic xmlns:a="http://schemas.openxmlformats.org/drawingml/2006/main">
                  <a:graphicData uri="http://schemas.microsoft.com/office/word/2010/wordprocessingShape">
                    <wps:wsp>
                      <wps:cNvSpPr txBox="1"/>
                      <wps:spPr>
                        <a:xfrm>
                          <a:off x="0" y="0"/>
                          <a:ext cx="1383665" cy="1039495"/>
                        </a:xfrm>
                        <a:prstGeom prst="rect">
                          <a:avLst/>
                        </a:prstGeom>
                        <a:noFill/>
                      </wps:spPr>
                      <wps:txbx>
                        <w:txbxContent>
                          <w:p w14:paraId="183CE069" w14:textId="77777777" w:rsidR="00D03C17" w:rsidRDefault="00D03C17">
                            <w:pPr>
                              <w:pStyle w:val="Bodytext20"/>
                              <w:spacing w:after="380" w:line="262" w:lineRule="auto"/>
                            </w:pPr>
                            <w:r>
                              <w:t>Murciélagos, mofetas, mapaches, zorros y otros carnívoros; marmotas norteamericanas</w:t>
                            </w:r>
                          </w:p>
                          <w:p w14:paraId="7279CFB1" w14:textId="77777777" w:rsidR="00D03C17" w:rsidRDefault="00D03C17">
                            <w:pPr>
                              <w:pStyle w:val="Bodytext20"/>
                              <w:spacing w:line="264" w:lineRule="auto"/>
                            </w:pPr>
                            <w:r>
                              <w:t>Ganado en general, roedores y lagomorfos (conejos y liebres)</w:t>
                            </w:r>
                          </w:p>
                        </w:txbxContent>
                      </wps:txbx>
                      <wps:bodyPr lIns="0" tIns="0" rIns="0" bIns="0"/>
                    </wps:wsp>
                  </a:graphicData>
                </a:graphic>
              </wp:anchor>
            </w:drawing>
          </mc:Choice>
          <mc:Fallback>
            <w:pict>
              <v:shape w14:anchorId="5D7CC2A4" id="Shape 1611" o:spid="_x0000_s1039" type="#_x0000_t202" style="position:absolute;margin-left:28.05pt;margin-top:113.5pt;width:108.95pt;height:81.85pt;z-index:251672576;visibility:visible;mso-wrap-style:square;mso-wrap-distance-left:0;mso-wrap-distance-top:113.5pt;mso-wrap-distance-right:0;mso-wrap-distance-bottom:79.9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" filled="f" stroked="f">
                <v:textbox inset="0,0,0,0">
                  <w:txbxContent>
                    <w:p w14:paraId="183CE069" w14:textId="77777777" w:rsidR="00D03C17" w:rsidRDefault="00D03C17">
                      <w:pPr>
                        <w:pStyle w:val="Bodytext20"/>
                        <w:spacing w:after="380" w:line="262" w:lineRule="auto"/>
                      </w:pPr>
                      <w:r>
                        <w:t>Murciélagos, mofetas, mapaches, zorros y otros carnívoros; marmotas norteamericanas</w:t>
                      </w:r>
                    </w:p>
                    <w:p w14:paraId="7279CFB1" w14:textId="77777777" w:rsidR="00D03C17" w:rsidRDefault="00D03C17">
                      <w:pPr>
                        <w:pStyle w:val="Bodytext20"/>
                        <w:spacing w:line="264" w:lineRule="auto"/>
                      </w:pPr>
                      <w:r>
                        <w:t>Ganado en general, roedores y lagomorfos (conejos y liebres)</w:t>
                      </w:r>
                    </w:p>
                  </w:txbxContent>
                </v:textbox>
                <w10:wrap type="topAndBottom" anchorx="page"/>
              </v:shape>
            </w:pict>
          </mc:Fallback>
        </mc:AlternateContent>
      </w:r>
      <w:r>
        <w:rPr>
          <w:noProof/>
        </w:rPr>
        <mc:AlternateContent>
          <mc:Choice Requires="wps">
            <w:drawing>
              <wp:anchor distT="554990" distB="1017905" distL="0" distR="0" simplePos="0" relativeHeight="251673600" behindDoc="0" locked="0" layoutInCell="1" allowOverlap="1" wp14:anchorId="4AD76E94" wp14:editId="45BA0A6B">
                <wp:simplePos x="0" y="0"/>
                <wp:positionH relativeFrom="page">
                  <wp:posOffset>1801495</wp:posOffset>
                </wp:positionH>
                <wp:positionV relativeFrom="paragraph">
                  <wp:posOffset>554990</wp:posOffset>
                </wp:positionV>
                <wp:extent cx="1402080" cy="1923415"/>
                <wp:effectExtent l="0" t="0" r="0" b="0"/>
                <wp:wrapTopAndBottom/>
                <wp:docPr id="1613" name="Shape 1613"/>
                <wp:cNvGraphicFramePr/>
                <a:graphic xmlns:a="http://schemas.openxmlformats.org/drawingml/2006/main">
                  <a:graphicData uri="http://schemas.microsoft.com/office/word/2010/wordprocessingShape">
                    <wps:wsp>
                      <wps:cNvSpPr txBox="1"/>
                      <wps:spPr>
                        <a:xfrm>
                          <a:off x="0" y="0"/>
                          <a:ext cx="1402080" cy="1923415"/>
                        </a:xfrm>
                        <a:prstGeom prst="rect">
                          <a:avLst/>
                        </a:prstGeom>
                        <a:noFill/>
                      </wps:spPr>
                      <wps:txbx>
                        <w:txbxContent>
                          <w:p w14:paraId="16A85DAF" w14:textId="77777777" w:rsidR="00D03C17" w:rsidRDefault="00D03C17">
                            <w:pPr>
                              <w:pStyle w:val="Bodytext20"/>
                              <w:spacing w:after="200" w:line="257" w:lineRule="auto"/>
                            </w:pPr>
                            <w:r>
                              <w:t>Sano y disponible para 10 días de observación</w:t>
                            </w:r>
                          </w:p>
                          <w:p w14:paraId="541EB1C7" w14:textId="77777777" w:rsidR="00D03C17" w:rsidRDefault="00D03C17">
                            <w:pPr>
                              <w:pStyle w:val="Bodytext20"/>
                              <w:spacing w:line="257" w:lineRule="auto"/>
                            </w:pPr>
                            <w:r>
                              <w:t>Rabioso o sospechoso de estar rabioso</w:t>
                            </w:r>
                            <w:r>
                              <w:rPr>
                                <w:vertAlign w:val="superscript"/>
                              </w:rPr>
                              <w:t>2</w:t>
                            </w:r>
                          </w:p>
                          <w:p w14:paraId="389709C4" w14:textId="77777777" w:rsidR="00D03C17" w:rsidRDefault="00D03C17">
                            <w:pPr>
                              <w:pStyle w:val="Bodytext20"/>
                              <w:spacing w:after="200" w:line="257" w:lineRule="auto"/>
                            </w:pPr>
                            <w:r>
                              <w:t>Se desconoce (escapó)</w:t>
                            </w:r>
                          </w:p>
                          <w:p w14:paraId="155E8251" w14:textId="77777777" w:rsidR="00D03C17" w:rsidRDefault="00D03C17">
                            <w:pPr>
                              <w:pStyle w:val="Bodytext20"/>
                              <w:spacing w:line="262" w:lineRule="auto"/>
                            </w:pPr>
                            <w:r>
                              <w:t>Considerado como rabioso salvo que se sepa que en el área geográfica no hay rabia o hasta que se corrobore que no está enfermo el animal por medio de pruebas de laboratorio</w:t>
                            </w:r>
                            <w:r>
                              <w:rPr>
                                <w:vertAlign w:val="superscript"/>
                              </w:rPr>
                              <w:t>2</w:t>
                            </w:r>
                          </w:p>
                          <w:p w14:paraId="65BA164B" w14:textId="77777777" w:rsidR="00D03C17" w:rsidRDefault="00D03C17">
                            <w:pPr>
                              <w:pStyle w:val="Bodytext20"/>
                              <w:spacing w:after="200" w:line="262" w:lineRule="auto"/>
                            </w:pPr>
                            <w:r>
                              <w:t>Considerar cada caso en forma individual</w:t>
                            </w:r>
                          </w:p>
                        </w:txbxContent>
                      </wps:txbx>
                      <wps:bodyPr lIns="0" tIns="0" rIns="0" bIns="0"/>
                    </wps:wsp>
                  </a:graphicData>
                </a:graphic>
              </wp:anchor>
            </w:drawing>
          </mc:Choice>
          <mc:Fallback>
            <w:pict>
              <v:shape w14:anchorId="4AD76E94" id="Shape 1613" o:spid="_x0000_s1040" type="#_x0000_t202" style="position:absolute;margin-left:141.85pt;margin-top:43.7pt;width:110.4pt;height:151.45pt;z-index:251673600;visibility:visible;mso-wrap-style:square;mso-wrap-distance-left:0;mso-wrap-distance-top:43.7pt;mso-wrap-distance-right:0;mso-wrap-distance-bottom:80.1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" filled="f" stroked="f">
                <v:textbox inset="0,0,0,0">
                  <w:txbxContent>
                    <w:p w14:paraId="16A85DAF" w14:textId="77777777" w:rsidR="00D03C17" w:rsidRDefault="00D03C17">
                      <w:pPr>
                        <w:pStyle w:val="Bodytext20"/>
                        <w:spacing w:after="200" w:line="257" w:lineRule="auto"/>
                      </w:pPr>
                      <w:r>
                        <w:t>Sano y disponible para 10 días de observación</w:t>
                      </w:r>
                    </w:p>
                    <w:p w14:paraId="541EB1C7" w14:textId="77777777" w:rsidR="00D03C17" w:rsidRDefault="00D03C17">
                      <w:pPr>
                        <w:pStyle w:val="Bodytext20"/>
                        <w:spacing w:line="257" w:lineRule="auto"/>
                      </w:pPr>
                      <w:r>
                        <w:t>Rabioso o sospechoso de estar rabioso</w:t>
                      </w:r>
                      <w:r>
                        <w:rPr>
                          <w:vertAlign w:val="superscript"/>
                        </w:rPr>
                        <w:t>2</w:t>
                      </w:r>
                    </w:p>
                    <w:p w14:paraId="389709C4" w14:textId="77777777" w:rsidR="00D03C17" w:rsidRDefault="00D03C17">
                      <w:pPr>
                        <w:pStyle w:val="Bodytext20"/>
                        <w:spacing w:after="200" w:line="257" w:lineRule="auto"/>
                      </w:pPr>
                      <w:r>
                        <w:t>Se desconoce (escapó)</w:t>
                      </w:r>
                    </w:p>
                    <w:p w14:paraId="155E8251" w14:textId="77777777" w:rsidR="00D03C17" w:rsidRDefault="00D03C17">
                      <w:pPr>
                        <w:pStyle w:val="Bodytext20"/>
                        <w:spacing w:line="262" w:lineRule="auto"/>
                      </w:pPr>
                      <w:r>
                        <w:t>Considerado como rabioso salvo que se sepa que en el área geográfica no hay rabia o hasta que se corrobore que no está enfermo el animal por medio de pruebas de laboratorio</w:t>
                      </w:r>
                      <w:r>
                        <w:rPr>
                          <w:vertAlign w:val="superscript"/>
                        </w:rPr>
                        <w:t>2</w:t>
                      </w:r>
                    </w:p>
                    <w:p w14:paraId="65BA164B" w14:textId="77777777" w:rsidR="00D03C17" w:rsidRDefault="00D03C17">
                      <w:pPr>
                        <w:pStyle w:val="Bodytext20"/>
                        <w:spacing w:after="200" w:line="262" w:lineRule="auto"/>
                      </w:pPr>
                      <w:r>
                        <w:t>Considerar cada caso en forma individual</w:t>
                      </w:r>
                    </w:p>
                  </w:txbxContent>
                </v:textbox>
                <w10:wrap type="topAndBottom" anchorx="page"/>
              </v:shape>
            </w:pict>
          </mc:Fallback>
        </mc:AlternateContent>
      </w:r>
      <w:r>
        <w:rPr>
          <w:noProof/>
        </w:rPr>
        <mc:AlternateContent>
          <mc:Choice Requires="wps">
            <w:drawing>
              <wp:anchor distT="554990" distB="1908175" distL="0" distR="0" simplePos="0" relativeHeight="251674624" behindDoc="0" locked="0" layoutInCell="1" allowOverlap="1" wp14:anchorId="0D2E7EDE" wp14:editId="4BC5D5E0">
                <wp:simplePos x="0" y="0"/>
                <wp:positionH relativeFrom="page">
                  <wp:posOffset>3230880</wp:posOffset>
                </wp:positionH>
                <wp:positionV relativeFrom="paragraph">
                  <wp:posOffset>554990</wp:posOffset>
                </wp:positionV>
                <wp:extent cx="1398905" cy="1033145"/>
                <wp:effectExtent l="0" t="0" r="0" b="0"/>
                <wp:wrapTopAndBottom/>
                <wp:docPr id="1615" name="Shape 1615"/>
                <wp:cNvGraphicFramePr/>
                <a:graphic xmlns:a="http://schemas.openxmlformats.org/drawingml/2006/main">
                  <a:graphicData uri="http://schemas.microsoft.com/office/word/2010/wordprocessingShape">
                    <wps:wsp>
                      <wps:cNvSpPr txBox="1"/>
                      <wps:spPr>
                        <a:xfrm>
                          <a:off x="0" y="0"/>
                          <a:ext cx="1398905" cy="1033145"/>
                        </a:xfrm>
                        <a:prstGeom prst="rect">
                          <a:avLst/>
                        </a:prstGeom>
                        <a:noFill/>
                      </wps:spPr>
                      <wps:txbx>
                        <w:txbxContent>
                          <w:p w14:paraId="368D2560" w14:textId="77777777" w:rsidR="00D03C17" w:rsidRDefault="00D03C17">
                            <w:pPr>
                              <w:pStyle w:val="Bodytext20"/>
                              <w:spacing w:line="259" w:lineRule="auto"/>
                            </w:pPr>
                            <w:r>
                              <w:t>Medidas profilácticas sólo si el animal termina por mostrar signos de rabia</w:t>
                            </w:r>
                            <w:r>
                              <w:rPr>
                                <w:vertAlign w:val="superscript"/>
                              </w:rPr>
                              <w:t>1</w:t>
                            </w:r>
                          </w:p>
                          <w:p w14:paraId="5FDF96B6" w14:textId="77777777" w:rsidR="00D03C17" w:rsidRDefault="00D03C17">
                            <w:pPr>
                              <w:pStyle w:val="Bodytext20"/>
                              <w:spacing w:after="180" w:line="259" w:lineRule="auto"/>
                            </w:pPr>
                            <w:r>
                              <w:t>Vacunación inmediata</w:t>
                            </w:r>
                            <w:r>
                              <w:rPr>
                                <w:vertAlign w:val="superscript"/>
                              </w:rPr>
                              <w:t>3</w:t>
                            </w:r>
                            <w:r>
                              <w:t xml:space="preserve"> y RIG</w:t>
                            </w:r>
                          </w:p>
                          <w:p w14:paraId="1FA59EDC" w14:textId="77777777" w:rsidR="00D03C17" w:rsidRDefault="00D03C17">
                            <w:pPr>
                              <w:pStyle w:val="Bodytext20"/>
                              <w:spacing w:line="264" w:lineRule="auto"/>
                            </w:pPr>
                            <w:r>
                              <w:t>Consultar la opinión de funcionarios de salud pública</w:t>
                            </w:r>
                          </w:p>
                          <w:p w14:paraId="2FCC1020" w14:textId="77777777" w:rsidR="00D03C17" w:rsidRDefault="00D03C17">
                            <w:pPr>
                              <w:pStyle w:val="Bodytext20"/>
                              <w:spacing w:line="264" w:lineRule="auto"/>
                            </w:pPr>
                            <w:r>
                              <w:t>Vacunación inmediata</w:t>
                            </w:r>
                            <w:r>
                              <w:rPr>
                                <w:vertAlign w:val="superscript"/>
                              </w:rPr>
                              <w:t>3</w:t>
                            </w:r>
                            <w:r>
                              <w:t xml:space="preserve"> y RIG</w:t>
                            </w:r>
                          </w:p>
                        </w:txbxContent>
                      </wps:txbx>
                      <wps:bodyPr lIns="0" tIns="0" rIns="0" bIns="0"/>
                    </wps:wsp>
                  </a:graphicData>
                </a:graphic>
              </wp:anchor>
            </w:drawing>
          </mc:Choice>
          <mc:Fallback>
            <w:pict>
              <v:shape w14:anchorId="0D2E7EDE" id="Shape 1615" o:spid="_x0000_s1041" type="#_x0000_t202" style="position:absolute;margin-left:254.4pt;margin-top:43.7pt;width:110.15pt;height:81.35pt;z-index:251674624;visibility:visible;mso-wrap-style:square;mso-wrap-distance-left:0;mso-wrap-distance-top:43.7pt;mso-wrap-distance-right:0;mso-wrap-distance-bottom:150.2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" filled="f" stroked="f">
                <v:textbox inset="0,0,0,0">
                  <w:txbxContent>
                    <w:p w14:paraId="368D2560" w14:textId="77777777" w:rsidR="00D03C17" w:rsidRDefault="00D03C17">
                      <w:pPr>
                        <w:pStyle w:val="Bodytext20"/>
                        <w:spacing w:line="259" w:lineRule="auto"/>
                      </w:pPr>
                      <w:r>
                        <w:t>Medidas profilácticas sólo si el animal termina por mostrar signos de rabia</w:t>
                      </w:r>
                      <w:r>
                        <w:rPr>
                          <w:vertAlign w:val="superscript"/>
                        </w:rPr>
                        <w:t>1</w:t>
                      </w:r>
                    </w:p>
                    <w:p w14:paraId="5FDF96B6" w14:textId="77777777" w:rsidR="00D03C17" w:rsidRDefault="00D03C17">
                      <w:pPr>
                        <w:pStyle w:val="Bodytext20"/>
                        <w:spacing w:after="180" w:line="259" w:lineRule="auto"/>
                      </w:pPr>
                      <w:r>
                        <w:t>Vacunación inmediata</w:t>
                      </w:r>
                      <w:r>
                        <w:rPr>
                          <w:vertAlign w:val="superscript"/>
                        </w:rPr>
                        <w:t>3</w:t>
                      </w:r>
                      <w:r>
                        <w:t xml:space="preserve"> y RIG</w:t>
                      </w:r>
                    </w:p>
                    <w:p w14:paraId="1FA59EDC" w14:textId="77777777" w:rsidR="00D03C17" w:rsidRDefault="00D03C17">
                      <w:pPr>
                        <w:pStyle w:val="Bodytext20"/>
                        <w:spacing w:line="264" w:lineRule="auto"/>
                      </w:pPr>
                      <w:r>
                        <w:t>Consultar la opinión de funcionarios de salud pública</w:t>
                      </w:r>
                    </w:p>
                    <w:p w14:paraId="2FCC1020" w14:textId="77777777" w:rsidR="00D03C17" w:rsidRDefault="00D03C17">
                      <w:pPr>
                        <w:pStyle w:val="Bodytext20"/>
                        <w:spacing w:line="264" w:lineRule="auto"/>
                      </w:pPr>
                      <w:r>
                        <w:t>Vacunación inmediata</w:t>
                      </w:r>
                      <w:r>
                        <w:rPr>
                          <w:vertAlign w:val="superscript"/>
                        </w:rPr>
                        <w:t>3</w:t>
                      </w:r>
                      <w:r>
                        <w:t xml:space="preserve"> y RIG</w:t>
                      </w:r>
                    </w:p>
                  </w:txbxContent>
                </v:textbox>
                <w10:wrap type="topAndBottom" anchorx="page"/>
              </v:shape>
            </w:pict>
          </mc:Fallback>
        </mc:AlternateContent>
      </w:r>
      <w:r>
        <w:rPr>
          <w:noProof/>
        </w:rPr>
        <mc:AlternateContent>
          <mc:Choice Requires="wps">
            <w:drawing>
              <wp:anchor distT="2203450" distB="635" distL="0" distR="0" simplePos="0" relativeHeight="251675648" behindDoc="0" locked="0" layoutInCell="1" allowOverlap="1" wp14:anchorId="7FAADA4C" wp14:editId="58859356">
                <wp:simplePos x="0" y="0"/>
                <wp:positionH relativeFrom="page">
                  <wp:posOffset>3239770</wp:posOffset>
                </wp:positionH>
                <wp:positionV relativeFrom="paragraph">
                  <wp:posOffset>2203450</wp:posOffset>
                </wp:positionV>
                <wp:extent cx="1203960" cy="1292225"/>
                <wp:effectExtent l="0" t="0" r="0" b="0"/>
                <wp:wrapTopAndBottom/>
                <wp:docPr id="1617" name="Shape 1617"/>
                <wp:cNvGraphicFramePr/>
                <a:graphic xmlns:a="http://schemas.openxmlformats.org/drawingml/2006/main">
                  <a:graphicData uri="http://schemas.microsoft.com/office/word/2010/wordprocessingShape">
                    <wps:wsp>
                      <wps:cNvSpPr txBox="1"/>
                      <wps:spPr>
                        <a:xfrm>
                          <a:off x="0" y="0"/>
                          <a:ext cx="1203960" cy="1292225"/>
                        </a:xfrm>
                        <a:prstGeom prst="rect">
                          <a:avLst/>
                        </a:prstGeom>
                        <a:noFill/>
                      </wps:spPr>
                      <wps:txbx>
                        <w:txbxContent>
                          <w:p w14:paraId="2C537BD2" w14:textId="77777777" w:rsidR="00D03C17" w:rsidRDefault="00D03C17">
                            <w:pPr>
                              <w:pStyle w:val="Bodytext20"/>
                              <w:pBdr>
                                <w:bottom w:val="single" w:sz="4" w:space="0" w:color="auto"/>
                              </w:pBdr>
                              <w:spacing w:line="262" w:lineRule="auto"/>
                            </w:pPr>
                            <w:r>
                              <w:t>Consultar la opinión de funcionarios de salud pública. Casi nunca se necesita tratamiento antirrábico en caso de mordeduras de ardillas, cricetos, cobayos, gerbils, ratones campestres, ratas, ratones, otros roedores, conejos y liebres</w:t>
                            </w:r>
                          </w:p>
                        </w:txbxContent>
                      </wps:txbx>
                      <wps:bodyPr lIns="0" tIns="0" rIns="0" bIns="0"/>
                    </wps:wsp>
                  </a:graphicData>
                </a:graphic>
              </wp:anchor>
            </w:drawing>
          </mc:Choice>
          <mc:Fallback>
            <w:pict>
              <v:shape w14:anchorId="7FAADA4C" id="Shape 1617" o:spid="_x0000_s1042" type="#_x0000_t202" style="position:absolute;margin-left:255.1pt;margin-top:173.5pt;width:94.8pt;height:101.75pt;z-index:251675648;visibility:visible;mso-wrap-style:square;mso-wrap-distance-left:0;mso-wrap-distance-top:173.5pt;mso-wrap-distance-right:0;mso-wrap-distance-bottom:.0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" filled="f" stroked="f">
                <v:textbox inset="0,0,0,0">
                  <w:txbxContent>
                    <w:p w14:paraId="2C537BD2" w14:textId="77777777" w:rsidR="00D03C17" w:rsidRDefault="00D03C17">
                      <w:pPr>
                        <w:pStyle w:val="Bodytext20"/>
                        <w:pBdr>
                          <w:bottom w:val="single" w:sz="4" w:space="0" w:color="auto"/>
                        </w:pBdr>
                        <w:spacing w:line="262" w:lineRule="auto"/>
                      </w:pPr>
                      <w:r>
                        <w:t>Consultar la opinión de funcionarios de salud pública. Casi nunca se necesita tratamiento antirrábico en caso de mordeduras de ardillas, cricetos, cobayos, gerbils, ratones campestres, ratas, ratones, otros roedores, conejos y liebres</w:t>
                      </w:r>
                    </w:p>
                  </w:txbxContent>
                </v:textbox>
                <w10:wrap type="topAndBottom" anchorx="page"/>
              </v:shape>
            </w:pict>
          </mc:Fallback>
        </mc:AlternateContent>
      </w:r>
    </w:p>
    <w:p w14:paraId="1F69FB3C" w14:textId="77777777" w:rsidR="00D03C17" w:rsidRDefault="00D03C17">
      <w:pPr>
        <w:spacing w:line="57" w:lineRule="exact"/>
        <w:rPr>
          <w:sz w:val="5"/>
          <w:szCs w:val="5"/>
        </w:rPr>
      </w:pPr>
    </w:p>
    <w:p w14:paraId="3FD7FA59" w14:textId="77777777" w:rsidR="00D03C17" w:rsidRDefault="00D03C17">
      <w:pPr>
        <w:spacing w:line="1" w:lineRule="exact"/>
        <w:sectPr w:rsidR="00D03C17" w:rsidSect="00D03C17">
          <w:footnotePr>
            <w:numFmt w:val="chicago"/>
          </w:footnotePr>
          <w:type w:val="continuous"/>
          <w:pgSz w:w="8501" w:h="13022"/>
          <w:pgMar w:top="883" w:right="0" w:bottom="513" w:left="0" w:header="0" w:footer="3" w:gutter="0"/>
          <w:cols w:space="720"/>
          <w:noEndnote/>
          <w:docGrid w:linePitch="360"/>
          <w15:footnoteColumns w:val="1"/>
        </w:sectPr>
      </w:pPr>
    </w:p>
    <w:p w14:paraId="5BAC0218" w14:textId="77777777" w:rsidR="00D03C17" w:rsidRDefault="00D03C17">
      <w:pPr>
        <w:pStyle w:val="BodyText"/>
        <w:ind w:firstLine="0"/>
      </w:pPr>
      <w:r>
        <w:t>sospechada. El solo contacto casual con la persona infectada (p. ej., al tocar al paciente) o contacto con líquidos de tejidos no infectantes (orina o excrementos) no constituye exposición y no es indicación para emprender la profilaxia (véase “Cuidado de contactos en hospitales”, más adelante en este resumen).</w:t>
      </w:r>
    </w:p>
    <w:p w14:paraId="70D943C8" w14:textId="77777777" w:rsidR="00D03C17" w:rsidRDefault="00D03C17">
      <w:pPr>
        <w:pStyle w:val="BodyText"/>
        <w:spacing w:line="276" w:lineRule="auto"/>
        <w:ind w:firstLine="360"/>
      </w:pPr>
      <w:r>
        <w:rPr>
          <w:rFonts w:ascii="Arial" w:eastAsia="Arial" w:hAnsi="Arial" w:cs="Arial"/>
          <w:b/>
          <w:bCs/>
          <w:i/>
          <w:iCs/>
          <w:sz w:val="15"/>
          <w:szCs w:val="15"/>
        </w:rPr>
        <w:t>Manejo de animales sospechosos de ser rabiosos.</w:t>
      </w:r>
      <w:r>
        <w:t xml:space="preserve"> Es necesario capturar, confinar a un perro, un gato o un hurón sospechoso de tener rabia y que sea observado por un veterinario durante 10 días. Cualquier cuadro anormal en el animal debe ser informado inmediatamente al departamento sanitario local. Al surgir signos de rabia, habrá que sacrificar piadosamente al animal; se separará su cabeza y enviará en refrigeración (hielo pero no congelada) a un laboratorio especializado, para su estudio.</w:t>
      </w:r>
    </w:p>
    <w:p w14:paraId="5A0A5387" w14:textId="77777777" w:rsidR="00D03C17" w:rsidRDefault="00D03C17">
      <w:pPr>
        <w:pStyle w:val="BodyText"/>
        <w:ind w:firstLine="360"/>
      </w:pPr>
      <w:r>
        <w:t>Hay que notificar inmediatamente al departamento sanitario de la localidad, la presencia de otros animales que muerden y que pudieron haber expuesto a una persona a rabia. El tratamiento que se siga con ellos depende de su especie, la circunstancia de la mordedura y la frecuencia epidemiológica de rabia en la zona. La vacunación del animal previamente tal vez no anule la necesidad de sacrificarlo sin dolor y someterlo a prueba, si se desconoce para esa especie el periodo de “dispersión” o propagación del virus. Es difícil interpretar con exactitud las manifestaciones clínicas de rabia en un animal salvaje, razón por la cual hay que sacrificar inmediatamente sin dolor a todo mamífero no doméstico sospechoso de tener rabia, y se estudiará su encéfalo en busca de signos de la enfermedad. No es necesario tratar a la persona expuesta si los resultados del examen rápido del encéfalo por medio de anticuerpos fluorescentes son negativos en cuanto a rabia.</w:t>
      </w:r>
    </w:p>
    <w:p w14:paraId="59335641" w14:textId="77777777" w:rsidR="00D03C17" w:rsidRDefault="00D03C17">
      <w:pPr>
        <w:pStyle w:val="BodyText"/>
        <w:spacing w:line="276" w:lineRule="auto"/>
        <w:ind w:firstLine="360"/>
      </w:pPr>
      <w:r>
        <w:rPr>
          <w:rFonts w:ascii="Arial" w:eastAsia="Arial" w:hAnsi="Arial" w:cs="Arial"/>
          <w:b/>
          <w:bCs/>
          <w:i/>
          <w:iCs/>
          <w:sz w:val="15"/>
          <w:szCs w:val="15"/>
        </w:rPr>
        <w:t>Cuidados de contactos nosocomiales.</w:t>
      </w:r>
      <w:r>
        <w:t xml:space="preserve"> La inmunización de los contactos nosocomiales de un paciente con rabia debe reservarse para personas que fueron mordidas o cuyas membranas mucosas o heridas abiertas han entrado en contaco con saliva, LCR, o tejido encefálico de un paciente con rabia (véase “Cuidado de personas expuestas”). Otros contactos dentro del hospital del paciente con rabia no requieren inmunización.</w:t>
      </w:r>
    </w:p>
    <w:p w14:paraId="2180F141" w14:textId="77777777" w:rsidR="00D03C17" w:rsidRDefault="00D03C17">
      <w:pPr>
        <w:pStyle w:val="Bodytext80"/>
        <w:rPr>
          <w:sz w:val="15"/>
          <w:szCs w:val="15"/>
        </w:rPr>
      </w:pPr>
      <w:r>
        <w:rPr>
          <w:b/>
          <w:bCs/>
          <w:i/>
          <w:iCs/>
          <w:sz w:val="15"/>
          <w:szCs w:val="15"/>
        </w:rPr>
        <w:t>Cuidados de personas expuestas</w:t>
      </w:r>
    </w:p>
    <w:p w14:paraId="6AB404D5" w14:textId="77777777" w:rsidR="00D03C17" w:rsidRDefault="00D03C17">
      <w:pPr>
        <w:pStyle w:val="BodyText"/>
        <w:spacing w:line="276" w:lineRule="auto"/>
        <w:ind w:firstLine="0"/>
      </w:pPr>
      <w:r>
        <w:rPr>
          <w:rFonts w:ascii="Times New Roman" w:eastAsia="Times New Roman" w:hAnsi="Times New Roman" w:cs="Times New Roman"/>
          <w:b/>
          <w:bCs/>
          <w:i/>
          <w:iCs/>
          <w:sz w:val="16"/>
          <w:szCs w:val="16"/>
        </w:rPr>
        <w:t>Cuidado local de heridas.</w:t>
      </w:r>
      <w:r>
        <w:t xml:space="preserve"> El objetivo inmediato de la profilaxia después de exposición es evitar que el virus penetre en tejido nervioso. Es esencial el tratamiento local inmediato y minucioso de todas las lesiones porque el virus puede quedar localizado por un lapso variable en la zona de la mordedura. Es importante irrigar perfectamente todas las heridas y limpiarlas con agua y jabón. Desde hace mucho se considera que los compuestos de amonio cuaternario (como el cloruro de benzalconio) no son mejores que el simple jabón. También hay que valorar la necesidad de profilaxia antitetánica y de medidas para erradicar infecciones bacterianas. De ser posible será mejor no suturar la herida.</w:t>
      </w:r>
    </w:p>
    <w:p w14:paraId="172A3E64" w14:textId="77777777" w:rsidR="00D03C17" w:rsidRDefault="00D03C17">
      <w:pPr>
        <w:pStyle w:val="BodyText"/>
        <w:spacing w:line="276" w:lineRule="auto"/>
        <w:ind w:firstLine="360"/>
      </w:pPr>
      <w:r>
        <w:rPr>
          <w:rFonts w:ascii="Times New Roman" w:eastAsia="Times New Roman" w:hAnsi="Times New Roman" w:cs="Times New Roman"/>
          <w:b/>
          <w:bCs/>
          <w:i/>
          <w:iCs/>
          <w:sz w:val="16"/>
          <w:szCs w:val="16"/>
        </w:rPr>
        <w:t>Inmunoprofilaxia.</w:t>
      </w:r>
      <w:r>
        <w:t xml:space="preserve"> Una vez terminado el cuidado de la herida, se necesita concomitantemente inmunoprofilaxia pasiva y activa para el tratamiento óptimo (cuadro 3-58). La profilaxia debe comenzar lo más pronto posible después de la exposición, en circunstancias óptimas en término de 24 h. Sin embargo, el retraso de días o más quizá no menoscabe la eficacia de tales medidas y habrá que emprender la profilaxia, si por lo demás está indicada, sea cual sea el intervalo que ha mediado entre la exposición y el tratamiento. En Estados Unidos se cuenta sólo con el concentrado inmunoglobulínico antirrábico </w:t>
      </w:r>
      <w:r>
        <w:rPr>
          <w:i/>
          <w:iCs/>
        </w:rPr>
        <w:t>(</w:t>
      </w:r>
      <w:r>
        <w:rPr>
          <w:rFonts w:ascii="Times New Roman" w:eastAsia="Times New Roman" w:hAnsi="Times New Roman" w:cs="Times New Roman"/>
          <w:i/>
          <w:iCs/>
          <w:sz w:val="16"/>
          <w:szCs w:val="16"/>
        </w:rPr>
        <w:t>rabies immune globulin</w:t>
      </w:r>
      <w:r>
        <w:rPr>
          <w:i/>
          <w:iCs/>
        </w:rPr>
        <w:t>,</w:t>
      </w:r>
      <w:r>
        <w:t xml:space="preserve"> RIG), producto humano, para la inmunización pasiva. Para la vacunación activa se utilizará la vacuna antirrábica aprobada, obtenida por cultivo tisular. Los médicos deben solicitar el consejo de expertos en sus departamentos sanitarios locales o estatales.</w:t>
      </w:r>
    </w:p>
    <w:p w14:paraId="4AA84217" w14:textId="77777777" w:rsidR="00D03C17" w:rsidRDefault="00D03C17">
      <w:pPr>
        <w:pStyle w:val="BodyText"/>
        <w:spacing w:line="290" w:lineRule="auto"/>
        <w:ind w:firstLine="360"/>
      </w:pPr>
      <w:r>
        <w:rPr>
          <w:rFonts w:ascii="Times New Roman" w:eastAsia="Times New Roman" w:hAnsi="Times New Roman" w:cs="Times New Roman"/>
          <w:b/>
          <w:bCs/>
          <w:i/>
          <w:iCs/>
          <w:sz w:val="16"/>
          <w:szCs w:val="16"/>
        </w:rPr>
        <w:t>Vacunación activa (después de la exposición).</w:t>
      </w:r>
      <w:r>
        <w:t xml:space="preserve"> En Estados Unidos tres vacunas antirrábicas han sido aprobadas para su venta, como agentes profilácticos (cuadro 3-59). Se</w:t>
      </w:r>
    </w:p>
    <w:p w14:paraId="33FC5C4D" w14:textId="77777777" w:rsidR="00D03C17" w:rsidRDefault="00D03C17">
      <w:pPr>
        <w:pStyle w:val="Heading31"/>
        <w:keepNext/>
        <w:keepLines/>
        <w:spacing w:after="100" w:line="211" w:lineRule="auto"/>
        <w:jc w:val="center"/>
      </w:pPr>
      <w:bookmarkStart w:id="221" w:name="bookmark1236"/>
      <w:bookmarkStart w:id="222" w:name="bookmark1237"/>
      <w:bookmarkStart w:id="223" w:name="bookmark1238"/>
      <w:r>
        <w:rPr>
          <w:b w:val="0"/>
          <w:bCs w:val="0"/>
        </w:rPr>
        <w:t xml:space="preserve">Cuadro 3-59. </w:t>
      </w:r>
      <w:r>
        <w:t>Vacunas antirrábicas y concentrado inmunoglobulínico</w:t>
      </w:r>
      <w:r>
        <w:br/>
        <w:t xml:space="preserve">antirrábico aprobado por la </w:t>
      </w:r>
      <w:r>
        <w:rPr>
          <w:i/>
          <w:iCs/>
        </w:rPr>
        <w:t>Food and Drug Administration</w:t>
      </w:r>
      <w:bookmarkEnd w:id="221"/>
      <w:bookmarkEnd w:id="222"/>
      <w:bookmarkEnd w:id="223"/>
    </w:p>
    <w:tbl>
      <w:tblPr>
        <w:tblOverlap w:val="never"/>
        <w:tblW w:w="0" w:type="auto"/>
        <w:jc w:val="center"/>
        <w:tblLayout w:type="fixed"/>
        <w:tblCellMar>
          <w:left w:w="10" w:type="dxa"/>
          <w:right w:w="10" w:type="dxa"/>
        </w:tblCellMar>
        <w:tblLook w:val="04A0" w:firstRow="1" w:lastRow="0" w:firstColumn="1" w:lastColumn="0" w:noHBand="0" w:noVBand="1"/>
      </w:tblPr>
      <w:tblGrid>
        <w:gridCol w:w="1646"/>
        <w:gridCol w:w="1661"/>
        <w:gridCol w:w="1718"/>
        <w:gridCol w:w="1598"/>
      </w:tblGrid>
      <w:tr w:rsidR="00D03C17" w14:paraId="1748C2D9" w14:textId="77777777">
        <w:tblPrEx>
          <w:tblCellMar>
            <w:top w:w="0" w:type="dxa"/>
            <w:bottom w:w="0" w:type="dxa"/>
          </w:tblCellMar>
        </w:tblPrEx>
        <w:trPr>
          <w:trHeight w:hRule="exact" w:val="518"/>
          <w:jc w:val="center"/>
        </w:trPr>
        <w:tc>
          <w:tcPr>
            <w:tcW w:w="1646" w:type="dxa"/>
            <w:shd w:val="clear" w:color="auto" w:fill="231F20"/>
          </w:tcPr>
          <w:p w14:paraId="736DB7AF" w14:textId="77777777" w:rsidR="00D03C17" w:rsidRDefault="00D03C17">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Categoría</w:t>
            </w:r>
          </w:p>
        </w:tc>
        <w:tc>
          <w:tcPr>
            <w:tcW w:w="1661" w:type="dxa"/>
            <w:shd w:val="clear" w:color="auto" w:fill="231F20"/>
          </w:tcPr>
          <w:p w14:paraId="532C99E0" w14:textId="77777777" w:rsidR="00D03C17" w:rsidRDefault="00D03C17">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Producto</w:t>
            </w:r>
          </w:p>
        </w:tc>
        <w:tc>
          <w:tcPr>
            <w:tcW w:w="1718" w:type="dxa"/>
            <w:shd w:val="clear" w:color="auto" w:fill="231F20"/>
          </w:tcPr>
          <w:p w14:paraId="71181664" w14:textId="77777777" w:rsidR="00D03C17" w:rsidRDefault="00D03C17">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Fabricante</w:t>
            </w:r>
          </w:p>
        </w:tc>
        <w:tc>
          <w:tcPr>
            <w:tcW w:w="1598" w:type="dxa"/>
            <w:shd w:val="clear" w:color="auto" w:fill="231F20"/>
          </w:tcPr>
          <w:p w14:paraId="441FE95F" w14:textId="77777777" w:rsidR="00D03C17" w:rsidRDefault="00D03C17">
            <w:pPr>
              <w:pStyle w:val="Other0"/>
              <w:pBdr>
                <w:top w:val="single" w:sz="0" w:space="0" w:color="231F20"/>
                <w:left w:val="single" w:sz="0" w:space="0" w:color="231F20"/>
                <w:bottom w:val="single" w:sz="0" w:space="0" w:color="231F20"/>
                <w:right w:val="single" w:sz="0" w:space="0" w:color="231F20"/>
              </w:pBdr>
              <w:shd w:val="clear" w:color="auto" w:fill="231F20"/>
              <w:spacing w:line="204" w:lineRule="auto"/>
              <w:ind w:firstLine="0"/>
              <w:rPr>
                <w:sz w:val="24"/>
                <w:szCs w:val="24"/>
              </w:rPr>
            </w:pPr>
            <w:r>
              <w:rPr>
                <w:rFonts w:ascii="Arial" w:eastAsia="Arial" w:hAnsi="Arial" w:cs="Arial"/>
                <w:b/>
                <w:bCs/>
                <w:color w:val="FFFFFF"/>
                <w:w w:val="70"/>
                <w:sz w:val="24"/>
                <w:szCs w:val="24"/>
              </w:rPr>
              <w:t>Método de administración</w:t>
            </w:r>
          </w:p>
        </w:tc>
      </w:tr>
      <w:tr w:rsidR="00D03C17" w14:paraId="4E65A1F8" w14:textId="77777777">
        <w:tblPrEx>
          <w:tblCellMar>
            <w:top w:w="0" w:type="dxa"/>
            <w:bottom w:w="0" w:type="dxa"/>
          </w:tblCellMar>
        </w:tblPrEx>
        <w:trPr>
          <w:trHeight w:hRule="exact" w:val="720"/>
          <w:jc w:val="center"/>
        </w:trPr>
        <w:tc>
          <w:tcPr>
            <w:tcW w:w="1646" w:type="dxa"/>
            <w:shd w:val="clear" w:color="auto" w:fill="FFFFFF"/>
          </w:tcPr>
          <w:p w14:paraId="5D67B06F" w14:textId="77777777" w:rsidR="00D03C17" w:rsidRDefault="00D03C17">
            <w:pPr>
              <w:pStyle w:val="Other0"/>
              <w:spacing w:line="283" w:lineRule="auto"/>
              <w:ind w:firstLine="0"/>
              <w:rPr>
                <w:sz w:val="16"/>
                <w:szCs w:val="16"/>
              </w:rPr>
            </w:pPr>
            <w:r>
              <w:rPr>
                <w:rFonts w:ascii="Times New Roman" w:eastAsia="Times New Roman" w:hAnsi="Times New Roman" w:cs="Times New Roman"/>
                <w:b/>
                <w:bCs/>
                <w:sz w:val="16"/>
                <w:szCs w:val="16"/>
              </w:rPr>
              <w:t>Vacuna antirrábica humana</w:t>
            </w:r>
          </w:p>
        </w:tc>
        <w:tc>
          <w:tcPr>
            <w:tcW w:w="1661" w:type="dxa"/>
            <w:shd w:val="clear" w:color="auto" w:fill="FFFFFF"/>
            <w:vAlign w:val="bottom"/>
          </w:tcPr>
          <w:p w14:paraId="6DE8759A" w14:textId="77777777" w:rsidR="00D03C17" w:rsidRDefault="00D03C17">
            <w:pPr>
              <w:pStyle w:val="Other0"/>
              <w:spacing w:line="283" w:lineRule="auto"/>
              <w:ind w:left="180" w:hanging="180"/>
              <w:rPr>
                <w:sz w:val="16"/>
                <w:szCs w:val="16"/>
              </w:rPr>
            </w:pPr>
            <w:r>
              <w:rPr>
                <w:rFonts w:ascii="Times New Roman" w:eastAsia="Times New Roman" w:hAnsi="Times New Roman" w:cs="Times New Roman"/>
                <w:sz w:val="16"/>
                <w:szCs w:val="16"/>
              </w:rPr>
              <w:t>Vacuna de células diploides humanas (HDCV) (Imovax)</w:t>
            </w:r>
          </w:p>
        </w:tc>
        <w:tc>
          <w:tcPr>
            <w:tcW w:w="1718" w:type="dxa"/>
            <w:shd w:val="clear" w:color="auto" w:fill="FFFFFF"/>
          </w:tcPr>
          <w:p w14:paraId="09F488A3"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Aventis Pasteur</w:t>
            </w:r>
          </w:p>
        </w:tc>
        <w:tc>
          <w:tcPr>
            <w:tcW w:w="1598" w:type="dxa"/>
            <w:shd w:val="clear" w:color="auto" w:fill="FFFFFF"/>
          </w:tcPr>
          <w:p w14:paraId="052A9A14"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IM</w:t>
            </w:r>
          </w:p>
        </w:tc>
      </w:tr>
      <w:tr w:rsidR="00D03C17" w14:paraId="56CD5583" w14:textId="77777777">
        <w:tblPrEx>
          <w:tblCellMar>
            <w:top w:w="0" w:type="dxa"/>
            <w:bottom w:w="0" w:type="dxa"/>
          </w:tblCellMar>
        </w:tblPrEx>
        <w:trPr>
          <w:trHeight w:hRule="exact" w:val="422"/>
          <w:jc w:val="center"/>
        </w:trPr>
        <w:tc>
          <w:tcPr>
            <w:tcW w:w="1646" w:type="dxa"/>
            <w:shd w:val="clear" w:color="auto" w:fill="FFFFFF"/>
          </w:tcPr>
          <w:p w14:paraId="2C03837B" w14:textId="77777777" w:rsidR="00D03C17" w:rsidRDefault="00D03C17">
            <w:pPr>
              <w:rPr>
                <w:sz w:val="10"/>
                <w:szCs w:val="10"/>
              </w:rPr>
            </w:pPr>
          </w:p>
        </w:tc>
        <w:tc>
          <w:tcPr>
            <w:tcW w:w="1661" w:type="dxa"/>
            <w:shd w:val="clear" w:color="auto" w:fill="FFFFFF"/>
            <w:vAlign w:val="bottom"/>
          </w:tcPr>
          <w:p w14:paraId="1DD7DE1A" w14:textId="77777777" w:rsidR="00D03C17" w:rsidRDefault="00D03C17">
            <w:pPr>
              <w:pStyle w:val="Other0"/>
              <w:spacing w:line="283" w:lineRule="auto"/>
              <w:ind w:left="180" w:hanging="180"/>
              <w:rPr>
                <w:sz w:val="16"/>
                <w:szCs w:val="16"/>
              </w:rPr>
            </w:pPr>
            <w:r>
              <w:rPr>
                <w:rFonts w:ascii="Times New Roman" w:eastAsia="Times New Roman" w:hAnsi="Times New Roman" w:cs="Times New Roman"/>
                <w:sz w:val="16"/>
                <w:szCs w:val="16"/>
              </w:rPr>
              <w:t>Vacuna antirrábica adsorbida (RVA)</w:t>
            </w:r>
          </w:p>
        </w:tc>
        <w:tc>
          <w:tcPr>
            <w:tcW w:w="1718" w:type="dxa"/>
            <w:shd w:val="clear" w:color="auto" w:fill="FFFFFF"/>
          </w:tcPr>
          <w:p w14:paraId="7D704BCE"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Bio Port Corporation</w:t>
            </w:r>
          </w:p>
        </w:tc>
        <w:tc>
          <w:tcPr>
            <w:tcW w:w="1598" w:type="dxa"/>
            <w:shd w:val="clear" w:color="auto" w:fill="FFFFFF"/>
          </w:tcPr>
          <w:p w14:paraId="58191F29"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IM</w:t>
            </w:r>
          </w:p>
        </w:tc>
      </w:tr>
      <w:tr w:rsidR="00D03C17" w14:paraId="08E4DF5B" w14:textId="77777777">
        <w:tblPrEx>
          <w:tblCellMar>
            <w:top w:w="0" w:type="dxa"/>
            <w:bottom w:w="0" w:type="dxa"/>
          </w:tblCellMar>
        </w:tblPrEx>
        <w:trPr>
          <w:trHeight w:hRule="exact" w:val="864"/>
          <w:jc w:val="center"/>
        </w:trPr>
        <w:tc>
          <w:tcPr>
            <w:tcW w:w="1646" w:type="dxa"/>
            <w:shd w:val="clear" w:color="auto" w:fill="FFFFFF"/>
          </w:tcPr>
          <w:p w14:paraId="1E5678D4" w14:textId="77777777" w:rsidR="00D03C17" w:rsidRDefault="00D03C17">
            <w:pPr>
              <w:rPr>
                <w:sz w:val="10"/>
                <w:szCs w:val="10"/>
              </w:rPr>
            </w:pPr>
          </w:p>
        </w:tc>
        <w:tc>
          <w:tcPr>
            <w:tcW w:w="1661" w:type="dxa"/>
            <w:shd w:val="clear" w:color="auto" w:fill="FFFFFF"/>
            <w:vAlign w:val="bottom"/>
          </w:tcPr>
          <w:p w14:paraId="7666289E" w14:textId="77777777" w:rsidR="00D03C17" w:rsidRDefault="00D03C17">
            <w:pPr>
              <w:pStyle w:val="Other0"/>
              <w:spacing w:line="283" w:lineRule="auto"/>
              <w:ind w:left="180" w:hanging="180"/>
              <w:rPr>
                <w:sz w:val="16"/>
                <w:szCs w:val="16"/>
              </w:rPr>
            </w:pPr>
            <w:r>
              <w:rPr>
                <w:rFonts w:ascii="Times New Roman" w:eastAsia="Times New Roman" w:hAnsi="Times New Roman" w:cs="Times New Roman"/>
                <w:sz w:val="16"/>
                <w:szCs w:val="16"/>
              </w:rPr>
              <w:t>Vacuna de células de embriones de pollo purificadas (PCEC) (RabAvert)</w:t>
            </w:r>
          </w:p>
        </w:tc>
        <w:tc>
          <w:tcPr>
            <w:tcW w:w="1718" w:type="dxa"/>
            <w:shd w:val="clear" w:color="auto" w:fill="FFFFFF"/>
          </w:tcPr>
          <w:p w14:paraId="483119CD"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Chiron Corporation</w:t>
            </w:r>
          </w:p>
        </w:tc>
        <w:tc>
          <w:tcPr>
            <w:tcW w:w="1598" w:type="dxa"/>
            <w:shd w:val="clear" w:color="auto" w:fill="FFFFFF"/>
          </w:tcPr>
          <w:p w14:paraId="1EB7B699"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IM</w:t>
            </w:r>
          </w:p>
        </w:tc>
      </w:tr>
      <w:tr w:rsidR="00D03C17" w14:paraId="24CC7EB8" w14:textId="77777777">
        <w:tblPrEx>
          <w:tblCellMar>
            <w:top w:w="0" w:type="dxa"/>
            <w:bottom w:w="0" w:type="dxa"/>
          </w:tblCellMar>
        </w:tblPrEx>
        <w:trPr>
          <w:trHeight w:hRule="exact" w:val="216"/>
          <w:jc w:val="center"/>
        </w:trPr>
        <w:tc>
          <w:tcPr>
            <w:tcW w:w="1646" w:type="dxa"/>
            <w:shd w:val="clear" w:color="auto" w:fill="FFFFFF"/>
          </w:tcPr>
          <w:p w14:paraId="4F595C62" w14:textId="77777777" w:rsidR="00D03C17" w:rsidRDefault="00D03C17">
            <w:pPr>
              <w:pStyle w:val="Other0"/>
              <w:spacing w:line="240" w:lineRule="auto"/>
              <w:ind w:firstLine="0"/>
              <w:rPr>
                <w:sz w:val="16"/>
                <w:szCs w:val="16"/>
              </w:rPr>
            </w:pPr>
            <w:r>
              <w:rPr>
                <w:rFonts w:ascii="Times New Roman" w:eastAsia="Times New Roman" w:hAnsi="Times New Roman" w:cs="Times New Roman"/>
                <w:b/>
                <w:bCs/>
                <w:sz w:val="16"/>
                <w:szCs w:val="16"/>
              </w:rPr>
              <w:t>Concentrado</w:t>
            </w:r>
          </w:p>
        </w:tc>
        <w:tc>
          <w:tcPr>
            <w:tcW w:w="1661" w:type="dxa"/>
            <w:shd w:val="clear" w:color="auto" w:fill="FFFFFF"/>
          </w:tcPr>
          <w:p w14:paraId="3239E987"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Imogam Rabies-HT</w:t>
            </w:r>
          </w:p>
        </w:tc>
        <w:tc>
          <w:tcPr>
            <w:tcW w:w="1718" w:type="dxa"/>
            <w:shd w:val="clear" w:color="auto" w:fill="FFFFFF"/>
          </w:tcPr>
          <w:p w14:paraId="72C0B648"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Infiltrar alrededor</w:t>
            </w:r>
          </w:p>
        </w:tc>
        <w:tc>
          <w:tcPr>
            <w:tcW w:w="1598" w:type="dxa"/>
            <w:shd w:val="clear" w:color="auto" w:fill="FFFFFF"/>
          </w:tcPr>
          <w:p w14:paraId="661DEAFB"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Infiltrar alrededor de</w:t>
            </w:r>
          </w:p>
        </w:tc>
      </w:tr>
      <w:tr w:rsidR="00D03C17" w14:paraId="39B64B0E" w14:textId="77777777">
        <w:tblPrEx>
          <w:tblCellMar>
            <w:top w:w="0" w:type="dxa"/>
            <w:bottom w:w="0" w:type="dxa"/>
          </w:tblCellMar>
        </w:tblPrEx>
        <w:trPr>
          <w:trHeight w:hRule="exact" w:val="677"/>
          <w:jc w:val="center"/>
        </w:trPr>
        <w:tc>
          <w:tcPr>
            <w:tcW w:w="1646" w:type="dxa"/>
            <w:tcBorders>
              <w:bottom w:val="single" w:sz="4" w:space="0" w:color="auto"/>
            </w:tcBorders>
            <w:shd w:val="clear" w:color="auto" w:fill="FFFFFF"/>
          </w:tcPr>
          <w:p w14:paraId="54262306" w14:textId="77777777" w:rsidR="00D03C17" w:rsidRDefault="00D03C17">
            <w:pPr>
              <w:pStyle w:val="Other0"/>
              <w:spacing w:line="283" w:lineRule="auto"/>
              <w:ind w:firstLine="140"/>
              <w:rPr>
                <w:sz w:val="16"/>
                <w:szCs w:val="16"/>
              </w:rPr>
            </w:pPr>
            <w:r>
              <w:rPr>
                <w:rFonts w:ascii="Times New Roman" w:eastAsia="Times New Roman" w:hAnsi="Times New Roman" w:cs="Times New Roman"/>
                <w:b/>
                <w:bCs/>
                <w:sz w:val="16"/>
                <w:szCs w:val="16"/>
              </w:rPr>
              <w:t>inmunoglobulínico antirrábico</w:t>
            </w:r>
          </w:p>
        </w:tc>
        <w:tc>
          <w:tcPr>
            <w:tcW w:w="1661" w:type="dxa"/>
            <w:tcBorders>
              <w:bottom w:val="single" w:sz="4" w:space="0" w:color="auto"/>
            </w:tcBorders>
            <w:shd w:val="clear" w:color="auto" w:fill="FFFFFF"/>
            <w:vAlign w:val="bottom"/>
          </w:tcPr>
          <w:p w14:paraId="561A7046"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Bay-Rab</w:t>
            </w:r>
          </w:p>
        </w:tc>
        <w:tc>
          <w:tcPr>
            <w:tcW w:w="1718" w:type="dxa"/>
            <w:tcBorders>
              <w:bottom w:val="single" w:sz="4" w:space="0" w:color="auto"/>
            </w:tcBorders>
            <w:shd w:val="clear" w:color="auto" w:fill="FFFFFF"/>
            <w:vAlign w:val="bottom"/>
          </w:tcPr>
          <w:p w14:paraId="4F521821" w14:textId="77777777" w:rsidR="00D03C17" w:rsidRDefault="00D03C17">
            <w:pPr>
              <w:pStyle w:val="Other0"/>
              <w:spacing w:line="240" w:lineRule="auto"/>
              <w:ind w:firstLine="200"/>
              <w:rPr>
                <w:sz w:val="16"/>
                <w:szCs w:val="16"/>
              </w:rPr>
            </w:pPr>
            <w:r>
              <w:rPr>
                <w:rFonts w:ascii="Times New Roman" w:eastAsia="Times New Roman" w:hAnsi="Times New Roman" w:cs="Times New Roman"/>
                <w:sz w:val="16"/>
                <w:szCs w:val="16"/>
              </w:rPr>
              <w:t>de la herida</w:t>
            </w:r>
            <w:r>
              <w:rPr>
                <w:rFonts w:ascii="Times New Roman" w:eastAsia="Times New Roman" w:hAnsi="Times New Roman" w:cs="Times New Roman"/>
                <w:sz w:val="16"/>
                <w:szCs w:val="16"/>
                <w:vertAlign w:val="superscript"/>
              </w:rPr>
              <w:t>1</w:t>
            </w:r>
          </w:p>
          <w:p w14:paraId="1B7476A4" w14:textId="77777777" w:rsidR="00D03C17" w:rsidRDefault="00D03C17">
            <w:pPr>
              <w:pStyle w:val="Other0"/>
              <w:spacing w:line="240" w:lineRule="auto"/>
              <w:ind w:firstLine="200"/>
              <w:rPr>
                <w:sz w:val="16"/>
                <w:szCs w:val="16"/>
              </w:rPr>
            </w:pPr>
            <w:r>
              <w:rPr>
                <w:rFonts w:ascii="Times New Roman" w:eastAsia="Times New Roman" w:hAnsi="Times New Roman" w:cs="Times New Roman"/>
                <w:sz w:val="16"/>
                <w:szCs w:val="16"/>
              </w:rPr>
              <w:t>Aventis Pasteur</w:t>
            </w:r>
          </w:p>
          <w:p w14:paraId="5DF84473"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Bayer</w:t>
            </w:r>
          </w:p>
        </w:tc>
        <w:tc>
          <w:tcPr>
            <w:tcW w:w="1598" w:type="dxa"/>
            <w:tcBorders>
              <w:bottom w:val="single" w:sz="4" w:space="0" w:color="auto"/>
            </w:tcBorders>
            <w:shd w:val="clear" w:color="auto" w:fill="FFFFFF"/>
          </w:tcPr>
          <w:p w14:paraId="1866C593" w14:textId="77777777" w:rsidR="00D03C17" w:rsidRDefault="00D03C17">
            <w:pPr>
              <w:pStyle w:val="Other0"/>
              <w:spacing w:line="240" w:lineRule="auto"/>
              <w:ind w:firstLine="200"/>
              <w:rPr>
                <w:sz w:val="16"/>
                <w:szCs w:val="16"/>
              </w:rPr>
            </w:pPr>
            <w:r>
              <w:rPr>
                <w:rFonts w:ascii="Times New Roman" w:eastAsia="Times New Roman" w:hAnsi="Times New Roman" w:cs="Times New Roman"/>
                <w:sz w:val="16"/>
                <w:szCs w:val="16"/>
              </w:rPr>
              <w:t>la herida</w:t>
            </w:r>
            <w:r>
              <w:rPr>
                <w:rFonts w:ascii="Times New Roman" w:eastAsia="Times New Roman" w:hAnsi="Times New Roman" w:cs="Times New Roman"/>
                <w:sz w:val="16"/>
                <w:szCs w:val="16"/>
                <w:vertAlign w:val="superscript"/>
              </w:rPr>
              <w:t>1</w:t>
            </w:r>
          </w:p>
        </w:tc>
      </w:tr>
    </w:tbl>
    <w:p w14:paraId="216A29D6" w14:textId="77777777" w:rsidR="00D03C17" w:rsidRDefault="00D03C17">
      <w:pPr>
        <w:pStyle w:val="Tablecaption0"/>
        <w:spacing w:line="240" w:lineRule="auto"/>
        <w:ind w:left="24"/>
      </w:pPr>
      <w:r>
        <w:t>IM, intramuscular.</w:t>
      </w:r>
    </w:p>
    <w:p w14:paraId="00D3B0BE" w14:textId="77777777" w:rsidR="00D03C17" w:rsidRDefault="00D03C17">
      <w:pPr>
        <w:pStyle w:val="Tablecaption0"/>
        <w:spacing w:line="240" w:lineRule="auto"/>
        <w:ind w:left="24"/>
      </w:pPr>
      <w:r>
        <w:rPr>
          <w:sz w:val="8"/>
          <w:szCs w:val="8"/>
          <w:vertAlign w:val="superscript"/>
        </w:rPr>
        <w:t>1</w:t>
      </w:r>
      <w:r>
        <w:rPr>
          <w:sz w:val="8"/>
          <w:szCs w:val="8"/>
        </w:rPr>
        <w:t xml:space="preserve"> </w:t>
      </w:r>
      <w:r>
        <w:t>Cualquier volumen sobrante debe aplicarse por vía intramuscular.</w:t>
      </w:r>
    </w:p>
    <w:p w14:paraId="54300CC3" w14:textId="77777777" w:rsidR="00D03C17" w:rsidRDefault="00D03C17">
      <w:pPr>
        <w:spacing w:after="439" w:line="1" w:lineRule="exact"/>
      </w:pPr>
    </w:p>
    <w:p w14:paraId="52668755" w14:textId="77777777" w:rsidR="00D03C17" w:rsidRDefault="00D03C17">
      <w:pPr>
        <w:pStyle w:val="BodyText"/>
        <w:ind w:firstLine="0"/>
      </w:pPr>
      <w:r>
        <w:t>aplica por vía intramuscular 1.0 ml de cualquiera de las tres en la zona deltoidea o la cara anteroexterna del muslo en el primer día de la profilaxia después de exposición, y se repite tal dosis en los días tres, siete, 14 y 28 después de la primera, en un total de cinco dosis. En circunstancias óptimas habría que comenzar y completar la serie de vacunas con el mismo producto vacunal, salvo que surjan graves reacciones alérgicas. No se han realizado estudios clínicos que valoren la eficacia o la frecuencia de reacciones adversas cuando se completa la serie con un nuevo producto. El volumen de la dosis no disminuye si se usa en niños. No se necesitan las pruebas serológicas para corroborar la seroconversión después de aplicar cualquiera de las tres vacunas antirrábicas, pero a veces se ha recomendado practicarla en caso de personas que las reciben y que son inmunodeficientes.</w:t>
      </w:r>
    </w:p>
    <w:p w14:paraId="42629BCC" w14:textId="77777777" w:rsidR="00D03C17" w:rsidRDefault="00D03C17">
      <w:pPr>
        <w:pStyle w:val="BodyText"/>
        <w:ind w:firstLine="360"/>
      </w:pPr>
      <w:r>
        <w:t>Se tendrá gran cuidado de aplicar por vía intramuscular la vacuna. En Estados Unidos no se recomienda la vía intradérmica en la profilaxia después de exposición, pero en algunos países se usa tal vía por razones de costo y disponibilidad. Las respuestas de anticuerpos en adultos que fueron vacunados en la zona glútea a veces han sido menores que las observadas después de inyección en el músculo deltoides; por esa causa esta última zona debe utilizarse siempre, excepto en lactantes y niños de corta edad en quienes el sitio apropiado es la cara anteroexterna del muslo.</w:t>
      </w:r>
    </w:p>
    <w:p w14:paraId="5BFFCBBB" w14:textId="77777777" w:rsidR="00D03C17" w:rsidRDefault="00D03C17">
      <w:pPr>
        <w:pStyle w:val="Bodytext20"/>
        <w:tabs>
          <w:tab w:val="left" w:pos="274"/>
        </w:tabs>
        <w:spacing w:line="269" w:lineRule="auto"/>
      </w:pPr>
      <w:r>
        <w:rPr>
          <w:rFonts w:ascii="Garamond" w:eastAsia="Garamond" w:hAnsi="Garamond" w:cs="Garamond"/>
          <w:sz w:val="19"/>
          <w:szCs w:val="19"/>
        </w:rPr>
        <w:t>•</w:t>
      </w:r>
      <w:r>
        <w:rPr>
          <w:rFonts w:ascii="Garamond" w:eastAsia="Garamond" w:hAnsi="Garamond" w:cs="Garamond"/>
          <w:sz w:val="19"/>
          <w:szCs w:val="19"/>
        </w:rPr>
        <w:tab/>
      </w:r>
      <w:r>
        <w:rPr>
          <w:b/>
          <w:bCs/>
          <w:i/>
          <w:iCs/>
        </w:rPr>
        <w:t>Reacciones adversas y precauciones con la vacuna de células diploides humanas</w:t>
      </w:r>
    </w:p>
    <w:p w14:paraId="7F37B0FA" w14:textId="77777777" w:rsidR="00D03C17" w:rsidRDefault="00D03C17">
      <w:pPr>
        <w:pStyle w:val="BodyText"/>
        <w:spacing w:line="276" w:lineRule="auto"/>
        <w:ind w:left="360" w:firstLine="0"/>
      </w:pPr>
      <w:r>
        <w:rPr>
          <w:rFonts w:ascii="Times New Roman" w:eastAsia="Times New Roman" w:hAnsi="Times New Roman" w:cs="Times New Roman"/>
          <w:b/>
          <w:bCs/>
          <w:i/>
          <w:iCs/>
          <w:sz w:val="16"/>
          <w:szCs w:val="16"/>
        </w:rPr>
        <w:t>(</w:t>
      </w:r>
      <w:r>
        <w:t xml:space="preserve">human diploid cell vaccine, </w:t>
      </w:r>
      <w:r>
        <w:rPr>
          <w:rFonts w:ascii="Times New Roman" w:eastAsia="Times New Roman" w:hAnsi="Times New Roman" w:cs="Times New Roman"/>
          <w:b/>
          <w:bCs/>
          <w:i/>
          <w:iCs/>
          <w:sz w:val="16"/>
          <w:szCs w:val="16"/>
        </w:rPr>
        <w:t>HDCV), la vacuna antirrábica adsorbida (</w:t>
      </w:r>
      <w:r>
        <w:t xml:space="preserve">rabies vaccine adsorbed, </w:t>
      </w:r>
      <w:r>
        <w:rPr>
          <w:rFonts w:ascii="Times New Roman" w:eastAsia="Times New Roman" w:hAnsi="Times New Roman" w:cs="Times New Roman"/>
          <w:b/>
          <w:bCs/>
          <w:i/>
          <w:iCs/>
          <w:sz w:val="16"/>
          <w:szCs w:val="16"/>
        </w:rPr>
        <w:t>RVA) y la vacuna hecha de células purificadas de embriones de pollo (</w:t>
      </w:r>
      <w:r>
        <w:t xml:space="preserve">purified chicken embryo cell, </w:t>
      </w:r>
      <w:r>
        <w:rPr>
          <w:rFonts w:ascii="Times New Roman" w:eastAsia="Times New Roman" w:hAnsi="Times New Roman" w:cs="Times New Roman"/>
          <w:b/>
          <w:bCs/>
          <w:i/>
          <w:iCs/>
          <w:sz w:val="16"/>
          <w:szCs w:val="16"/>
        </w:rPr>
        <w:t>PCEC).</w:t>
      </w:r>
      <w:r>
        <w:t xml:space="preserve"> Las reacciones después de la vacunación, que han sido señaladas predominantemente en adultos, han sido menos frecuentes que después de utilizar las vacunas de uso previo. Las reacciones son poco comunes en niños. En los adultos se sabe que en 15 a 25% de los casos hay reacciones locales, como dolor, eritema, hinchazón o prurito, en el sitio de la inyección y se ha sabido que 10 a 20% de quienes la reciben presentan reacciones generales, como cefalea, náuseas, dolor abdominal, mialgias y mareos. También ha habido señalamientos de casos de trastornos del sistema nervioso similares al síndrome de Guillain-Barré que mostraron resolución sin dejar secuelas en término de 12 semanas, y un síndrome neurológico transitorio, generalizado y agudo vinculado temporalmente con HDCV, pero en opinión de los expertos no guarda relación causal.</w:t>
      </w:r>
    </w:p>
    <w:p w14:paraId="168D642E" w14:textId="77777777" w:rsidR="00D03C17" w:rsidRDefault="00D03C17">
      <w:pPr>
        <w:pStyle w:val="BodyText"/>
        <w:ind w:left="360" w:firstLine="380"/>
      </w:pPr>
      <w:r>
        <w:t>Se han observado reacciones inmunitarias similares a las causadas por complejos en personas que reciben dosis de refuerzo de HDCV, tal vez por la interacción entre la propiolactona y la albúmina humana. La reacción, que comienza dos a 21 días después de la inoculación, empieza con urticaria generalizada y puede incluir artralgias, artritis, angioedema, náuseas, vómitos, fiebre y malestar generalizado. La reacción no es letal y afecta incluso a 6% de los adultos que reciben dosis de refuerzo como parte de un régimen de vacunación previo a la exposición. Es rara en sujetos que reciben vacunación primaria con HDCV. No se han notificado con PCEC o RVA reacciones alérgicas similares con dosis primarias o de refuerzo.</w:t>
      </w:r>
    </w:p>
    <w:p w14:paraId="4948E7D7" w14:textId="77777777" w:rsidR="00D03C17" w:rsidRDefault="00D03C17">
      <w:pPr>
        <w:pStyle w:val="BodyText"/>
        <w:ind w:left="360" w:firstLine="380"/>
      </w:pPr>
      <w:r>
        <w:t>Si el niño tiene una grave reacción alérgica a HDCV, RVA o PCEC, puede aplicarse la vacuna siguiendo el mismo plan que se haría con HDCV. Hay que notificar inmediatamente a las autoridades idóneas todas las reacciones sospechadas, graves, sistémicas, neuroparalíticas o anafilácticas a la vacuna antirrábica (véase “Notificación de reacciones adversas”, sección 1).</w:t>
      </w:r>
    </w:p>
    <w:p w14:paraId="0CF3069D" w14:textId="77777777" w:rsidR="00D03C17" w:rsidRDefault="00D03C17">
      <w:pPr>
        <w:pStyle w:val="BodyText"/>
        <w:ind w:firstLine="740"/>
      </w:pPr>
      <w:r>
        <w:t xml:space="preserve">La inocuidad del uso de la vacuna antirrábica durante el embarazo no se ha estudiado específicamente en Estados Unidos, pero no habrá que considerarlo como contraindicación para usar dicho producto biológico después de exposición de la mujer. • </w:t>
      </w:r>
      <w:r>
        <w:rPr>
          <w:rFonts w:ascii="Times New Roman" w:eastAsia="Times New Roman" w:hAnsi="Times New Roman" w:cs="Times New Roman"/>
          <w:b/>
          <w:bCs/>
          <w:i/>
          <w:iCs/>
          <w:sz w:val="16"/>
          <w:szCs w:val="16"/>
        </w:rPr>
        <w:t>Vacunas de tejido nervioso.</w:t>
      </w:r>
      <w:r>
        <w:t xml:space="preserve"> En muchas zonas del mundo se cuenta con vacunas de tejido nervioso inactivado, pero en Estados Unidos no han sido aprobadas. Los preparados en cuestión inducen reacciones neuroparalíticas en un caso por cada 2 000 a 8 000 personas que la reciben. Si surgen reacciones meníngeas o neuroparalíticas será mejor interrumpir la vacunación con este tipo de vacuna. Se administran los corticosteroides para tratar las complicaciones, pero sólo deberán usarse en caso de reacciones letales porque agravan el peligro de rabia en animales inoculados experimentalmente.</w:t>
      </w:r>
    </w:p>
    <w:p w14:paraId="625170E7" w14:textId="77777777" w:rsidR="00D03C17" w:rsidRDefault="00D03C17">
      <w:pPr>
        <w:pStyle w:val="BodyText"/>
        <w:spacing w:line="276" w:lineRule="auto"/>
        <w:ind w:firstLine="360"/>
      </w:pPr>
      <w:r>
        <w:rPr>
          <w:rFonts w:ascii="Times New Roman" w:eastAsia="Times New Roman" w:hAnsi="Times New Roman" w:cs="Times New Roman"/>
          <w:b/>
          <w:bCs/>
          <w:i/>
          <w:iCs/>
          <w:sz w:val="16"/>
          <w:szCs w:val="16"/>
        </w:rPr>
        <w:t>Inmunización pasiva.</w:t>
      </w:r>
      <w:r>
        <w:t xml:space="preserve"> El concentrado de inmunoglobulinas contra la rabia humanas debe utilizarse junto con la primera dosis de vacuna para la profilaxia después de exposición y así cubrir el lapso entre la posible exposición a la enfermedad y la producción activa de anticuerpos inducida por la vacuna (véase cuadro 3-59). Si no se cuenta inmediatamente con la vacuna, habrá que administrar sólo el concentrado y más tarde emprender la vacunación. Si no se dispone inmediatamente del concentrado, habrá que aplicar la vacuna. Más adelante se administrará el concentrado inmunoglobulínico antirrábico si se obtiene en término de siete días de haber comenzado la vacunación. Si hay retraso en la administración de la vacuna y el concentrado, ambos deberán utilizarse sea cual sea el intervalo transcurrido entre la exposición y el tratamiento.</w:t>
      </w:r>
    </w:p>
    <w:p w14:paraId="69652CC6" w14:textId="77777777" w:rsidR="00D03C17" w:rsidRDefault="00D03C17">
      <w:pPr>
        <w:pStyle w:val="BodyText"/>
        <w:ind w:firstLine="360"/>
      </w:pPr>
      <w:r>
        <w:t>La dosis recomendada del concentrado inmunoglobulínico antirrábico es de 20 UI/kg de peso. La mayor cantidad de la dosis deberá infiltrarse en la herida si aún la hay. El resto se aplicará por vía intramuscular. En caso de múltiples heridas graves en que no basta el concentrado para infiltrarlo, se ha recomendado diluirlo en solución salina hasta obtener un volumen adecuado (doble o triple) y así asegurar que se hará la infiltración en todas las zonas lesionadas. En el caso de niños con una masa muscular pequeña, tal vez sea necesario aplicar el concentrado en múltiples sitios. El concentrado antirrábico humano se expende en ámpulas de 2 ml (300 UI) y frasco-ámpula de 10 ml (1 500 UI). La administración pasiva de los anticuerpos en cuestión inhibe la respuesta a la vacuna antirrábica y por ello es importante que no se exceda de la dosis recomendada. Nunca se aplicará la vacuna en las mismas zonas del cuerpo o con la misma jeringuilla utilizada para aplicar el concentrado. Rara vez surgen reacciones de hipersensibilidad al concentrado inmunoglobulínico, si es que surgen.</w:t>
      </w:r>
    </w:p>
    <w:p w14:paraId="6973A67B" w14:textId="77777777" w:rsidR="00D03C17" w:rsidRDefault="00D03C17">
      <w:pPr>
        <w:pStyle w:val="BodyText"/>
        <w:ind w:firstLine="360"/>
      </w:pPr>
      <w:r>
        <w:t>Fuera de Estados Unidos se cuenta con concentrado inmunoglobulínico antirrábico equino purificado que contiene anticuerpos contra la rabia y por lo común ocasiona una cifra pequeña de enfermedad del suero (&lt;1%). Se le aplica en una dosis de 40 UI/kg y puede ser necesaria la desensibilización.</w:t>
      </w:r>
    </w:p>
    <w:p w14:paraId="14C6B4DF" w14:textId="77777777" w:rsidR="00D03C17" w:rsidRDefault="00D03C17">
      <w:pPr>
        <w:pStyle w:val="BodyText"/>
        <w:ind w:firstLine="360"/>
      </w:pPr>
      <w:r>
        <w:t>No se recomienda aplicar el concentrado inmunoglobulínico antirrábico para las siguientes personas expuestas: 1) personas que recibieron profilaxia después de exposición con HDCV, RVA o PCEC; 2) los que fueron sometidos a un régimen de tres dosis intramusculares antes de la exposición que incluyó HDCV, RVA y PCEC; 3) personas que recibieron régimen de tres dosis intradérmicas previo a la exposición, de HDCV, con el producto utilizado en Estados Unidos y 4) individuos que tienen un título cuantificado y adecuado de anticuerpos contra la rabia después de vacunación previa con cualquier otra vacuna de este tipo. Estas personas deben recibir dos dosis de 1.0 ml de HDCV, RVA o PCEC; las dosis se aplican el mismo día de la exposición y tres días después.</w:t>
      </w:r>
    </w:p>
    <w:p w14:paraId="26158FFA" w14:textId="77777777" w:rsidR="00D03C17" w:rsidRDefault="00D03C17">
      <w:pPr>
        <w:pStyle w:val="BodyText"/>
        <w:spacing w:line="276" w:lineRule="auto"/>
        <w:ind w:firstLine="360"/>
      </w:pPr>
      <w:r>
        <w:rPr>
          <w:rFonts w:ascii="Arial" w:eastAsia="Arial" w:hAnsi="Arial" w:cs="Arial"/>
          <w:b/>
          <w:bCs/>
          <w:i/>
          <w:iCs/>
          <w:sz w:val="15"/>
          <w:szCs w:val="15"/>
        </w:rPr>
        <w:t>Medidas de erradicación después de exposición, incluida la vacunación.</w:t>
      </w:r>
      <w:r>
        <w:t xml:space="preserve"> La frecuencia relativamente pequeña de reacciones a HDCV, RVA y PCEC ha hecho que se torne práctica la vacunación previa a la exposición en miembros de grupos de alto riesgo, como veterinarios, personas que manipulan animales, algunos trabajadores de laboratorio e individuos que desplazan a zonas en que es frecuente la rabia de perros. También hay que pensar en la profilaxia previa a la exposición en otros individuos como los espeleólogos que exploran cavernas, que suelen tener exposiciones frecuentes a murciélagos u otros animales salvajes.</w:t>
      </w:r>
    </w:p>
    <w:p w14:paraId="24412FCE" w14:textId="77777777" w:rsidR="00D03C17" w:rsidRDefault="00D03C17">
      <w:pPr>
        <w:pStyle w:val="BodyText"/>
        <w:ind w:firstLine="360"/>
      </w:pPr>
      <w:r>
        <w:t xml:space="preserve">En Estados Unidos se ha aprobado la administración intramuscular de vacunas HDCV, RVA y PCEC. En épocas anteriores se contaba con presentaciones intradérmicas (0.1 ml) de HDCV para utilizar antes de la exposición. El plan de vacunación antes de la exposición incluye tres inyecciones intramusculares de 1 ml aplicadas en los días cero, siete y 21 </w:t>
      </w:r>
      <w:r>
        <w:rPr>
          <w:b/>
          <w:bCs/>
        </w:rPr>
        <w:t xml:space="preserve">o </w:t>
      </w:r>
      <w:r>
        <w:t>28. Esta serie de vacunaciones ha permitido que surjan anticuerpos en todas las personas vacunadas apropiadamente. Por esa razón, no está indicada la práctica sistemática de métodos serológicos para detectar anticuerpos antirrábicos.</w:t>
      </w:r>
    </w:p>
    <w:p w14:paraId="73D3BE56" w14:textId="77777777" w:rsidR="00D03C17" w:rsidRDefault="00D03C17">
      <w:pPr>
        <w:pStyle w:val="BodyText"/>
        <w:ind w:firstLine="360"/>
        <w:sectPr w:rsidR="00D03C17" w:rsidSect="00D03C17">
          <w:footnotePr>
            <w:numFmt w:val="chicago"/>
          </w:footnotePr>
          <w:type w:val="continuous"/>
          <w:pgSz w:w="8501" w:h="13022"/>
          <w:pgMar w:top="883" w:right="877" w:bottom="513" w:left="746" w:header="0" w:footer="3" w:gutter="0"/>
          <w:cols w:space="720"/>
          <w:noEndnote/>
          <w:docGrid w:linePitch="360"/>
          <w15:footnoteColumns w:val="1"/>
        </w:sectPr>
      </w:pPr>
      <w:r>
        <w:t xml:space="preserve">Los anticuerpos séricos suelen persistir dos años, como mínimo después de la aplicación intramuscular de la serie primaria. La aplicación de una dosis de refuerzo (1.0 ml de HDCV, RVA o PCEC) por vía intramuscular antes de la exposición desencadenará una respuesta anamnésica eficaz. Habrá que medir los títulos de anticuerpos séricos contra la rabia a intervalos de seis meses en personas con el peligro ininterrumpido de infección (personas que trabajan en el laboratorio de investigación de la enfermedad, o que intervienen en la fabricación de productos biológicos también contra la rabia). Habría que cuantificar cada dos años, en promedio, los títulos en individuos con riesgo de exposición frecuente (trabajadores de laboratorios en los que se diagnostica rabia, espeleólogos, veterinarios y personal, así como trabajadores que se ocupan del aspecto de la vida salvaje y del exterminio de animales en zonas en que la rabia es enzoótica). Hay que administrar dosis de refuerzo de la vacuna sólo en la medida en que sea adecuado para conservar las concentraciones de anticuerpos séricos. En Estados Unidos los </w:t>
      </w:r>
      <w:r>
        <w:rPr>
          <w:rFonts w:ascii="Times New Roman" w:eastAsia="Times New Roman" w:hAnsi="Times New Roman" w:cs="Times New Roman"/>
          <w:i/>
          <w:iCs/>
          <w:sz w:val="16"/>
          <w:szCs w:val="16"/>
        </w:rPr>
        <w:t xml:space="preserve">Centers for Disease Control and Prevention </w:t>
      </w:r>
      <w:r>
        <w:t>especifican que es aceptable la neutralización vírica completa con un título de 1:5 o mayor, por medio de la prueba de inhibición fluorescente rápida; la Organización Mundial de la Salud especifica una cifra más aceptable que es 0.5 UI/ml o más.</w:t>
      </w:r>
    </w:p>
    <w:p w14:paraId="1D39D48B" w14:textId="77777777" w:rsidR="00D03C17" w:rsidRDefault="00D03C17">
      <w:pPr>
        <w:pStyle w:val="BodyText"/>
        <w:ind w:firstLine="360"/>
      </w:pPr>
      <w:r>
        <w:rPr>
          <w:rFonts w:ascii="Arial" w:eastAsia="Arial" w:hAnsi="Arial" w:cs="Arial"/>
          <w:b/>
          <w:bCs/>
          <w:i/>
          <w:iCs/>
          <w:sz w:val="15"/>
          <w:szCs w:val="15"/>
        </w:rPr>
        <w:t>Sanidad</w:t>
      </w:r>
      <w:r>
        <w:rPr>
          <w:i/>
          <w:iCs/>
        </w:rPr>
        <w:t>.</w:t>
      </w:r>
      <w:r>
        <w:t xml:space="preserve"> Para la lucha contra la rabia en animales* se han utilizado muy diversas medidas sanitarias aprobadas, que incluyen la vacunación de perros, gatos y hurones y la eliminación de perros callejeros y algunas especies escogidas de animales salvajes. En regiones en que se emprende la inmunización oral de animales salvajes, tal vez ha disminuido la incidencia de rabia en zorros, coyotes y mapaches. Hay que sacrificar sin dolor inmediatamente a todo animal no vacunado, como perros, gatos, hurones u otras mascotas que han sido mordidas por un animal rabioso declarado. Si el propietario no desea que se sacrifique a su animal, habrá que imponer aislamiento estricto durante seis meses y vacunarlo un mes antes de liberarlo. Si el animal fue vacunado en término de 12 a 36 meses anteriores, según la vacuna aplicada y las normas locales se le vacunará de nuevo y se le observará durante 45 días.</w:t>
      </w:r>
    </w:p>
    <w:p w14:paraId="4E9B902B" w14:textId="77777777" w:rsidR="00D03C17" w:rsidRDefault="00D03C17">
      <w:pPr>
        <w:pStyle w:val="BodyText"/>
        <w:spacing w:after="60" w:line="298" w:lineRule="auto"/>
        <w:ind w:firstLine="360"/>
      </w:pPr>
      <w:r>
        <w:rPr>
          <w:rFonts w:ascii="Arial" w:eastAsia="Arial" w:hAnsi="Arial" w:cs="Arial"/>
          <w:b/>
          <w:bCs/>
          <w:i/>
          <w:iCs/>
          <w:sz w:val="15"/>
          <w:szCs w:val="15"/>
        </w:rPr>
        <w:t>Notificación de casos.</w:t>
      </w:r>
      <w:r>
        <w:t xml:space="preserve"> Es necesario notificar inmediatamente a las autoridades sanitarias cualquier caso sospechado de rabia.</w:t>
      </w:r>
    </w:p>
    <w:p w14:paraId="40F699E3" w14:textId="77777777" w:rsidR="00D03C17" w:rsidRDefault="00D03C17">
      <w:pPr>
        <w:pStyle w:val="Bodytext70"/>
        <w:spacing w:after="0"/>
      </w:pPr>
      <w:r>
        <w:t>Rata, fiebre por mordedura</w:t>
      </w:r>
    </w:p>
    <w:p w14:paraId="4F7A7241" w14:textId="77777777" w:rsidR="00D03C17" w:rsidRDefault="00D03C17">
      <w:pPr>
        <w:pStyle w:val="BodyText"/>
        <w:spacing w:line="276" w:lineRule="auto"/>
        <w:ind w:firstLine="0"/>
      </w:pPr>
      <w:r>
        <w:rPr>
          <w:b/>
          <w:bCs/>
        </w:rPr>
        <w:t>M</w:t>
      </w:r>
      <w:r>
        <w:rPr>
          <w:b/>
          <w:bCs/>
          <w:sz w:val="13"/>
          <w:szCs w:val="13"/>
        </w:rPr>
        <w:t>ANIFESTACIONES CLÍNICAS</w:t>
      </w:r>
      <w:r>
        <w:rPr>
          <w:b/>
          <w:bCs/>
        </w:rPr>
        <w:t xml:space="preserve">: </w:t>
      </w:r>
      <w:r>
        <w:t xml:space="preserve">La enfermedad en cuestión es causada por </w:t>
      </w:r>
      <w:r>
        <w:rPr>
          <w:rFonts w:ascii="Times New Roman" w:eastAsia="Times New Roman" w:hAnsi="Times New Roman" w:cs="Times New Roman"/>
          <w:i/>
          <w:iCs/>
          <w:sz w:val="16"/>
          <w:szCs w:val="16"/>
        </w:rPr>
        <w:t>Streptobacillus moniliformis</w:t>
      </w:r>
      <w:r>
        <w:t xml:space="preserve"> (fiebre por mordedura de rata) o </w:t>
      </w:r>
      <w:r>
        <w:rPr>
          <w:rFonts w:ascii="Times New Roman" w:eastAsia="Times New Roman" w:hAnsi="Times New Roman" w:cs="Times New Roman"/>
          <w:i/>
          <w:iCs/>
          <w:sz w:val="16"/>
          <w:szCs w:val="16"/>
        </w:rPr>
        <w:t>Spirillum minus</w:t>
      </w:r>
      <w:r>
        <w:t xml:space="preserve"> (sodoku). La primera enfermedad (fiebre estreptobacilar o de Haverhill) se caracteriza por fiebre, escalofríos, maculopápulas o petequias predominantemente en la extremidades, mialgias, vómitos, cefalea y a veces adenopatía, cuadro de comienzo repentino. El sitio de la mordedura por lo común cicatrizó sin complicaciones y no muestra inflamación, o si la tiene es mínima. En cerca de la mitad de los enfermos aparece después poliartritis migratoria no supurada o artralgias. Sin tratamiento, la infección sigue una evolución recidivante durante unas tres semanas. Entre las complicaciones están absceso en partes blandas y órganos sólidos, neumonía, endocarditis, miocarditis y meningitis. En el caso de la infección por </w:t>
      </w:r>
      <w:r>
        <w:rPr>
          <w:rFonts w:ascii="Times New Roman" w:eastAsia="Times New Roman" w:hAnsi="Times New Roman" w:cs="Times New Roman"/>
          <w:i/>
          <w:iCs/>
          <w:sz w:val="16"/>
          <w:szCs w:val="16"/>
        </w:rPr>
        <w:t xml:space="preserve">S. minus </w:t>
      </w:r>
      <w:r>
        <w:t xml:space="preserve">(sodoku) después de un periodo de curación inicial aparente en el sitio de la mordedura, surgen fiebre y úlceras en él, linfangitis y linfadenopatía regionales, una erupción peculiar con placas o manchas rojas o violáceas y, en raras ocasiones, síntomas artríticos. La infección por </w:t>
      </w:r>
      <w:r>
        <w:rPr>
          <w:rFonts w:ascii="Times New Roman" w:eastAsia="Times New Roman" w:hAnsi="Times New Roman" w:cs="Times New Roman"/>
          <w:i/>
          <w:iCs/>
          <w:sz w:val="16"/>
          <w:szCs w:val="16"/>
        </w:rPr>
        <w:t>S. minus</w:t>
      </w:r>
      <w:r>
        <w:t xml:space="preserve"> es poco común en Estados Unidos.</w:t>
      </w:r>
    </w:p>
    <w:p w14:paraId="277E0AD2" w14:textId="77777777" w:rsidR="00D03C17" w:rsidRDefault="00D03C17">
      <w:pPr>
        <w:pStyle w:val="BodyText"/>
        <w:spacing w:line="276" w:lineRule="auto"/>
        <w:ind w:firstLine="0"/>
      </w:pPr>
      <w:r>
        <w:rPr>
          <w:b/>
          <w:bCs/>
        </w:rPr>
        <w:t>C</w:t>
      </w:r>
      <w:r>
        <w:rPr>
          <w:b/>
          <w:bCs/>
          <w:sz w:val="13"/>
          <w:szCs w:val="13"/>
        </w:rPr>
        <w:t>AUSAS</w:t>
      </w:r>
      <w:r>
        <w:rPr>
          <w:b/>
          <w:bCs/>
        </w:rPr>
        <w:t xml:space="preserve">: </w:t>
      </w:r>
      <w:r>
        <w:t xml:space="preserve">En el caso de la fiebre por mordedura de rata, el agente patógeno es </w:t>
      </w:r>
      <w:r>
        <w:rPr>
          <w:rFonts w:ascii="Times New Roman" w:eastAsia="Times New Roman" w:hAnsi="Times New Roman" w:cs="Times New Roman"/>
          <w:i/>
          <w:iCs/>
          <w:sz w:val="16"/>
          <w:szCs w:val="16"/>
        </w:rPr>
        <w:t>Streptobacillus moniliformis</w:t>
      </w:r>
      <w:r>
        <w:t xml:space="preserve">, un bacilo pleomórfico, gramnegativo, microaerófilo, y en el caso de sodoku lo es </w:t>
      </w:r>
      <w:r>
        <w:rPr>
          <w:rFonts w:ascii="Times New Roman" w:eastAsia="Times New Roman" w:hAnsi="Times New Roman" w:cs="Times New Roman"/>
          <w:i/>
          <w:iCs/>
          <w:sz w:val="16"/>
          <w:szCs w:val="16"/>
        </w:rPr>
        <w:t>Spirillum minus</w:t>
      </w:r>
      <w:r>
        <w:rPr>
          <w:i/>
          <w:iCs/>
        </w:rPr>
        <w:t>,</w:t>
      </w:r>
      <w:r>
        <w:t xml:space="preserve"> un germen pequeño espirilar gramnegativo con “penachos” de flagelos en ambos polos.</w:t>
      </w:r>
    </w:p>
    <w:p w14:paraId="2971E0A6" w14:textId="77777777" w:rsidR="00D03C17" w:rsidRDefault="00D03C17">
      <w:pPr>
        <w:pStyle w:val="BodyText"/>
        <w:ind w:firstLine="0"/>
      </w:pPr>
      <w:r>
        <w:rPr>
          <w:b/>
          <w:bCs/>
        </w:rPr>
        <w:t>A</w:t>
      </w:r>
      <w:r>
        <w:rPr>
          <w:b/>
          <w:bCs/>
          <w:sz w:val="13"/>
          <w:szCs w:val="13"/>
        </w:rPr>
        <w:t>SPECTOS EPIDEMIOLÓGICOS</w:t>
      </w:r>
      <w:r>
        <w:rPr>
          <w:b/>
          <w:bCs/>
        </w:rPr>
        <w:t xml:space="preserve">: </w:t>
      </w:r>
      <w:r>
        <w:t xml:space="preserve">La fiebre por mordedura de rata es un trastorno zoonótico. El hábitat natural de los dos microorganismos patógenos es las vías respiratorias altas de los roedores. </w:t>
      </w:r>
      <w:r>
        <w:rPr>
          <w:rFonts w:ascii="Times New Roman" w:eastAsia="Times New Roman" w:hAnsi="Times New Roman" w:cs="Times New Roman"/>
          <w:i/>
          <w:iCs/>
          <w:sz w:val="16"/>
          <w:szCs w:val="16"/>
        </w:rPr>
        <w:t>Streptobacillus moniliformis</w:t>
      </w:r>
      <w:r>
        <w:t xml:space="preserve"> es transmitido por mordeduras de ratas, ardillas, ratones, gatos y comadrejas, por ingestión de alimentos o productos lácteos contaminados y por contacto con un animal infectado. El término </w:t>
      </w:r>
      <w:r>
        <w:rPr>
          <w:rFonts w:ascii="Times New Roman" w:eastAsia="Times New Roman" w:hAnsi="Times New Roman" w:cs="Times New Roman"/>
          <w:i/>
          <w:iCs/>
          <w:sz w:val="16"/>
          <w:szCs w:val="16"/>
        </w:rPr>
        <w:t>fiebre de Haverhill</w:t>
      </w:r>
      <w:r>
        <w:t xml:space="preserve"> denota la infección después de ingerir leche o agua contaminados por </w:t>
      </w:r>
      <w:r>
        <w:rPr>
          <w:rFonts w:ascii="Times New Roman" w:eastAsia="Times New Roman" w:hAnsi="Times New Roman" w:cs="Times New Roman"/>
          <w:i/>
          <w:iCs/>
          <w:sz w:val="16"/>
          <w:szCs w:val="16"/>
        </w:rPr>
        <w:t>S. moniliformis</w:t>
      </w:r>
      <w:r>
        <w:t xml:space="preserve">. </w:t>
      </w:r>
      <w:r>
        <w:rPr>
          <w:rFonts w:ascii="Times New Roman" w:eastAsia="Times New Roman" w:hAnsi="Times New Roman" w:cs="Times New Roman"/>
          <w:i/>
          <w:iCs/>
          <w:sz w:val="16"/>
          <w:szCs w:val="16"/>
        </w:rPr>
        <w:t>Spirillum minus</w:t>
      </w:r>
      <w:r>
        <w:t xml:space="preserve"> es transmitido por mordeduras de ratas y ratones. La infección por </w:t>
      </w:r>
      <w:r>
        <w:rPr>
          <w:rFonts w:ascii="Times New Roman" w:eastAsia="Times New Roman" w:hAnsi="Times New Roman" w:cs="Times New Roman"/>
          <w:i/>
          <w:iCs/>
          <w:sz w:val="16"/>
          <w:szCs w:val="16"/>
        </w:rPr>
        <w:t>S. moniliformis</w:t>
      </w:r>
      <w:r>
        <w:t xml:space="preserve"> es la que explica casi todos los casos de fiebre por mordedura de rata en Estados Unidos, en tanto que la causada por </w:t>
      </w:r>
      <w:r>
        <w:rPr>
          <w:rFonts w:ascii="Times New Roman" w:eastAsia="Times New Roman" w:hAnsi="Times New Roman" w:cs="Times New Roman"/>
          <w:i/>
          <w:iCs/>
          <w:sz w:val="16"/>
          <w:szCs w:val="16"/>
        </w:rPr>
        <w:t>S. minus</w:t>
      </w:r>
      <w:r>
        <w:t xml:space="preserve"> se observa más bien en Asia.</w:t>
      </w:r>
    </w:p>
    <w:p w14:paraId="10C4094A" w14:textId="77777777" w:rsidR="00D03C17" w:rsidRDefault="00D03C17">
      <w:pPr>
        <w:pStyle w:val="BodyText"/>
        <w:ind w:firstLine="360"/>
        <w:sectPr w:rsidR="00D03C17" w:rsidSect="00D03C17">
          <w:headerReference w:type="even" r:id="rId272"/>
          <w:headerReference w:type="default" r:id="rId273"/>
          <w:footerReference w:type="even" r:id="rId274"/>
          <w:footerReference w:type="default" r:id="rId275"/>
          <w:footnotePr>
            <w:numFmt w:val="chicago"/>
          </w:footnotePr>
          <w:pgSz w:w="8501" w:h="13022"/>
          <w:pgMar w:top="936" w:right="518" w:bottom="1493" w:left="1123" w:header="0" w:footer="3" w:gutter="0"/>
          <w:cols w:space="720"/>
          <w:noEndnote/>
          <w:docGrid w:linePitch="360"/>
          <w15:footnoteColumns w:val="1"/>
        </w:sectPr>
      </w:pPr>
      <w:r>
        <w:t xml:space="preserve">El </w:t>
      </w:r>
      <w:r>
        <w:rPr>
          <w:b/>
          <w:bCs/>
        </w:rPr>
        <w:t xml:space="preserve">periodo de incubación </w:t>
      </w:r>
      <w:r>
        <w:t xml:space="preserve">de </w:t>
      </w:r>
      <w:r>
        <w:rPr>
          <w:rFonts w:ascii="Times New Roman" w:eastAsia="Times New Roman" w:hAnsi="Times New Roman" w:cs="Times New Roman"/>
          <w:i/>
          <w:iCs/>
          <w:sz w:val="16"/>
          <w:szCs w:val="16"/>
        </w:rPr>
        <w:t>S. moniliformis</w:t>
      </w:r>
      <w:r>
        <w:t xml:space="preserve"> va de tres a 10 días, pero puede durar tres semanas; en el caso de </w:t>
      </w:r>
      <w:r>
        <w:rPr>
          <w:rFonts w:ascii="Times New Roman" w:eastAsia="Times New Roman" w:hAnsi="Times New Roman" w:cs="Times New Roman"/>
          <w:i/>
          <w:iCs/>
          <w:sz w:val="16"/>
          <w:szCs w:val="16"/>
        </w:rPr>
        <w:t>S. minus</w:t>
      </w:r>
      <w:r>
        <w:t>, más de siete a 21 días.</w:t>
      </w:r>
    </w:p>
    <w:p w14:paraId="4BA50C36" w14:textId="77777777" w:rsidR="00D03C17" w:rsidRDefault="00D03C17">
      <w:pPr>
        <w:pStyle w:val="BodyText"/>
        <w:ind w:firstLine="360"/>
      </w:pPr>
      <w:r>
        <w:rPr>
          <w:rFonts w:ascii="Arial" w:eastAsia="Arial" w:hAnsi="Arial" w:cs="Arial"/>
          <w:b/>
          <w:bCs/>
          <w:i/>
          <w:iCs/>
          <w:sz w:val="15"/>
          <w:szCs w:val="15"/>
        </w:rPr>
        <w:t>Sanidad</w:t>
      </w:r>
      <w:r>
        <w:rPr>
          <w:i/>
          <w:iCs/>
        </w:rPr>
        <w:t>.</w:t>
      </w:r>
      <w:r>
        <w:t xml:space="preserve"> Para la lucha contra la rabia en animales* se han utilizado muy diversas medidas sanitarias aprobadas, que incluyen la vacunación de perros, gatos y hurones y la eliminación de perros callejeros y algunas especies escogidas de animales salvajes. En regiones en que se emprende la inmunización oral de animales salvajes, tal vez ha disminuido la incidencia de rabia en zorros, coyotes y mapaches. Hay que sacrificar sin dolor inmediatamente a todo animal no vacunado, como perros, gatos, hurones u otras mascotas que han sido mordidas por un animal rabioso declarado. Si el propietario no desea que se sacrifique a su animal, habrá que imponer aislamiento estricto durante seis meses y vacunarlo un mes antes de liberarlo. Si el animal fue vacunado en término de 12 a 36 meses anteriores, según la vacuna aplicada y las normas locales se le vacunará de nuevo y se le observará durante 45 días.</w:t>
      </w:r>
    </w:p>
    <w:p w14:paraId="15D25387" w14:textId="77777777" w:rsidR="00D03C17" w:rsidRDefault="00D03C17">
      <w:pPr>
        <w:pStyle w:val="BodyText"/>
        <w:spacing w:after="60" w:line="298" w:lineRule="auto"/>
        <w:ind w:firstLine="360"/>
      </w:pPr>
      <w:r>
        <w:rPr>
          <w:rFonts w:ascii="Arial" w:eastAsia="Arial" w:hAnsi="Arial" w:cs="Arial"/>
          <w:b/>
          <w:bCs/>
          <w:i/>
          <w:iCs/>
          <w:sz w:val="15"/>
          <w:szCs w:val="15"/>
        </w:rPr>
        <w:t>Notificación de casos.</w:t>
      </w:r>
      <w:r>
        <w:t xml:space="preserve"> Es necesario notificar inmediatamente a las autoridades sanitarias cualquier caso sospechado de rabia.</w:t>
      </w:r>
    </w:p>
    <w:p w14:paraId="40DB28B3" w14:textId="77777777" w:rsidR="00D03C17" w:rsidRDefault="00D03C17">
      <w:pPr>
        <w:pStyle w:val="Bodytext70"/>
        <w:spacing w:after="0"/>
      </w:pPr>
      <w:r>
        <w:t>Rata, fiebre por mordedura</w:t>
      </w:r>
    </w:p>
    <w:p w14:paraId="32B53FE2" w14:textId="77777777" w:rsidR="00D03C17" w:rsidRDefault="00D03C17">
      <w:pPr>
        <w:pStyle w:val="BodyText"/>
        <w:spacing w:line="276" w:lineRule="auto"/>
        <w:ind w:firstLine="0"/>
      </w:pPr>
      <w:r>
        <w:rPr>
          <w:b/>
          <w:bCs/>
        </w:rPr>
        <w:t>M</w:t>
      </w:r>
      <w:r>
        <w:rPr>
          <w:b/>
          <w:bCs/>
          <w:sz w:val="13"/>
          <w:szCs w:val="13"/>
        </w:rPr>
        <w:t>ANIFESTACIONES CLÍNICAS</w:t>
      </w:r>
      <w:r>
        <w:rPr>
          <w:b/>
          <w:bCs/>
        </w:rPr>
        <w:t xml:space="preserve">: </w:t>
      </w:r>
      <w:r>
        <w:t xml:space="preserve">La enfermedad en cuestión es causada por </w:t>
      </w:r>
      <w:r>
        <w:rPr>
          <w:rFonts w:ascii="Times New Roman" w:eastAsia="Times New Roman" w:hAnsi="Times New Roman" w:cs="Times New Roman"/>
          <w:i/>
          <w:iCs/>
          <w:sz w:val="16"/>
          <w:szCs w:val="16"/>
        </w:rPr>
        <w:t>Streptobacillus moniliformis</w:t>
      </w:r>
      <w:r>
        <w:t xml:space="preserve"> (fiebre por mordedura de rata) o </w:t>
      </w:r>
      <w:r>
        <w:rPr>
          <w:rFonts w:ascii="Times New Roman" w:eastAsia="Times New Roman" w:hAnsi="Times New Roman" w:cs="Times New Roman"/>
          <w:i/>
          <w:iCs/>
          <w:sz w:val="16"/>
          <w:szCs w:val="16"/>
        </w:rPr>
        <w:t>Spirillum minus</w:t>
      </w:r>
      <w:r>
        <w:t xml:space="preserve"> (sodoku). La primera enfermedad (fiebre estreptobacilar o de Haverhill) se caracteriza por fiebre, escalofríos, maculopápulas o petequias predominantemente en la extremidades, mialgias, vómitos, cefalea y a veces adenopatía, cuadro de comienzo repentino. El sitio de la mordedura por lo común cicatrizó sin complicaciones y no muestra inflamación, o si la tiene es mínima. En cerca de la mitad de los enfermos aparece después poliartritis migratoria no supurada o artralgias. Sin tratamiento, la infección sigue una evolución recidivante durante unas tres semanas. Entre las complicaciones están absceso en partes blandas y órganos sólidos, neumonía, endocarditis, miocarditis y meningitis. En el caso de la infección por </w:t>
      </w:r>
      <w:r>
        <w:rPr>
          <w:rFonts w:ascii="Times New Roman" w:eastAsia="Times New Roman" w:hAnsi="Times New Roman" w:cs="Times New Roman"/>
          <w:i/>
          <w:iCs/>
          <w:sz w:val="16"/>
          <w:szCs w:val="16"/>
        </w:rPr>
        <w:t xml:space="preserve">S. minus </w:t>
      </w:r>
      <w:r>
        <w:t xml:space="preserve">(sodoku) después de un periodo de curación inicial aparente en el sitio de la mordedura, surgen fiebre y úlceras en él, linfangitis y linfadenopatía regionales, una erupción peculiar con placas o manchas rojas o violáceas y, en raras ocasiones, síntomas artríticos. La infección por </w:t>
      </w:r>
      <w:r>
        <w:rPr>
          <w:rFonts w:ascii="Times New Roman" w:eastAsia="Times New Roman" w:hAnsi="Times New Roman" w:cs="Times New Roman"/>
          <w:i/>
          <w:iCs/>
          <w:sz w:val="16"/>
          <w:szCs w:val="16"/>
        </w:rPr>
        <w:t>S. minus</w:t>
      </w:r>
      <w:r>
        <w:t xml:space="preserve"> es poco común en Estados Unidos.</w:t>
      </w:r>
    </w:p>
    <w:p w14:paraId="6E60874F" w14:textId="77777777" w:rsidR="00D03C17" w:rsidRDefault="00D03C17">
      <w:pPr>
        <w:pStyle w:val="BodyText"/>
        <w:spacing w:line="276" w:lineRule="auto"/>
        <w:ind w:firstLine="0"/>
      </w:pPr>
      <w:r>
        <w:rPr>
          <w:b/>
          <w:bCs/>
        </w:rPr>
        <w:t>C</w:t>
      </w:r>
      <w:r>
        <w:rPr>
          <w:b/>
          <w:bCs/>
          <w:sz w:val="13"/>
          <w:szCs w:val="13"/>
        </w:rPr>
        <w:t>AUSAS</w:t>
      </w:r>
      <w:r>
        <w:rPr>
          <w:b/>
          <w:bCs/>
        </w:rPr>
        <w:t xml:space="preserve">: </w:t>
      </w:r>
      <w:r>
        <w:t xml:space="preserve">En el caso de la fiebre por mordedura de rata, el agente patógeno es </w:t>
      </w:r>
      <w:r>
        <w:rPr>
          <w:rFonts w:ascii="Times New Roman" w:eastAsia="Times New Roman" w:hAnsi="Times New Roman" w:cs="Times New Roman"/>
          <w:i/>
          <w:iCs/>
          <w:sz w:val="16"/>
          <w:szCs w:val="16"/>
        </w:rPr>
        <w:t>Streptobacillus moniliformis</w:t>
      </w:r>
      <w:r>
        <w:t xml:space="preserve">, un bacilo pleomórfico, gramnegativo, microaerófilo, y en el caso de sodoku lo es </w:t>
      </w:r>
      <w:r>
        <w:rPr>
          <w:rFonts w:ascii="Times New Roman" w:eastAsia="Times New Roman" w:hAnsi="Times New Roman" w:cs="Times New Roman"/>
          <w:i/>
          <w:iCs/>
          <w:sz w:val="16"/>
          <w:szCs w:val="16"/>
        </w:rPr>
        <w:t>Spirillum minus</w:t>
      </w:r>
      <w:r>
        <w:rPr>
          <w:i/>
          <w:iCs/>
        </w:rPr>
        <w:t>,</w:t>
      </w:r>
      <w:r>
        <w:t xml:space="preserve"> un germen pequeño espirilar gramnegativo con “penachos” de flagelos en ambos polos.</w:t>
      </w:r>
    </w:p>
    <w:p w14:paraId="0833C31C" w14:textId="77777777" w:rsidR="00D03C17" w:rsidRDefault="00D03C17">
      <w:pPr>
        <w:pStyle w:val="BodyText"/>
        <w:ind w:firstLine="0"/>
      </w:pPr>
      <w:r>
        <w:rPr>
          <w:b/>
          <w:bCs/>
        </w:rPr>
        <w:t>A</w:t>
      </w:r>
      <w:r>
        <w:rPr>
          <w:b/>
          <w:bCs/>
          <w:sz w:val="13"/>
          <w:szCs w:val="13"/>
        </w:rPr>
        <w:t>SPECTOS EPIDEMIOLÓGICOS</w:t>
      </w:r>
      <w:r>
        <w:rPr>
          <w:b/>
          <w:bCs/>
        </w:rPr>
        <w:t xml:space="preserve">: </w:t>
      </w:r>
      <w:r>
        <w:t xml:space="preserve">La fiebre por mordedura de rata es un trastorno zoonótico. El hábitat natural de los dos microorganismos patógenos es las vías respiratorias altas de los roedores. </w:t>
      </w:r>
      <w:r>
        <w:rPr>
          <w:rFonts w:ascii="Times New Roman" w:eastAsia="Times New Roman" w:hAnsi="Times New Roman" w:cs="Times New Roman"/>
          <w:i/>
          <w:iCs/>
          <w:sz w:val="16"/>
          <w:szCs w:val="16"/>
        </w:rPr>
        <w:t>Streptobacillus moniliformis</w:t>
      </w:r>
      <w:r>
        <w:t xml:space="preserve"> es transmitido por mordeduras de ratas, ardillas, ratones, gatos y comadrejas, por ingestión de alimentos o productos lácteos contaminados y por contacto con un animal infectado. El término </w:t>
      </w:r>
      <w:r>
        <w:rPr>
          <w:rFonts w:ascii="Times New Roman" w:eastAsia="Times New Roman" w:hAnsi="Times New Roman" w:cs="Times New Roman"/>
          <w:i/>
          <w:iCs/>
          <w:sz w:val="16"/>
          <w:szCs w:val="16"/>
        </w:rPr>
        <w:t>fiebre de Haverhill</w:t>
      </w:r>
      <w:r>
        <w:t xml:space="preserve"> denota la infección después de ingerir leche o agua contaminados por </w:t>
      </w:r>
      <w:r>
        <w:rPr>
          <w:rFonts w:ascii="Times New Roman" w:eastAsia="Times New Roman" w:hAnsi="Times New Roman" w:cs="Times New Roman"/>
          <w:i/>
          <w:iCs/>
          <w:sz w:val="16"/>
          <w:szCs w:val="16"/>
        </w:rPr>
        <w:t>S. moniliformis</w:t>
      </w:r>
      <w:r>
        <w:t xml:space="preserve">. </w:t>
      </w:r>
      <w:r>
        <w:rPr>
          <w:rFonts w:ascii="Times New Roman" w:eastAsia="Times New Roman" w:hAnsi="Times New Roman" w:cs="Times New Roman"/>
          <w:i/>
          <w:iCs/>
          <w:sz w:val="16"/>
          <w:szCs w:val="16"/>
        </w:rPr>
        <w:t>Spirillum minus</w:t>
      </w:r>
      <w:r>
        <w:t xml:space="preserve"> es transmitido por mordeduras de ratas y ratones. La infección por </w:t>
      </w:r>
      <w:r>
        <w:rPr>
          <w:rFonts w:ascii="Times New Roman" w:eastAsia="Times New Roman" w:hAnsi="Times New Roman" w:cs="Times New Roman"/>
          <w:i/>
          <w:iCs/>
          <w:sz w:val="16"/>
          <w:szCs w:val="16"/>
        </w:rPr>
        <w:t>S. moniliformis</w:t>
      </w:r>
      <w:r>
        <w:t xml:space="preserve"> es la que explica casi todos los casos de fiebre por mordedura de rata en Estados Unidos, en tanto que la causada por </w:t>
      </w:r>
      <w:r>
        <w:rPr>
          <w:rFonts w:ascii="Times New Roman" w:eastAsia="Times New Roman" w:hAnsi="Times New Roman" w:cs="Times New Roman"/>
          <w:i/>
          <w:iCs/>
          <w:sz w:val="16"/>
          <w:szCs w:val="16"/>
        </w:rPr>
        <w:t>S. minus</w:t>
      </w:r>
      <w:r>
        <w:t xml:space="preserve"> se observa más bien en Asia.</w:t>
      </w:r>
    </w:p>
    <w:p w14:paraId="44D0C1BE" w14:textId="77777777" w:rsidR="00D03C17" w:rsidRDefault="00D03C17">
      <w:pPr>
        <w:pStyle w:val="BodyText"/>
        <w:ind w:firstLine="360"/>
        <w:sectPr w:rsidR="00D03C17" w:rsidSect="00D03C17">
          <w:footnotePr>
            <w:numFmt w:val="chicago"/>
          </w:footnotePr>
          <w:pgSz w:w="8501" w:h="13022"/>
          <w:pgMar w:top="936" w:right="518" w:bottom="1493" w:left="1123" w:header="0" w:footer="3" w:gutter="0"/>
          <w:pgNumType w:start="685"/>
          <w:cols w:space="720"/>
          <w:noEndnote/>
          <w:docGrid w:linePitch="360"/>
          <w15:footnoteColumns w:val="1"/>
        </w:sectPr>
      </w:pPr>
      <w:r>
        <w:t xml:space="preserve">El </w:t>
      </w:r>
      <w:r>
        <w:rPr>
          <w:b/>
          <w:bCs/>
        </w:rPr>
        <w:t xml:space="preserve">periodo de incubación </w:t>
      </w:r>
      <w:r>
        <w:t xml:space="preserve">de </w:t>
      </w:r>
      <w:r>
        <w:rPr>
          <w:rFonts w:ascii="Times New Roman" w:eastAsia="Times New Roman" w:hAnsi="Times New Roman" w:cs="Times New Roman"/>
          <w:i/>
          <w:iCs/>
          <w:sz w:val="16"/>
          <w:szCs w:val="16"/>
        </w:rPr>
        <w:t>S. moniliformis</w:t>
      </w:r>
      <w:r>
        <w:t xml:space="preserve"> va de tres a 10 días, pero puede durar tres semanas; en el caso de </w:t>
      </w:r>
      <w:r>
        <w:rPr>
          <w:rFonts w:ascii="Times New Roman" w:eastAsia="Times New Roman" w:hAnsi="Times New Roman" w:cs="Times New Roman"/>
          <w:i/>
          <w:iCs/>
          <w:sz w:val="16"/>
          <w:szCs w:val="16"/>
        </w:rPr>
        <w:t>S. minus</w:t>
      </w:r>
      <w:r>
        <w:t>, más de siete a 21 días.</w:t>
      </w:r>
    </w:p>
    <w:p w14:paraId="17A5752F" w14:textId="77777777" w:rsidR="00D03C17" w:rsidRDefault="00D03C17">
      <w:pPr>
        <w:pStyle w:val="BodyText"/>
        <w:ind w:firstLine="0"/>
      </w:pPr>
      <w:r>
        <w:rPr>
          <w:b/>
          <w:bCs/>
        </w:rPr>
        <w:t>M</w:t>
      </w:r>
      <w:r>
        <w:rPr>
          <w:b/>
          <w:bCs/>
          <w:sz w:val="13"/>
          <w:szCs w:val="13"/>
        </w:rPr>
        <w:t>ÉTODOS DIAGNÓSTICOS</w:t>
      </w:r>
      <w:r>
        <w:rPr>
          <w:b/>
          <w:bCs/>
        </w:rPr>
        <w:t xml:space="preserve">: </w:t>
      </w:r>
      <w:r>
        <w:t xml:space="preserve">Se puede aislar </w:t>
      </w:r>
      <w:r>
        <w:rPr>
          <w:rFonts w:ascii="Times New Roman" w:eastAsia="Times New Roman" w:hAnsi="Times New Roman" w:cs="Times New Roman"/>
          <w:i/>
          <w:iCs/>
          <w:sz w:val="16"/>
          <w:szCs w:val="16"/>
        </w:rPr>
        <w:t>Streptobacillus moniliformis</w:t>
      </w:r>
      <w:r>
        <w:t xml:space="preserve"> de muestras de sangre, líquido sinovial, material de aspiración de abscesos o de la mordida, y después de inocular los medios bacteriológicos enriquecidos por sangre, suero o líquido de ascitis. Hay que avisar al personal de laboratorio de que se sospecha la presencia de </w:t>
      </w:r>
      <w:r>
        <w:rPr>
          <w:rFonts w:ascii="Times New Roman" w:eastAsia="Times New Roman" w:hAnsi="Times New Roman" w:cs="Times New Roman"/>
          <w:i/>
          <w:iCs/>
          <w:sz w:val="16"/>
          <w:szCs w:val="16"/>
        </w:rPr>
        <w:t xml:space="preserve">S. moniliformis </w:t>
      </w:r>
      <w:r>
        <w:t xml:space="preserve">porque es un microorganismo trofoespecífico. No se ha podido aislar en medios artificiales </w:t>
      </w:r>
      <w:r>
        <w:rPr>
          <w:rFonts w:ascii="Times New Roman" w:eastAsia="Times New Roman" w:hAnsi="Times New Roman" w:cs="Times New Roman"/>
          <w:i/>
          <w:iCs/>
          <w:sz w:val="16"/>
          <w:szCs w:val="16"/>
        </w:rPr>
        <w:t>Spirillum minus</w:t>
      </w:r>
      <w:r>
        <w:rPr>
          <w:i/>
          <w:iCs/>
        </w:rPr>
        <w:t>,</w:t>
      </w:r>
      <w:r>
        <w:t xml:space="preserve"> pero se puede identificar en el microscopio de campo oscuro en preparados húmedos de sangre, exudado de una lesión y material de ganglios linfáticos. Las muestras de sangre también se pueden estudiar después de tinción con método de Giemsa o Wright. </w:t>
      </w:r>
      <w:r>
        <w:rPr>
          <w:rFonts w:ascii="Times New Roman" w:eastAsia="Times New Roman" w:hAnsi="Times New Roman" w:cs="Times New Roman"/>
          <w:i/>
          <w:iCs/>
          <w:sz w:val="16"/>
          <w:szCs w:val="16"/>
        </w:rPr>
        <w:t>Spirillum minus</w:t>
      </w:r>
      <w:r>
        <w:t xml:space="preserve"> se puede identificar en sangre, ganglios linfáticos o lesiones locales después de inoculación intraperitoneal de ratones o cobayos. </w:t>
      </w:r>
      <w:r>
        <w:rPr>
          <w:b/>
          <w:bCs/>
        </w:rPr>
        <w:t>T</w:t>
      </w:r>
      <w:r>
        <w:rPr>
          <w:b/>
          <w:bCs/>
          <w:sz w:val="13"/>
          <w:szCs w:val="13"/>
        </w:rPr>
        <w:t>RATAMIENTO</w:t>
      </w:r>
      <w:r>
        <w:rPr>
          <w:b/>
          <w:bCs/>
        </w:rPr>
        <w:t xml:space="preserve">: </w:t>
      </w:r>
      <w:r>
        <w:t>Es necesario aplicar por vía intramuscular penicilina G procaínica durante siete a 10 días en el caso de la fiebre causada por cualquiera de los dos agentes. Se han obtenido buenos resultados con el uso inicial de penicilina G intravenosa durante cinco días seguida de la inyección de penicilina V. Otros fármacos a los que cabe recurrir son ampicilina, cefuroxima y cefotaxima sódica. Si la persona es alérgica a penicilina, puede sustituirse por doxiciclina, cloranfenicol o sulfato de estreptomicina. La doxiciclina no debe administrarse a niños menores de ocho años, salvo que los beneficios con ella sean mayores que el peligro de dejar manchas en los dientes (véase “Antimicrobianos y fármacos similares”, sección 4). Los niños con endocarditis deben recibir dosis altas de penicilina G intravenosa, durante cuatro semanas como mínimo. La adición de estreptomicina inicialmente puede ser útil.</w:t>
      </w:r>
    </w:p>
    <w:p w14:paraId="418D59C6" w14:textId="77777777" w:rsidR="00D03C17" w:rsidRDefault="00D03C17">
      <w:pPr>
        <w:pStyle w:val="BodyText"/>
        <w:spacing w:after="100"/>
        <w:ind w:firstLine="0"/>
      </w:pPr>
      <w:r>
        <w:rPr>
          <w:b/>
          <w:bCs/>
        </w:rPr>
        <w:t>A</w:t>
      </w:r>
      <w:r>
        <w:rPr>
          <w:b/>
          <w:bCs/>
          <w:sz w:val="13"/>
          <w:szCs w:val="13"/>
        </w:rPr>
        <w:t xml:space="preserve">ISLAMIENTO </w:t>
      </w:r>
      <w:r>
        <w:rPr>
          <w:b/>
          <w:bCs/>
          <w:smallCaps/>
          <w:sz w:val="16"/>
          <w:szCs w:val="16"/>
        </w:rPr>
        <w:t>del</w:t>
      </w:r>
      <w:r>
        <w:rPr>
          <w:b/>
          <w:bCs/>
          <w:sz w:val="13"/>
          <w:szCs w:val="13"/>
        </w:rPr>
        <w:t xml:space="preserve"> PACIENTE HOSPITALIZADO</w:t>
      </w:r>
      <w:r>
        <w:rPr>
          <w:b/>
          <w:bCs/>
        </w:rPr>
        <w:t xml:space="preserve">: </w:t>
      </w:r>
      <w:r>
        <w:t xml:space="preserve">Se recomienda seguir las precauciones estándar. </w:t>
      </w:r>
      <w:r>
        <w:rPr>
          <w:b/>
          <w:bCs/>
        </w:rPr>
        <w:t>M</w:t>
      </w:r>
      <w:r>
        <w:rPr>
          <w:b/>
          <w:bCs/>
          <w:sz w:val="13"/>
          <w:szCs w:val="13"/>
        </w:rPr>
        <w:t>EDIDAS PREVENTIVAS</w:t>
      </w:r>
      <w:r>
        <w:rPr>
          <w:b/>
          <w:bCs/>
        </w:rPr>
        <w:t xml:space="preserve">: </w:t>
      </w:r>
      <w:r>
        <w:t xml:space="preserve">Se necesita observar a las personas expuestas, en busca de síntomas. La cifra de ataque de </w:t>
      </w:r>
      <w:r>
        <w:rPr>
          <w:rFonts w:ascii="Times New Roman" w:eastAsia="Times New Roman" w:hAnsi="Times New Roman" w:cs="Times New Roman"/>
          <w:i/>
          <w:iCs/>
          <w:sz w:val="16"/>
          <w:szCs w:val="16"/>
        </w:rPr>
        <w:t>S. moniliformis</w:t>
      </w:r>
      <w:r>
        <w:t xml:space="preserve"> después de una mordedura de rata es de 10% en promedio, razón por la cual algunos expertos recomiendan administración de penicilina después de la exposición. Para erradicar la enfermedad es importante seguir medidas de desratización.</w:t>
      </w:r>
    </w:p>
    <w:p w14:paraId="66B9E8A1" w14:textId="77777777" w:rsidR="00D03C17" w:rsidRDefault="00D03C17">
      <w:pPr>
        <w:pStyle w:val="Bodytext70"/>
        <w:spacing w:after="0"/>
      </w:pPr>
      <w:r>
        <w:t>Respiratorio, virus sincitial</w:t>
      </w:r>
    </w:p>
    <w:p w14:paraId="051E5151" w14:textId="77777777" w:rsidR="00D03C17" w:rsidRDefault="00D03C17">
      <w:pPr>
        <w:pStyle w:val="BodyText"/>
        <w:ind w:firstLine="0"/>
      </w:pPr>
      <w:r>
        <w:rPr>
          <w:b/>
          <w:bCs/>
        </w:rPr>
        <w:t>M</w:t>
      </w:r>
      <w:r>
        <w:rPr>
          <w:b/>
          <w:bCs/>
          <w:sz w:val="13"/>
          <w:szCs w:val="13"/>
        </w:rPr>
        <w:t>ANIFESTACIONES CLÍNICAS</w:t>
      </w:r>
      <w:r>
        <w:rPr>
          <w:b/>
          <w:bCs/>
        </w:rPr>
        <w:t xml:space="preserve">: </w:t>
      </w:r>
      <w:r>
        <w:t xml:space="preserve">El virus sincitial respiratorio </w:t>
      </w:r>
      <w:r>
        <w:rPr>
          <w:i/>
          <w:iCs/>
        </w:rPr>
        <w:t>(</w:t>
      </w:r>
      <w:r>
        <w:rPr>
          <w:rFonts w:ascii="Times New Roman" w:eastAsia="Times New Roman" w:hAnsi="Times New Roman" w:cs="Times New Roman"/>
          <w:i/>
          <w:iCs/>
          <w:sz w:val="16"/>
          <w:szCs w:val="16"/>
        </w:rPr>
        <w:t>respiratory syncytial virus</w:t>
      </w:r>
      <w:r>
        <w:rPr>
          <w:i/>
          <w:iCs/>
        </w:rPr>
        <w:t>,</w:t>
      </w:r>
      <w:r>
        <w:t xml:space="preserve"> RSV) origina un cuadro agudo en las vías respiratorias en personas de cualquier edad.</w:t>
      </w:r>
    </w:p>
    <w:p w14:paraId="77224852" w14:textId="77777777" w:rsidR="00D03C17" w:rsidRDefault="00D03C17">
      <w:pPr>
        <w:pStyle w:val="BodyText"/>
        <w:ind w:firstLine="0"/>
        <w:sectPr w:rsidR="00D03C17" w:rsidSect="00D03C17">
          <w:headerReference w:type="even" r:id="rId276"/>
          <w:headerReference w:type="default" r:id="rId277"/>
          <w:footerReference w:type="even" r:id="rId278"/>
          <w:footerReference w:type="default" r:id="rId279"/>
          <w:footnotePr>
            <w:numFmt w:val="chicago"/>
          </w:footnotePr>
          <w:pgSz w:w="8501" w:h="13022"/>
          <w:pgMar w:top="898" w:right="798" w:bottom="504" w:left="816" w:header="0" w:footer="76" w:gutter="0"/>
          <w:cols w:space="720"/>
          <w:noEndnote/>
          <w:docGrid w:linePitch="360"/>
          <w15:footnoteColumns w:val="1"/>
        </w:sectPr>
      </w:pPr>
      <w:r>
        <w:t>En los lactantes y en niños de corta edad, RSV pudiera ser la causa más importante de bronquiolitis y neumonía. En las primeras semanas de vida, en particular en los productos pretérmino, la infección por RSV puede ocasionar signos mínimos en las vías respiratorias, y las principales manifestaciones son letargia, irritabilidad, poco apetito, a veces acompañado de episodios apneicos. Muchos de los pequeños infectados por RSV que habían estado sanos no necesitan hospitalización, y muchos de los que están hospitalizados mejoran con medidas de apoyo y pueden ser dados de alta antes de cinco días. Los cuadros que agravan el peligro de infección grave o letal por RSV incluyen cardiopatías congénitas cianóticas o complicadas, en particular aquellas que causan hipertensión pulmonar, neumopatías primarias, en particular displasia broncopulmonar; premadurez y enfermedades por inmunodeficiencia o tratamiento que origina inmunosupresión en cualquier edad. No se conoce en detalle el vínculo entre la bronquiolitis con RSV en los comienzos de la vida y la enfermedad reactiva de vías respiratorias que surge ulteriormente. Después de la bronquiolitis por dicho virus, algunos niños terminarán por mostrar anormalidades a largo plazo en la función pulmonar y presentar sibilancias repetitivas. El vínculo en cuestión quizá refleje una predisposición basal a un cuadro reactivo de vías respiratorias y no consecuencia directa de la infección por virus sincitial respiratorio.</w:t>
      </w:r>
    </w:p>
    <w:p w14:paraId="793D5EF5" w14:textId="77777777" w:rsidR="00D03C17" w:rsidRDefault="00D03C17">
      <w:pPr>
        <w:pStyle w:val="BodyText"/>
        <w:ind w:firstLine="0"/>
      </w:pPr>
      <w:r>
        <w:rPr>
          <w:b/>
          <w:bCs/>
        </w:rPr>
        <w:t>M</w:t>
      </w:r>
      <w:r>
        <w:rPr>
          <w:b/>
          <w:bCs/>
          <w:sz w:val="13"/>
          <w:szCs w:val="13"/>
        </w:rPr>
        <w:t>ÉTODOS DIAGNÓSTICOS</w:t>
      </w:r>
      <w:r>
        <w:rPr>
          <w:b/>
          <w:bCs/>
        </w:rPr>
        <w:t xml:space="preserve">: </w:t>
      </w:r>
      <w:r>
        <w:t xml:space="preserve">Se puede aislar </w:t>
      </w:r>
      <w:r>
        <w:rPr>
          <w:rFonts w:ascii="Times New Roman" w:eastAsia="Times New Roman" w:hAnsi="Times New Roman" w:cs="Times New Roman"/>
          <w:i/>
          <w:iCs/>
          <w:sz w:val="16"/>
          <w:szCs w:val="16"/>
        </w:rPr>
        <w:t>Streptobacillus moniliformis</w:t>
      </w:r>
      <w:r>
        <w:t xml:space="preserve"> de muestras de sangre, líquido sinovial, material de aspiración de abscesos o de la mordida, y después de inocular los medios bacteriológicos enriquecidos por sangre, suero o líquido de ascitis. Hay que avisar al personal de laboratorio de que se sospecha la presencia de </w:t>
      </w:r>
      <w:r>
        <w:rPr>
          <w:rFonts w:ascii="Times New Roman" w:eastAsia="Times New Roman" w:hAnsi="Times New Roman" w:cs="Times New Roman"/>
          <w:i/>
          <w:iCs/>
          <w:sz w:val="16"/>
          <w:szCs w:val="16"/>
        </w:rPr>
        <w:t xml:space="preserve">S. moniliformis </w:t>
      </w:r>
      <w:r>
        <w:t xml:space="preserve">porque es un microorganismo trofoespecífico. No se ha podido aislar en medios artificiales </w:t>
      </w:r>
      <w:r>
        <w:rPr>
          <w:rFonts w:ascii="Times New Roman" w:eastAsia="Times New Roman" w:hAnsi="Times New Roman" w:cs="Times New Roman"/>
          <w:i/>
          <w:iCs/>
          <w:sz w:val="16"/>
          <w:szCs w:val="16"/>
        </w:rPr>
        <w:t>Spirillum minus</w:t>
      </w:r>
      <w:r>
        <w:rPr>
          <w:i/>
          <w:iCs/>
        </w:rPr>
        <w:t>,</w:t>
      </w:r>
      <w:r>
        <w:t xml:space="preserve"> pero se puede identificar en el microscopio de campo oscuro en preparados húmedos de sangre, exudado de una lesión y material de ganglios linfáticos. Las muestras de sangre también se pueden estudiar después de tinción con método de Giemsa o Wright. </w:t>
      </w:r>
      <w:r>
        <w:rPr>
          <w:rFonts w:ascii="Times New Roman" w:eastAsia="Times New Roman" w:hAnsi="Times New Roman" w:cs="Times New Roman"/>
          <w:i/>
          <w:iCs/>
          <w:sz w:val="16"/>
          <w:szCs w:val="16"/>
        </w:rPr>
        <w:t>Spirillum minus</w:t>
      </w:r>
      <w:r>
        <w:t xml:space="preserve"> se puede identificar en sangre, ganglios linfáticos o lesiones locales después de inoculación intraperitoneal de ratones o cobayos. </w:t>
      </w:r>
      <w:r>
        <w:rPr>
          <w:b/>
          <w:bCs/>
        </w:rPr>
        <w:t>T</w:t>
      </w:r>
      <w:r>
        <w:rPr>
          <w:b/>
          <w:bCs/>
          <w:sz w:val="13"/>
          <w:szCs w:val="13"/>
        </w:rPr>
        <w:t>RATAMIENTO</w:t>
      </w:r>
      <w:r>
        <w:rPr>
          <w:b/>
          <w:bCs/>
        </w:rPr>
        <w:t xml:space="preserve">: </w:t>
      </w:r>
      <w:r>
        <w:t>Es necesario aplicar por vía intramuscular penicilina G procaínica durante siete a 10 días en el caso de la fiebre causada por cualquiera de los dos agentes. Se han obtenido buenos resultados con el uso inicial de penicilina G intravenosa durante cinco días seguida de la inyección de penicilina V. Otros fármacos a los que cabe recurrir son ampicilina, cefuroxima y cefotaxima sódica. Si la persona es alérgica a penicilina, puede sustituirse por doxiciclina, cloranfenicol o sulfato de estreptomicina. La doxiciclina no debe administrarse a niños menores de ocho años, salvo que los beneficios con ella sean mayores que el peligro de dejar manchas en los dientes (véase “Antimicrobianos y fármacos similares”, sección 4). Los niños con endocarditis deben recibir dosis altas de penicilina G intravenosa, durante cuatro semanas como mínimo. La adición de estreptomicina inicialmente puede ser útil.</w:t>
      </w:r>
    </w:p>
    <w:p w14:paraId="4270CFDF" w14:textId="77777777" w:rsidR="00D03C17" w:rsidRDefault="00D03C17">
      <w:pPr>
        <w:pStyle w:val="BodyText"/>
        <w:spacing w:after="100"/>
        <w:ind w:firstLine="0"/>
      </w:pPr>
      <w:r>
        <w:rPr>
          <w:b/>
          <w:bCs/>
        </w:rPr>
        <w:t>A</w:t>
      </w:r>
      <w:r>
        <w:rPr>
          <w:b/>
          <w:bCs/>
          <w:sz w:val="13"/>
          <w:szCs w:val="13"/>
        </w:rPr>
        <w:t xml:space="preserve">ISLAMIENTO </w:t>
      </w:r>
      <w:r>
        <w:rPr>
          <w:b/>
          <w:bCs/>
          <w:smallCaps/>
          <w:sz w:val="16"/>
          <w:szCs w:val="16"/>
        </w:rPr>
        <w:t>del</w:t>
      </w:r>
      <w:r>
        <w:rPr>
          <w:b/>
          <w:bCs/>
          <w:sz w:val="13"/>
          <w:szCs w:val="13"/>
        </w:rPr>
        <w:t xml:space="preserve"> PACIENTE HOSPITALIZADO</w:t>
      </w:r>
      <w:r>
        <w:rPr>
          <w:b/>
          <w:bCs/>
        </w:rPr>
        <w:t xml:space="preserve">: </w:t>
      </w:r>
      <w:r>
        <w:t xml:space="preserve">Se recomienda seguir las precauciones estándar. </w:t>
      </w:r>
      <w:r>
        <w:rPr>
          <w:b/>
          <w:bCs/>
        </w:rPr>
        <w:t>M</w:t>
      </w:r>
      <w:r>
        <w:rPr>
          <w:b/>
          <w:bCs/>
          <w:sz w:val="13"/>
          <w:szCs w:val="13"/>
        </w:rPr>
        <w:t>EDIDAS PREVENTIVAS</w:t>
      </w:r>
      <w:r>
        <w:rPr>
          <w:b/>
          <w:bCs/>
        </w:rPr>
        <w:t xml:space="preserve">: </w:t>
      </w:r>
      <w:r>
        <w:t xml:space="preserve">Se necesita observar a las personas expuestas, en busca de síntomas. La cifra de ataque de </w:t>
      </w:r>
      <w:r>
        <w:rPr>
          <w:rFonts w:ascii="Times New Roman" w:eastAsia="Times New Roman" w:hAnsi="Times New Roman" w:cs="Times New Roman"/>
          <w:i/>
          <w:iCs/>
          <w:sz w:val="16"/>
          <w:szCs w:val="16"/>
        </w:rPr>
        <w:t>S. moniliformis</w:t>
      </w:r>
      <w:r>
        <w:t xml:space="preserve"> después de una mordedura de rata es de 10% en promedio, razón por la cual algunos expertos recomiendan administración de penicilina después de la exposición. Para erradicar la enfermedad es importante seguir medidas de desratización.</w:t>
      </w:r>
    </w:p>
    <w:p w14:paraId="7CE36304" w14:textId="77777777" w:rsidR="00D03C17" w:rsidRDefault="00D03C17">
      <w:pPr>
        <w:pStyle w:val="Bodytext70"/>
        <w:spacing w:after="0"/>
      </w:pPr>
      <w:r>
        <w:t>Respiratorio, virus sincitial</w:t>
      </w:r>
    </w:p>
    <w:p w14:paraId="3A5A9BD2" w14:textId="77777777" w:rsidR="00D03C17" w:rsidRDefault="00D03C17">
      <w:pPr>
        <w:pStyle w:val="BodyText"/>
        <w:ind w:firstLine="0"/>
      </w:pPr>
      <w:r>
        <w:rPr>
          <w:b/>
          <w:bCs/>
        </w:rPr>
        <w:t>M</w:t>
      </w:r>
      <w:r>
        <w:rPr>
          <w:b/>
          <w:bCs/>
          <w:sz w:val="13"/>
          <w:szCs w:val="13"/>
        </w:rPr>
        <w:t>ANIFESTACIONES CLÍNICAS</w:t>
      </w:r>
      <w:r>
        <w:rPr>
          <w:b/>
          <w:bCs/>
        </w:rPr>
        <w:t xml:space="preserve">: </w:t>
      </w:r>
      <w:r>
        <w:t xml:space="preserve">El virus sincitial respiratorio </w:t>
      </w:r>
      <w:r>
        <w:rPr>
          <w:i/>
          <w:iCs/>
        </w:rPr>
        <w:t>(</w:t>
      </w:r>
      <w:r>
        <w:rPr>
          <w:rFonts w:ascii="Times New Roman" w:eastAsia="Times New Roman" w:hAnsi="Times New Roman" w:cs="Times New Roman"/>
          <w:i/>
          <w:iCs/>
          <w:sz w:val="16"/>
          <w:szCs w:val="16"/>
        </w:rPr>
        <w:t>respiratory syncytial virus</w:t>
      </w:r>
      <w:r>
        <w:rPr>
          <w:i/>
          <w:iCs/>
        </w:rPr>
        <w:t>,</w:t>
      </w:r>
      <w:r>
        <w:t xml:space="preserve"> RSV) origina un cuadro agudo en las vías respiratorias en personas de cualquier edad.</w:t>
      </w:r>
    </w:p>
    <w:p w14:paraId="41189B6F" w14:textId="77777777" w:rsidR="00D03C17" w:rsidRDefault="00D03C17">
      <w:pPr>
        <w:pStyle w:val="BodyText"/>
        <w:ind w:firstLine="0"/>
      </w:pPr>
      <w:r>
        <w:t>En los lactantes y en niños de corta edad, RSV pudiera ser la causa más importante de bronquiolitis y neumonía. En las primeras semanas de vida, en particular en los productos pretérmino, la infección por RSV puede ocasionar signos mínimos en las vías respiratorias, y las principales manifestaciones son letargia, irritabilidad, poco apetito, a veces acompañado de episodios apneicos. Muchos de los pequeños infectados por RSV que habían estado sanos no necesitan hospitalización, y muchos de los que están hospitalizados mejoran con medidas de apoyo y pueden ser dados de alta antes de cinco días. Los cuadros que agravan el peligro de infección grave o letal por RSV incluyen cardiopatías congénitas cianóticas o complicadas, en particular aquellas que causan hipertensión pulmonar, neumopatías primarias, en particular displasia broncopulmonar; premadurez y enfermedades por inmunodeficiencia o tratamiento que origina inmunosupresión en cualquier edad. No se conoce en detalle el vínculo entre la bronquiolitis con RSV en los comienzos de la vida y la enfermedad reactiva de vías respiratorias que surge ulteriormente. Después de la bronquiolitis por dicho virus, algunos niños terminarán por mostrar anormalidades a largo plazo en la función pulmonar y presentar sibilancias repetitivas. El vínculo en cuestión quizá refleje una predisposición basal a un cuadro reactivo de vías respiratorias y no consecuencia directa de la infección por virus sincitial respiratorio.</w:t>
      </w:r>
    </w:p>
    <w:p w14:paraId="680FCA7D" w14:textId="77777777" w:rsidR="00D03C17" w:rsidRDefault="00D03C17">
      <w:pPr>
        <w:pStyle w:val="BodyText"/>
        <w:ind w:firstLine="360"/>
      </w:pPr>
      <w:r>
        <w:t xml:space="preserve">Casi todos los niños han padecido la infección como mínimo una vez para cuando tienen dos años de edad, y es frecuente que haya brotes de reinfección durante toda la vida. Los niños de mayor edad y los adultos por lo común muestran enfermedad de vías respiratorias altas, pero también pueden presentar una infección más grave en la porción baja de dichas vías. Se observa a veces exacerbación del asma u otras neumopatías crónicas. </w:t>
      </w:r>
      <w:r>
        <w:rPr>
          <w:b/>
          <w:bCs/>
        </w:rPr>
        <w:t>C</w:t>
      </w:r>
      <w:r>
        <w:rPr>
          <w:b/>
          <w:bCs/>
          <w:sz w:val="13"/>
          <w:szCs w:val="13"/>
        </w:rPr>
        <w:t>AUSAS</w:t>
      </w:r>
      <w:r>
        <w:rPr>
          <w:b/>
          <w:bCs/>
        </w:rPr>
        <w:t xml:space="preserve">: </w:t>
      </w:r>
      <w:r>
        <w:t>El agente patógeno es un paramixovirus de RNA con cubierta que no posee neuraminidasa ni glucoproteínas de superficie de tipo hemaglutinina. Se han identificado dos graves tipos (A y B), y a menudo circulan conjuntamente. No se ha precisado la importancia clínica y epidemiológica de las variaciones en las cepas, pero las pruebas sugieren que las diferencias antigénicas pueden modificar la susceptibilidad a la infección y que algunas cepas pueden ser más virulentas que otras.</w:t>
      </w:r>
    </w:p>
    <w:p w14:paraId="40D7FD18" w14:textId="77777777" w:rsidR="00D03C17" w:rsidRDefault="00D03C17">
      <w:pPr>
        <w:pStyle w:val="BodyText"/>
        <w:ind w:firstLine="0"/>
      </w:pPr>
      <w:r>
        <w:rPr>
          <w:b/>
          <w:bCs/>
        </w:rPr>
        <w:t>A</w:t>
      </w:r>
      <w:r>
        <w:rPr>
          <w:b/>
          <w:bCs/>
          <w:sz w:val="13"/>
          <w:szCs w:val="13"/>
        </w:rPr>
        <w:t>SPECTOS EPIDEMIOLÓGICOS</w:t>
      </w:r>
      <w:r>
        <w:rPr>
          <w:b/>
          <w:bCs/>
        </w:rPr>
        <w:t xml:space="preserve">: </w:t>
      </w:r>
      <w:r>
        <w:t>Los seres humanos son la única fuente de infección. La transmisión por lo regular se hace por contacto directo o cercano con secreciones contaminadas, que pueden incluir partículas u objetos inanimados. El virus persiste en superficies del entorno durante varias horas y 30 min o más en las manos. La infección en personal hospitalario y otros sujetos puede ocurrir por autoinoculación con secreciones contaminadas. Es importante poner en práctica rigurosamente las normas de erradicación de infecciones para disminuir el peligro de transmisión de RSV, de tipo nosocomial. La propagación nosocomial de RSV a personas que reciben un órgano en trasplante o pacientes con anormalidades cardiopulmonares o cuadros de inmunodeficiencia se ha vinculado con enfermedad grave y letal en niños y adultos.</w:t>
      </w:r>
    </w:p>
    <w:p w14:paraId="391559D6" w14:textId="77777777" w:rsidR="00D03C17" w:rsidRDefault="00D03C17">
      <w:pPr>
        <w:pStyle w:val="BodyText"/>
        <w:ind w:firstLine="360"/>
      </w:pPr>
      <w:r>
        <w:t>El virus sincitial respiratorio suele afectar en epidemias anuales durante el invierno y comienzos de la primavera en clima templado. Sin embargo, durante todo el año pueden surgir casos esporádicos de la infección. Es frecuente que se propague entre miembros del círculo familiar y contactos en la unidad de cuidado pediátrico, incluidos adultos. El periodo de dispersión o secreción del virus suele ser de tres a ocho días, pero puede durar más, especialmente en lactantes de corta edad en que dicho fenómeno puede continuar incluso tres a cuatro semanas.</w:t>
      </w:r>
    </w:p>
    <w:p w14:paraId="03243199" w14:textId="77777777" w:rsidR="00D03C17" w:rsidRDefault="00D03C17">
      <w:pPr>
        <w:pStyle w:val="BodyText"/>
        <w:ind w:firstLine="360"/>
      </w:pPr>
      <w:r>
        <w:t xml:space="preserve">El </w:t>
      </w:r>
      <w:r>
        <w:rPr>
          <w:b/>
          <w:bCs/>
        </w:rPr>
        <w:t xml:space="preserve">periodo de incubación </w:t>
      </w:r>
      <w:r>
        <w:t>va de dos a ocho días, y es más frecuente que abarque cuatro a seis días.</w:t>
      </w:r>
    </w:p>
    <w:p w14:paraId="1E8F7FAB" w14:textId="77777777" w:rsidR="00D03C17" w:rsidRDefault="00D03C17">
      <w:pPr>
        <w:pStyle w:val="BodyText"/>
        <w:ind w:firstLine="0"/>
      </w:pPr>
      <w:r>
        <w:rPr>
          <w:b/>
          <w:bCs/>
        </w:rPr>
        <w:t>M</w:t>
      </w:r>
      <w:r>
        <w:rPr>
          <w:b/>
          <w:bCs/>
          <w:sz w:val="13"/>
          <w:szCs w:val="13"/>
        </w:rPr>
        <w:t>ÉTODOS DIAGNÓSTICOS</w:t>
      </w:r>
      <w:r>
        <w:rPr>
          <w:b/>
          <w:bCs/>
        </w:rPr>
        <w:t xml:space="preserve">: </w:t>
      </w:r>
      <w:r>
        <w:t>Se cuenta en el comercio con métodos diagnósticos rápidos que incluyen técnicas de inmunofluorescencia y inmunoanálisis enzimático para detectar el antígeno vírico en muestras de nasofaringe, y por lo común generan resultados fidedignos. La sensibilidad de tales técnicas en comparación con el cultivo varía entre 53 y 96%, y muchas están en límites de 80 a 90%. Aislar el virus de las secreciones nasofaríngeas en cultivos celulares requiere el transcurso de tres a cinco días, pero los resultados y la sensibilidad varían de un laboratorio a otro porque los métodos de aislamiento son difíciles y lentos y RSV es un virus relativamente lábil. Es necesario consultar a un laboratorio de virología experto en cuanto a métodos óptimos de reunión y transporte de las muestras. Cabe recurrir a estudios serológicos hechos en muestras de suero de fase aguda y de convalecencia para confirmar la presencia de la infección; sin embargo, es poca la sensibilidad del diagnóstico serológico de la infección en lactantes de corta edad. Se ha aplicado la reacción en cadena de polimerasa para detectar RSV en muestras clínicas, pero no se le practica comercialmente.</w:t>
      </w:r>
    </w:p>
    <w:p w14:paraId="022188BC" w14:textId="77777777" w:rsidR="00D03C17" w:rsidRDefault="00D03C17">
      <w:pPr>
        <w:pStyle w:val="BodyText"/>
        <w:ind w:firstLine="0"/>
      </w:pPr>
      <w:r>
        <w:rPr>
          <w:b/>
          <w:bCs/>
        </w:rPr>
        <w:t>T</w:t>
      </w:r>
      <w:r>
        <w:rPr>
          <w:b/>
          <w:bCs/>
          <w:sz w:val="13"/>
          <w:szCs w:val="13"/>
        </w:rPr>
        <w:t>RATAMIENTO</w:t>
      </w:r>
      <w:r>
        <w:rPr>
          <w:b/>
          <w:bCs/>
        </w:rPr>
        <w:t xml:space="preserve">: </w:t>
      </w:r>
      <w:r>
        <w:t>El tratamiento primario es de sostén y debe incluir hidratación, valoración clínica cuidadosa del estado respiratorio, que incluya medición de la saturación de oxígeno y empleo de dicho gas suplementario, y si es necesario, ventilación mecánica. La ribavirina posee actividad antivírica in vitro contra RSV, pero por lo común no se recomienda su aplicación en aerosol en la infección por dicho virus. En estudios en que los testigos han recibido placebo, no se ha demostrado la disminución constante de la necesidad de ventilación mecánica, duración de la permanencia en la unidad de cuidado intensivo para niños ni en la duración de la hospitalización entre quienes recibieron ribavirina. Contribuyen a esta controversia factores como el costo alto del fármaco, la aplicación en aerosol (ineficaz), la preocupación por los posibles efectos tóxicos en profesionales y asistenciales expuestos y los resultados antagónicos de estudios de eficacia. Las decisiones en cuanto a la administración de dicho fármaco deben hacerse con base en las circunstancias clínicas particulares y en la experiencia del médico.</w:t>
      </w:r>
    </w:p>
    <w:p w14:paraId="5B8754F5" w14:textId="77777777" w:rsidR="00D03C17" w:rsidRDefault="00D03C17">
      <w:pPr>
        <w:pStyle w:val="BodyText"/>
        <w:spacing w:line="298" w:lineRule="auto"/>
        <w:ind w:firstLine="360"/>
      </w:pPr>
      <w:r>
        <w:rPr>
          <w:rFonts w:ascii="Arial" w:eastAsia="Arial" w:hAnsi="Arial" w:cs="Arial"/>
          <w:b/>
          <w:bCs/>
          <w:i/>
          <w:iCs/>
          <w:sz w:val="15"/>
          <w:szCs w:val="15"/>
        </w:rPr>
        <w:t>Corticosteroides.</w:t>
      </w:r>
      <w:r>
        <w:t xml:space="preserve"> En niños hospitalizados que tienen bronquiolitis por RSV no son eficaces ni están indicados los corticosteroides.</w:t>
      </w:r>
    </w:p>
    <w:p w14:paraId="71D331D7" w14:textId="77777777" w:rsidR="00D03C17" w:rsidRDefault="00D03C17">
      <w:pPr>
        <w:pStyle w:val="BodyText"/>
        <w:spacing w:line="288" w:lineRule="auto"/>
        <w:ind w:firstLine="360"/>
      </w:pPr>
      <w:r>
        <w:rPr>
          <w:rFonts w:ascii="Arial" w:eastAsia="Arial" w:hAnsi="Arial" w:cs="Arial"/>
          <w:b/>
          <w:bCs/>
          <w:i/>
          <w:iCs/>
          <w:sz w:val="15"/>
          <w:szCs w:val="15"/>
        </w:rPr>
        <w:t>Antimicrobianos.</w:t>
      </w:r>
      <w:r>
        <w:t xml:space="preserve"> Los agentes de esta categoría rara vez están indicados porque son raras la infección pulmonar bacteriana y la bacteriemia en pequeños hospitalizados con bronquiolitis o neumonía por virus sincitial respiratorio.</w:t>
      </w:r>
    </w:p>
    <w:p w14:paraId="4E2BF918" w14:textId="77777777" w:rsidR="00D03C17" w:rsidRDefault="00D03C17">
      <w:pPr>
        <w:pStyle w:val="BodyText"/>
        <w:spacing w:line="276" w:lineRule="auto"/>
        <w:ind w:firstLine="360"/>
      </w:pPr>
      <w:r>
        <w:rPr>
          <w:rFonts w:ascii="Arial" w:eastAsia="Arial" w:hAnsi="Arial" w:cs="Arial"/>
          <w:b/>
          <w:bCs/>
          <w:i/>
          <w:iCs/>
          <w:sz w:val="15"/>
          <w:szCs w:val="15"/>
        </w:rPr>
        <w:t>Prevención de las infecciones por RSV.</w:t>
      </w:r>
      <w:r>
        <w:t xml:space="preserve"> Se cuenta con dos productos para evitar la infección por RSV: el concentrado inmunoglobulínico intravenoso contra el virus sincitial respiratorio </w:t>
      </w:r>
      <w:r>
        <w:rPr>
          <w:i/>
          <w:iCs/>
        </w:rPr>
        <w:t>(</w:t>
      </w:r>
      <w:r>
        <w:rPr>
          <w:rFonts w:ascii="Times New Roman" w:eastAsia="Times New Roman" w:hAnsi="Times New Roman" w:cs="Times New Roman"/>
          <w:i/>
          <w:iCs/>
          <w:sz w:val="16"/>
          <w:szCs w:val="16"/>
        </w:rPr>
        <w:t>respiratory syncytial virus immune globulin intravenous</w:t>
      </w:r>
      <w:r>
        <w:rPr>
          <w:i/>
          <w:iCs/>
        </w:rPr>
        <w:t>,</w:t>
      </w:r>
      <w:r>
        <w:t xml:space="preserve"> RSV-IGIV)</w:t>
      </w:r>
      <w:r>
        <w:footnoteReference w:id="24"/>
      </w:r>
      <w:r>
        <w:t xml:space="preserve">, preparado de donantes escogidos por tener títulos séricos muy altos de anticuerpos neutralizantes contra RSV, y el palivizumab, anticuerpo monoclonal murino humanizado que se administra por vía intramuscular. En Estados Unidos se ha aprobado el uso de ambos productos para evitar la enfermedad por RSV en niños escogidos menores de 24 meses de vida con neumopatía crónica </w:t>
      </w:r>
      <w:r>
        <w:rPr>
          <w:i/>
          <w:iCs/>
        </w:rPr>
        <w:t>([</w:t>
      </w:r>
      <w:r>
        <w:rPr>
          <w:rFonts w:ascii="Times New Roman" w:eastAsia="Times New Roman" w:hAnsi="Times New Roman" w:cs="Times New Roman"/>
          <w:i/>
          <w:iCs/>
          <w:sz w:val="16"/>
          <w:szCs w:val="16"/>
        </w:rPr>
        <w:t>chronic lung disease</w:t>
      </w:r>
      <w:r>
        <w:rPr>
          <w:i/>
          <w:iCs/>
        </w:rPr>
        <w:t>,</w:t>
      </w:r>
      <w:r>
        <w:t xml:space="preserve"> CLD] [antes llamada displasia broncopulmonar]), o con el antecedente de tener menos de 35 semanas de gestación, es decir, un producto pretérmino. Los dos fármacos en cuestión se administran aproximadamente una vez al mes (es decir, cada 30 días) y el uso comienza poco antes de comenzar la estación en que ataca el virus, que en el hemisferio septentrional típicamente se centra en noviembre. En términos generales, bastan cuatro dosis mensuales subsecuentes (total de cinco dosis) para proteger durante toda la estación de ataque del virus. La dosis de RSV-IGIV es de 15 ml/kg (750 mg/kg) por vía intravenosa, y la dosis de palivizumab es de 15 mg/kg, por vía intramuscular. Ninguno de los fármacos en cuestión es eficaz para tratar la enfermedad por RSV, por lo que ninguno ha sido aprobado para tal indicación.</w:t>
      </w:r>
    </w:p>
    <w:p w14:paraId="07FFEE74" w14:textId="77777777" w:rsidR="00D03C17" w:rsidRDefault="00D03C17">
      <w:pPr>
        <w:pStyle w:val="BodyText"/>
        <w:ind w:firstLine="360"/>
      </w:pPr>
      <w:r>
        <w:t xml:space="preserve">Las recomendaciones que hace la </w:t>
      </w:r>
      <w:r>
        <w:rPr>
          <w:rFonts w:ascii="Times New Roman" w:eastAsia="Times New Roman" w:hAnsi="Times New Roman" w:cs="Times New Roman"/>
          <w:i/>
          <w:iCs/>
          <w:sz w:val="16"/>
          <w:szCs w:val="16"/>
        </w:rPr>
        <w:t>American Academy of Pediatrics</w:t>
      </w:r>
      <w:r>
        <w:t xml:space="preserve"> para utilizar palivizumab y RSV-IGIV son:</w:t>
      </w:r>
    </w:p>
    <w:p w14:paraId="006B9EBA" w14:textId="77777777" w:rsidR="00D03C17" w:rsidRDefault="00D03C17">
      <w:pPr>
        <w:pStyle w:val="BodyText"/>
        <w:ind w:left="360" w:hanging="360"/>
      </w:pPr>
      <w:r>
        <w:t>• Habrá que pensar en la profilaxia con uno u otro de los productos mencionados en lactantes y niños menores de dos años de vida con neumopatía crónica que han necesitado medidas médicas (oxígeno suplementario, broncodilatadores, diuréticos o corticosteroides) contra su neumopatía en término de seis meses anteriores al inicio previsto de la estación de ataque de RSV. Se prefiere al palivizumab en casi todos los niños de alto riesgo porque es fácil su administración, es un fármaco inocuo y es eficaz. Los niños con CLD más grave pueden beneficiarse con la profilaxia durante una segunda estación de ataque del virus si siguen necesitando terapia médica por disfunción respiratoria o cardiaca. Los pacientes individuales pueden beneficiarse de las decisiones hechas en consulta con los neonatólogos, los intensivistas pediátricos, los neumólogos o los infectólogos. Son escasos los datos en cuanto a la eficacia del palivizumab durante el segundo año de vida, aunque los niños con CLD que necesitan terapia médica constante pueden presentar infecciones graves por virus sincitial respiratorio.</w:t>
      </w:r>
    </w:p>
    <w:p w14:paraId="3BB4FD18" w14:textId="77777777" w:rsidR="00D03C17" w:rsidRDefault="00D03C17">
      <w:pPr>
        <w:pStyle w:val="BodyText"/>
        <w:ind w:left="360" w:firstLine="0"/>
      </w:pPr>
      <w:r>
        <w:t>El producto que nace a las 32 semanas de gestación o antes puede beneficiarse con la profilaxia contra RSV, incluso si no tiene neumopatía crónica. En los lactantes en cuestión, entre los principales factores que deben considerarse están su edad gestacional y edad cronológica al comenzar la estación de ataque de RSV. Los productos que nacen con 28 semanas de gestación o antes pueden beneficiarse de la profilaxia durante la primera estación de ataque de RSV, si surge en los primeros 12 meses de vida. Los productos que tienen 29 a 32 semanas de gestación al nacer pueden beneficiarse al máximo de la profilaxia, incluso hasta los seis meses de vida. En lo que respecta a dicha recomendación, el límite de 32 semanas de gestación se refiere al producto nacido en la semana trigésima segunda o antes de ella (es decir, 32 semanas, cero días). Una vez que el niño cumple con los requisitos para comenzar la profilaxia, en el inicio de la estación de ataque de RSV, la administración debe continuar durante toda la estación y no interrumpirse en la fecha en que el pequeño cumple seis meses o 12 meses de vida. Se ha demostrado que el palivizumab y RSV-IGIV disminuyen la posibilidad de hospitalización en productos nacidos entre las 32 y las 35 semanas de gestación (p. ej., entre las 32 semanas un día y las 35 semanas, cero días), pero hay que considerar con gran detenimiento el costo de practicar la profilaxia en este gran grupo de pequeños. Por todo lo comentado, muchos expertos recomiendan reservar la profilaxia para lactantes de este grupo expuestos al máximo riesgo de infección grave y que tienen menos de seis meses de vida al comenzar la estación de ataque de RSV. Los datos epidemiológicos sugieren que hay mayor posibilidad de que la infección por RSV culmine en hospitalización de los lactantes en cuestión si surgen los siguientes factores de riesgo: asistencia del niño a un centro de atención pediátrica; hermanos en edad escolar; exposición a los contaminantes aéreos ambientales; anormalidades congénitas de las vías respiratorias o enfermedad neuromuscular grave. Sin embargo, ningún factor de riesgo aislado y por sí solo origina incremento enorme de la cifra de hospitalización, y el riesgo es aditivo conforme aumenta el número de factores de riesgo de un lactante particular. Por todo lo expuesto habrá que pensar en la profilaxia en lactantes de 32 a 35 semanas de gestación sólo si están presentes dos o más de los factores mencionados de riesgo. La exposición al humo del tabaco es un factor de riesgo que puede ser anulado o controlado por los parientes de un lactante expuesto a un mayor peligro de mostrar enfermedad por RSV, y las medidas preventivas indudablemente serán menos caras que la profilaxia con palivizumab. Nunca se expondrá a los lactantes de alto riesgo al humo del tabaco. Los pequeños de alto riesgo deben alejarse de multitudes y de situaciones en que es imposible controlar la exposición a personas infectadas. La participación en los cuidados de niños debe restringirse durante la estación de ataque de RSV en el caso de los pequeños de alto riesgo, en la medida de lo posible. Hay que orientar e insistir a los padres respecto de la importancia de la higiene meticulosa de las manos. Además, hay que vacunar contra la influenza a todo pequeño de alto riesgo y a sus contactos, desde los seis meses de vida.</w:t>
      </w:r>
    </w:p>
    <w:p w14:paraId="295E4C0D" w14:textId="77777777" w:rsidR="00D03C17" w:rsidRDefault="00D03C17">
      <w:pPr>
        <w:pStyle w:val="BodyText"/>
        <w:ind w:left="360" w:firstLine="0"/>
        <w:rPr>
          <w:sz w:val="16"/>
          <w:szCs w:val="16"/>
        </w:rPr>
      </w:pPr>
      <w:r>
        <w:t xml:space="preserve">La profilaxia contra RSV debe iniciarse poco antes de que comience la estación de ataque del virus y terminar al finalizar tal temporada. En casi todas las estaciones y la mayor parte de las regiones del hemisferio septentrional, la primera dosis de palivizumab debe administrarse en los comienzos del mes de noviembre, y la última |a comienzos de marzo, y así se obtendrá protección que persistirá en el mes de abril. Los médicos, para conocer los aspectos epidemiológicos de RSV en el área en que laboran, deben consultar a los departamentos de sanidad local o laboratorios de virología diagnóstica, o en Estados Unidos a los </w:t>
      </w:r>
      <w:r>
        <w:rPr>
          <w:rFonts w:ascii="Times New Roman" w:eastAsia="Times New Roman" w:hAnsi="Times New Roman" w:cs="Times New Roman"/>
          <w:i/>
          <w:iCs/>
          <w:sz w:val="16"/>
          <w:szCs w:val="16"/>
        </w:rPr>
        <w:t>Centers for Disease Control and</w:t>
      </w:r>
      <w:r>
        <w:br w:type="page"/>
      </w:r>
    </w:p>
    <w:p w14:paraId="219854DC" w14:textId="77777777" w:rsidR="00D03C17" w:rsidRDefault="00D03C17">
      <w:pPr>
        <w:pStyle w:val="BodyText"/>
        <w:ind w:left="360" w:firstLine="0"/>
      </w:pPr>
      <w:r>
        <w:rPr>
          <w:rFonts w:ascii="Times New Roman" w:eastAsia="Times New Roman" w:hAnsi="Times New Roman" w:cs="Times New Roman"/>
          <w:i/>
          <w:iCs/>
          <w:sz w:val="16"/>
          <w:szCs w:val="16"/>
        </w:rPr>
        <w:t>Prevention</w:t>
      </w:r>
      <w:r>
        <w:t xml:space="preserve"> si en la localidad no se cuenta con tal información. Las decisiones respecto a la duración específica de la profilaxia debe individualizarse con base en la duración de la estación de ataque de RSV. Los pediatras quizá deseen utilizar datos de nuevas hospitalizaciones por RSV obtenidos en su propia región y así facilitar la decisión. Los niños de 24 meses de edad o menores que tienen cardiopatías congénitas cianóticas y acianóticas de importancia hemodinámica, se beneficiarán de cinco inyecciones intramusculares mensuales de palivizumab (15 mg/kg). Las decisiones en cuanto a la profilaxia con dicho fármaco en niños con cardiopatías congénitas deben tomarse con base en el grado de anormalidad funcional del aparato cardiovascular. Los niños menores de 12 meses con alguna cardiopatía congénita y que tienen mayor posibilidad de beneficiarse de la inmunoprofilaxia incluyen:</w:t>
      </w:r>
    </w:p>
    <w:p w14:paraId="6BFC2FFF" w14:textId="77777777" w:rsidR="00D03C17" w:rsidRDefault="00D03C17">
      <w:pPr>
        <w:pStyle w:val="BodyText"/>
        <w:ind w:left="700" w:firstLine="0"/>
      </w:pPr>
      <w:r>
        <w:t>Lactantes que reciben medicamentos para controlar su insuficiencia congestiva cardiaca</w:t>
      </w:r>
    </w:p>
    <w:p w14:paraId="44CA2CB1" w14:textId="77777777" w:rsidR="00D03C17" w:rsidRDefault="00D03C17">
      <w:pPr>
        <w:pStyle w:val="BodyText"/>
        <w:ind w:left="700" w:firstLine="0"/>
      </w:pPr>
      <w:r>
        <w:t>Lactantes con hipertensión pulmonar moderada o grave Lactantes con cardiopatía cianótica</w:t>
      </w:r>
    </w:p>
    <w:p w14:paraId="1B21613D" w14:textId="77777777" w:rsidR="00D03C17" w:rsidRDefault="00D03C17">
      <w:pPr>
        <w:pStyle w:val="BodyText"/>
        <w:ind w:firstLine="360"/>
      </w:pPr>
      <w:r>
        <w:t>Se observó una disminución media de la concentración sérica de palivizumab de 58% después de métodos quirúrgicos que utilizaron circulación extracorporal en niños que aún necesitan profilaxia; por tal razón, habrá que pensar en la administración de una dosis de palivizumab después de la operación (15 mg/kg) tan pronto el niño muestra estabilidad clínica.</w:t>
      </w:r>
    </w:p>
    <w:p w14:paraId="6A9C19F4" w14:textId="77777777" w:rsidR="00D03C17" w:rsidRDefault="00D03C17">
      <w:pPr>
        <w:pStyle w:val="BodyText"/>
        <w:ind w:firstLine="360"/>
      </w:pPr>
      <w:r>
        <w:t xml:space="preserve">Los grupos siguientes de lactantes </w:t>
      </w:r>
      <w:r>
        <w:rPr>
          <w:b/>
          <w:bCs/>
        </w:rPr>
        <w:t xml:space="preserve">no </w:t>
      </w:r>
      <w:r>
        <w:t>muestran un mayor riesgo de contraer RSV y, en términos generales, no deben recibir inmunoprofilaxia:</w:t>
      </w:r>
    </w:p>
    <w:p w14:paraId="019C99B5" w14:textId="77777777" w:rsidR="00D03C17" w:rsidRDefault="00D03C17">
      <w:pPr>
        <w:pStyle w:val="Other0"/>
        <w:spacing w:after="1500" w:line="180" w:lineRule="auto"/>
        <w:ind w:firstLine="360"/>
        <w:jc w:val="both"/>
        <w:rPr>
          <w:sz w:val="24"/>
          <w:szCs w:val="24"/>
        </w:rPr>
      </w:pPr>
      <w:r>
        <w:rPr>
          <w:noProof/>
        </w:rPr>
        <mc:AlternateContent>
          <mc:Choice Requires="wps">
            <w:drawing>
              <wp:anchor distT="0" distB="0" distL="114300" distR="114300" simplePos="0" relativeHeight="251676672" behindDoc="0" locked="0" layoutInCell="1" allowOverlap="1" wp14:anchorId="177242A8" wp14:editId="1573D68A">
                <wp:simplePos x="0" y="0"/>
                <wp:positionH relativeFrom="page">
                  <wp:posOffset>964565</wp:posOffset>
                </wp:positionH>
                <wp:positionV relativeFrom="paragraph">
                  <wp:posOffset>25400</wp:posOffset>
                </wp:positionV>
                <wp:extent cx="3892550" cy="1082040"/>
                <wp:effectExtent l="0" t="0" r="0" b="0"/>
                <wp:wrapSquare wrapText="left"/>
                <wp:docPr id="1635" name="Shape 1635"/>
                <wp:cNvGraphicFramePr/>
                <a:graphic xmlns:a="http://schemas.openxmlformats.org/drawingml/2006/main">
                  <a:graphicData uri="http://schemas.microsoft.com/office/word/2010/wordprocessingShape">
                    <wps:wsp>
                      <wps:cNvSpPr txBox="1"/>
                      <wps:spPr>
                        <a:xfrm>
                          <a:off x="0" y="0"/>
                          <a:ext cx="3892550" cy="1082040"/>
                        </a:xfrm>
                        <a:prstGeom prst="rect">
                          <a:avLst/>
                        </a:prstGeom>
                        <a:noFill/>
                      </wps:spPr>
                      <wps:txbx>
                        <w:txbxContent>
                          <w:p w14:paraId="40003FB3" w14:textId="77777777" w:rsidR="00D03C17" w:rsidRDefault="00D03C17">
                            <w:pPr>
                              <w:pStyle w:val="BodyText"/>
                              <w:ind w:firstLine="0"/>
                            </w:pPr>
                            <w:r>
                              <w:rPr>
                                <w:shd w:val="clear" w:color="auto" w:fill="FFFFFF"/>
                              </w:rPr>
                              <w:t>Lactantes y niños con cardiopatia que no tiene trascendencia hemodinámica (como seria defecto del tabique interauricular de tipo secundum; defecto pequeño en el tabique interventricular; estenosis de la pulmonar, estenosis aórtica no complicada, coartación mínima de la aorta y persistencia del conducto arterioso) Lactantes con lesiones corregidas adecuadamente por métodos quirúrgicos, salvo que sigan necesitando fármacos contra su insuficiencia congestiva cardiaca Lactantes con miocardiopatia leve que no reciben tratamiento médico</w:t>
                            </w:r>
                          </w:p>
                        </w:txbxContent>
                      </wps:txbx>
                      <wps:bodyPr lIns="0" tIns="0" rIns="0" bIns="0"/>
                    </wps:wsp>
                  </a:graphicData>
                </a:graphic>
              </wp:anchor>
            </w:drawing>
          </mc:Choice>
          <mc:Fallback>
            <w:pict>
              <v:shape w14:anchorId="177242A8" id="Shape 1635" o:spid="_x0000_s1043" type="#_x0000_t202" style="position:absolute;left:0;text-align:left;margin-left:75.95pt;margin-top:2pt;width:306.5pt;height:85.2pt;z-index:251676672;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" filled="f" stroked="f">
                <v:textbox inset="0,0,0,0">
                  <w:txbxContent>
                    <w:p w14:paraId="40003FB3" w14:textId="77777777" w:rsidR="00D03C17" w:rsidRDefault="00D03C17">
                      <w:pPr>
                        <w:pStyle w:val="BodyText"/>
                        <w:ind w:firstLine="0"/>
                      </w:pPr>
                      <w:r>
                        <w:rPr>
                          <w:shd w:val="clear" w:color="auto" w:fill="FFFFFF"/>
                        </w:rPr>
                        <w:t>Lactantes y niños con cardiopatia que no tiene trascendencia hemodinámica (como seria defecto del tabique interauricular de tipo secundum; defecto pequeño en el tabique interventricular; estenosis de la pulmonar, estenosis aórtica no complicada, coartación mínima de la aorta y persistencia del conducto arterioso) Lactantes con lesiones corregidas adecuadamente por métodos quirúrgicos, salvo que sigan necesitando fármacos contra su insuficiencia congestiva cardiaca Lactantes con miocardiopatia leve que no reciben tratamiento médico</w:t>
                      </w:r>
                    </w:p>
                  </w:txbxContent>
                </v:textbox>
                <w10:wrap type="square" side="left" anchorx="page"/>
              </v:shape>
            </w:pict>
          </mc:Fallback>
        </mc:AlternateContent>
      </w:r>
      <w:r>
        <w:rPr>
          <w:rFonts w:ascii="Arial" w:eastAsia="Arial" w:hAnsi="Arial" w:cs="Arial"/>
          <w:b/>
          <w:bCs/>
          <w:w w:val="70"/>
          <w:sz w:val="24"/>
          <w:szCs w:val="24"/>
        </w:rPr>
        <w:t>♦</w:t>
      </w:r>
    </w:p>
    <w:p w14:paraId="6FC17617" w14:textId="77777777" w:rsidR="00D03C17" w:rsidRDefault="00D03C17">
      <w:pPr>
        <w:pStyle w:val="BodyText"/>
        <w:ind w:left="360" w:firstLine="0"/>
      </w:pPr>
      <w:r>
        <w:t xml:space="preserve">Las fechas para comenzar y terminar la profilaxia deben basarse en las mismas consideraciones que se siguen con los productos pretérmino de alto riesgo. En abril de 2003 todavía la </w:t>
      </w:r>
      <w:r>
        <w:rPr>
          <w:rFonts w:ascii="Times New Roman" w:eastAsia="Times New Roman" w:hAnsi="Times New Roman" w:cs="Times New Roman"/>
          <w:i/>
          <w:iCs/>
          <w:sz w:val="16"/>
          <w:szCs w:val="16"/>
        </w:rPr>
        <w:t>Food and Drug Administration</w:t>
      </w:r>
      <w:r>
        <w:t xml:space="preserve"> no había aprobado el uso de palivizumab en niños con cardiopatia congénita, de tal forma que quizá cambien sus recomendaciones (véase </w:t>
      </w:r>
      <w:hyperlink r:id="rId280" w:history="1">
        <w:r>
          <w:t>www.aap.org</w:t>
        </w:r>
      </w:hyperlink>
      <w:r>
        <w:t>). A diferencia de palivizumab, RSV-IGIV está contraindicado en niños con cardiopatìa congénita cianótica. No se ha evaluado el uso de palivizumab ni de RSV-IGIV como profilácticos en investigaciones con asignación aleatoria en niños inmunodeficientes. A pesar de que es imposible hacer recomendaciones específicas en este tipo de pacientes, los menores con inmunodeficiencias graves (como la inmunodeficiencia combinada grave o el síndrome de inmunodeficiencia adquirida grave) pueden beneficiarse de la profilaxia. Si los niños en cuestión y los lactantes reciben cada mes el concentrado IGIV estándar, es posible que los médicos analicen la posibilidad de sustituir por RSV-IGIV durante la estación de ataque del virus.</w:t>
      </w:r>
    </w:p>
    <w:p w14:paraId="6BDC392E" w14:textId="77777777" w:rsidR="00D03C17" w:rsidRDefault="00D03C17">
      <w:pPr>
        <w:pStyle w:val="BodyText"/>
        <w:ind w:left="360" w:firstLine="0"/>
      </w:pPr>
      <w:r>
        <w:t>RSV-IGIV y palivizumab no son eficaces para tratar la enfermedad por RSV, razón por la cual ninguno de los dos ha recibido aprobación para usar en tal indicación. Algunos estudios sugieren que unos cuantos pacientes de fibrosis quística podrían estar expuestos a un mayor peligro de infección por RSV. Sin embargo, no hay datos suficientes para precisar la eficacia del uso de palivizumab en esta población de enfermos.</w:t>
      </w:r>
    </w:p>
    <w:p w14:paraId="7A8A8395" w14:textId="77777777" w:rsidR="00D03C17" w:rsidRDefault="00D03C17">
      <w:pPr>
        <w:pStyle w:val="BodyText"/>
        <w:numPr>
          <w:ilvl w:val="0"/>
          <w:numId w:val="93"/>
        </w:numPr>
        <w:tabs>
          <w:tab w:val="left" w:pos="341"/>
        </w:tabs>
        <w:ind w:left="360" w:hanging="360"/>
      </w:pPr>
      <w:bookmarkStart w:id="224" w:name="bookmark1248"/>
      <w:bookmarkEnd w:id="224"/>
      <w:r>
        <w:t>Si un lactante o un niño que recibe inmunoprofilácticos presenta una infección por RSV a pesar de dicha terapia, la profilaxia debe continuar durante toda la estación de ataque por RSV Dicha recomendación se basa en la observación de que los lactantes de alto riesgo pueden ser hospitalizados más de una vez en la misma estación con ataque de la zona baja de las vías respiratorias por RSV, y por el hecho de que dentro de la comunidad circulan conjuntamente varias de las cepas de virus sincitial respiratorio.</w:t>
      </w:r>
    </w:p>
    <w:p w14:paraId="2EE6DE4C" w14:textId="77777777" w:rsidR="00D03C17" w:rsidRDefault="00D03C17">
      <w:pPr>
        <w:pStyle w:val="BodyText"/>
        <w:numPr>
          <w:ilvl w:val="0"/>
          <w:numId w:val="93"/>
        </w:numPr>
        <w:tabs>
          <w:tab w:val="left" w:pos="341"/>
        </w:tabs>
        <w:ind w:left="360" w:hanging="360"/>
      </w:pPr>
      <w:bookmarkStart w:id="225" w:name="bookmark1249"/>
      <w:bookmarkEnd w:id="225"/>
      <w:r>
        <w:t>Los médicos deben hacer arreglos para administrar fármacos en término de 6 h después de abrir un frasco-ámpula porque el producto biológico no contiene conservador.</w:t>
      </w:r>
    </w:p>
    <w:p w14:paraId="69EAC420" w14:textId="77777777" w:rsidR="00D03C17" w:rsidRDefault="00D03C17">
      <w:pPr>
        <w:pStyle w:val="BodyText"/>
        <w:numPr>
          <w:ilvl w:val="0"/>
          <w:numId w:val="93"/>
        </w:numPr>
        <w:tabs>
          <w:tab w:val="left" w:pos="341"/>
        </w:tabs>
        <w:ind w:left="360" w:hanging="360"/>
      </w:pPr>
      <w:bookmarkStart w:id="226" w:name="bookmark1250"/>
      <w:bookmarkEnd w:id="226"/>
      <w:r>
        <w:t>Se sabe que el virus sincitial respiratorio es transmitido en el medio hospitalario y que causa enfermedad grave en los productos de alto riesgo. En el caso de lactantes de alto riesgo hospitalizados, la forma principal para evitar la enfermedad por RSV es el cumplimiento estricto de las prácticas de erradicación de infecciones, incluido el uso de medios rápidos para identificar y aislar a los pequeños infectados por dicho virus. Si se corrobora que existe un brote de RSV en una unidad de alto riesgo (como la unidad de cuidados intensivos en niños), habrá que conceder énfasis básico a las prácticas adecuadas de erradicación de la infección, en particular la higiene de las manos. No se pueden hacer recomendaciones en cuanto al empleo de palivizumab como una forma de prevención de la enfermedad RSV nosocomial.</w:t>
      </w:r>
    </w:p>
    <w:p w14:paraId="6E72FA81" w14:textId="77777777" w:rsidR="00D03C17" w:rsidRDefault="00D03C17">
      <w:pPr>
        <w:pStyle w:val="BodyText"/>
        <w:numPr>
          <w:ilvl w:val="0"/>
          <w:numId w:val="93"/>
        </w:numPr>
        <w:tabs>
          <w:tab w:val="left" w:pos="341"/>
        </w:tabs>
        <w:ind w:left="360" w:hanging="360"/>
      </w:pPr>
      <w:bookmarkStart w:id="227" w:name="bookmark1251"/>
      <w:bookmarkEnd w:id="227"/>
      <w:r>
        <w:t>El palivizumab no interfiere en la respuesta a las vacunas. En el caso de lactantes y niños en quienes se emprende profilaxia a base de RSV-IGIV, se diferirán las vacunaciones contra sarampión-parotiditis-rubéola y varicela nueve meses después de recibir la última dosis de RSV-IGIV. El empleo de dicho concentrado inmunoglobulínico no altera el plan de vacunación primaria en lo que toca a otras inmunizaciones recomendadas. Los datos disponibles no refuerzan la posibilidad de que se necesite dosis suplementaria de ninguna de estas vacunas que se administran sistemáticamente.</w:t>
      </w:r>
    </w:p>
    <w:p w14:paraId="4C0122DF" w14:textId="77777777" w:rsidR="00D03C17" w:rsidRDefault="00D03C17">
      <w:pPr>
        <w:pStyle w:val="BodyText"/>
        <w:ind w:firstLine="0"/>
      </w:pPr>
      <w:r>
        <w:rPr>
          <w:b/>
          <w:bCs/>
        </w:rPr>
        <w:t>A</w:t>
      </w:r>
      <w:r>
        <w:rPr>
          <w:b/>
          <w:bCs/>
          <w:sz w:val="13"/>
          <w:szCs w:val="13"/>
        </w:rPr>
        <w:t xml:space="preserve">ISLAMIENTO </w:t>
      </w:r>
      <w:r>
        <w:rPr>
          <w:b/>
          <w:bCs/>
          <w:smallCaps/>
          <w:sz w:val="16"/>
          <w:szCs w:val="16"/>
        </w:rPr>
        <w:t>del</w:t>
      </w:r>
      <w:r>
        <w:rPr>
          <w:b/>
          <w:bCs/>
          <w:sz w:val="13"/>
          <w:szCs w:val="13"/>
        </w:rPr>
        <w:t xml:space="preserve"> PACIENTE HOSPITALIZADO</w:t>
      </w:r>
      <w:r>
        <w:rPr>
          <w:b/>
          <w:bCs/>
        </w:rPr>
        <w:t xml:space="preserve">: </w:t>
      </w:r>
      <w:r>
        <w:t>Además de las precauciones estándar se recomienda seguir precauciones para evitar la transmisión por contacto durante todo el tiempo en que dure la enfermedad por RSV en lactantes y niños de corta edad, incluidos pacientes tratados con ribavirina. La eficacia de tales medidas de precaución depende del cumplimiento de órdenes terapéuticas y exige el cumplimiento escrupuloso de las medidas apropiadas de higiene de las manos. Hay que cuidar a los niños con infección por RSV en estancias aisladas o se les colocará en una “cohorte”.</w:t>
      </w:r>
    </w:p>
    <w:p w14:paraId="62A3902A" w14:textId="77777777" w:rsidR="00D03C17" w:rsidRDefault="00D03C17">
      <w:pPr>
        <w:pStyle w:val="BodyText"/>
        <w:ind w:firstLine="0"/>
      </w:pPr>
      <w:r>
        <w:rPr>
          <w:b/>
          <w:bCs/>
        </w:rPr>
        <w:t>M</w:t>
      </w:r>
      <w:r>
        <w:rPr>
          <w:b/>
          <w:bCs/>
          <w:sz w:val="13"/>
          <w:szCs w:val="13"/>
        </w:rPr>
        <w:t>EDIDAS PREVENTIVAS</w:t>
      </w:r>
      <w:r>
        <w:rPr>
          <w:b/>
          <w:bCs/>
        </w:rPr>
        <w:t xml:space="preserve">. </w:t>
      </w:r>
      <w:r>
        <w:t>La erradicación de la transmisión nosocomial de RSV se complica por la posibilidad incesante de introducción por parte de pacientes, personal y visitantes infectados. En el punto máximo de la estación de ataque de RSV, muchos lactantes y niños hospitalizados con síntomas de aparato respiratorio terminarán por ser infectados por RSV y deben ser atendidos al seguir las precauciones para evitar la transmisión por contacto (véase “Aislamiento del paciente hospitalizado” en párrafos anteriores). La identificación temprana de los pacientes infectados por RSV (véase “Métodos diagnósticos”, páginas anteriores en este resumen) es importante para emprender inmediatamente las precauciones apropiadas. En grandes brotes se ha demostrado la eficacia de diversas medidas que incluyen: 1) estudio y selección de los pacientes en busca de infección por RSV, mediante estudios de laboratorio; 2) establecer cohortes de pacientes y personal infectados; 3) excluir a visitantes que muestren infecciones de vías respiratorias; 4) excluir a personal que tenga enfermedades de vías respiratorias o infección por RSV y procurar que no atienda a lactantes susceptibles, y 5) uso de batas, guantes, visores y quizá mascarillas.</w:t>
      </w:r>
    </w:p>
    <w:p w14:paraId="37DE7C37" w14:textId="77777777" w:rsidR="00D03C17" w:rsidRDefault="00D03C17">
      <w:pPr>
        <w:pStyle w:val="BodyText"/>
        <w:spacing w:after="100"/>
        <w:ind w:firstLine="360"/>
        <w:sectPr w:rsidR="00D03C17" w:rsidSect="00D03C17">
          <w:headerReference w:type="even" r:id="rId281"/>
          <w:headerReference w:type="default" r:id="rId282"/>
          <w:footerReference w:type="even" r:id="rId283"/>
          <w:footerReference w:type="default" r:id="rId284"/>
          <w:footnotePr>
            <w:numFmt w:val="chicago"/>
          </w:footnotePr>
          <w:pgSz w:w="8501" w:h="13022"/>
          <w:pgMar w:top="898" w:right="798" w:bottom="504" w:left="816" w:header="0" w:footer="3" w:gutter="0"/>
          <w:pgNumType w:start="574"/>
          <w:cols w:space="720"/>
          <w:noEndnote/>
          <w:docGrid w:linePitch="360"/>
          <w15:footnoteColumns w:val="1"/>
        </w:sectPr>
      </w:pPr>
      <w:r>
        <w:t xml:space="preserve">Un aspecto importantísimo en la prevención de la infección por RSV en lactantes de alto riesgo es enseñar a sus progenitores y a otros cuidadores la importancia de disminuir la </w:t>
      </w:r>
    </w:p>
    <w:p w14:paraId="6D502577" w14:textId="77777777" w:rsidR="00D03C17" w:rsidRDefault="00D03C17">
      <w:pPr>
        <w:pStyle w:val="BodyText"/>
        <w:spacing w:after="100"/>
        <w:ind w:firstLine="0"/>
      </w:pPr>
      <w:r>
        <w:t>exposición al RSV y también su contagio. Entre las medidas preventivas están evitar en lo posible la exposición a entornos contagiosos (como serían centros de atención pediátrica) e insistir en la higiene de las manos en todas las situaciones, incluido el hogar, en particular en periodos en que los contactos de niños de alto riesgo tienen infecciones de vías respiratorias. Además, los pequeños de alto riesgo nunca deben quedar expuestos al humo de tabaco.</w:t>
      </w:r>
    </w:p>
    <w:p w14:paraId="36BA3E1E" w14:textId="77777777" w:rsidR="00D03C17" w:rsidRDefault="00D03C17">
      <w:pPr>
        <w:pStyle w:val="Bodytext70"/>
        <w:spacing w:after="0"/>
      </w:pPr>
      <w:r>
        <w:t>Rhinovirus, infecciones</w:t>
      </w:r>
    </w:p>
    <w:p w14:paraId="21EDD05A" w14:textId="77777777" w:rsidR="00D03C17" w:rsidRDefault="00D03C17">
      <w:pPr>
        <w:pStyle w:val="BodyText"/>
        <w:spacing w:line="266" w:lineRule="auto"/>
        <w:ind w:firstLine="0"/>
      </w:pPr>
      <w:r>
        <w:rPr>
          <w:b/>
          <w:bCs/>
          <w:smallCaps/>
          <w:sz w:val="20"/>
          <w:szCs w:val="20"/>
        </w:rPr>
        <w:t>M</w:t>
      </w:r>
      <w:r>
        <w:rPr>
          <w:b/>
          <w:bCs/>
          <w:smallCaps/>
          <w:sz w:val="16"/>
          <w:szCs w:val="16"/>
        </w:rPr>
        <w:t>anifestaciones</w:t>
      </w:r>
      <w:r>
        <w:rPr>
          <w:b/>
          <w:bCs/>
          <w:sz w:val="13"/>
          <w:szCs w:val="13"/>
        </w:rPr>
        <w:t xml:space="preserve"> CLÍNICAS</w:t>
      </w:r>
      <w:r>
        <w:rPr>
          <w:b/>
          <w:bCs/>
        </w:rPr>
        <w:t xml:space="preserve">: </w:t>
      </w:r>
      <w:r>
        <w:t>Los rhinovirus son los que causan más a menudo el resfriado común o rinosinusitis. También se les ha vinculado con faringitis, otitis media, bronquiolitis y neumonía (con menor frecuencia), así como exacerbaciones de bronquitis y enfermedad reactiva de vías respiratorias. La secreción nasal suele ser acuosa y transparente en el comienzo, pero se torna mucopurulenta y viscosa después de unos días y puede persistir 10 a 14 días. Se observan también malestar general, cefalea, mialgias y febrícula.</w:t>
      </w:r>
    </w:p>
    <w:p w14:paraId="3B5EE32A" w14:textId="77777777" w:rsidR="00D03C17" w:rsidRDefault="00D03C17">
      <w:pPr>
        <w:pStyle w:val="BodyText"/>
        <w:ind w:firstLine="0"/>
      </w:pPr>
      <w:r>
        <w:rPr>
          <w:b/>
          <w:bCs/>
        </w:rPr>
        <w:t>C</w:t>
      </w:r>
      <w:r>
        <w:rPr>
          <w:b/>
          <w:bCs/>
          <w:sz w:val="13"/>
          <w:szCs w:val="13"/>
        </w:rPr>
        <w:t>AUSAS</w:t>
      </w:r>
      <w:r>
        <w:rPr>
          <w:b/>
          <w:bCs/>
        </w:rPr>
        <w:t xml:space="preserve">: </w:t>
      </w:r>
      <w:r>
        <w:t>Las partículas en cuestión son virus de RNA clasificados como picornavirus. Se han identificado como mínimo 100 serotipos antigénicos con base en los anticuerpos neutralizantes que generan. La infección con un tipo confiere moderada inmunidad específica de tipo, pero es de grado variable, dura poco y brinda escasa protección contra otros serotipos.</w:t>
      </w:r>
    </w:p>
    <w:p w14:paraId="423D8D43" w14:textId="77777777" w:rsidR="00D03C17" w:rsidRDefault="00D03C17">
      <w:pPr>
        <w:pStyle w:val="BodyText"/>
        <w:ind w:firstLine="0"/>
      </w:pPr>
      <w:r>
        <w:rPr>
          <w:b/>
          <w:bCs/>
        </w:rPr>
        <w:t>A</w:t>
      </w:r>
      <w:r>
        <w:rPr>
          <w:b/>
          <w:bCs/>
          <w:sz w:val="13"/>
          <w:szCs w:val="13"/>
        </w:rPr>
        <w:t>SPECTOS EPIDEMIOLÓGICOS</w:t>
      </w:r>
      <w:r>
        <w:rPr>
          <w:b/>
          <w:bCs/>
        </w:rPr>
        <w:t xml:space="preserve">: </w:t>
      </w:r>
      <w:r>
        <w:t>Los rhinovirus humanos infectan sólo a seres humanos y chimpancés. La transmisión se hace más bien por contacto directo de una persona a otra, con autoinoculación por secreciones contaminadas en las manos. Con menor frecuencia la transmisión puede hacerse por aerosol. Las infecciones aparecen durante todo el año aunque la actividad máxima de la enfermedad se localiza durante otoño y primavera. Varios serotipos suelen circular simultáneamente, pero los que son prevalentes y que circulan en una población particular tienden a cambiar con el paso del tiempo. En la vida adulta las personas poseen ya anticuerpos contra muchos serotipos. Es frecuente la propagación dentro del núcleo familiar. La propagación de virus en las secreciones nasofaríngeas es más copiosa durante los primeros dos a tres días de la infección y suele cesar entre los siete y 10 días. Sin embargo, tal dispersión puede continuar incluso por tres semanas.</w:t>
      </w:r>
    </w:p>
    <w:p w14:paraId="4E61165C" w14:textId="77777777" w:rsidR="00D03C17" w:rsidRDefault="00D03C17">
      <w:pPr>
        <w:pStyle w:val="BodyText"/>
        <w:ind w:firstLine="360"/>
      </w:pPr>
      <w:r>
        <w:t xml:space="preserve">El </w:t>
      </w:r>
      <w:r>
        <w:rPr>
          <w:b/>
          <w:bCs/>
        </w:rPr>
        <w:t xml:space="preserve">periodo de incubación </w:t>
      </w:r>
      <w:r>
        <w:t xml:space="preserve">suele ser de dos a tres días, pero a veces es de siete días. </w:t>
      </w:r>
      <w:r>
        <w:rPr>
          <w:b/>
          <w:bCs/>
        </w:rPr>
        <w:t>M</w:t>
      </w:r>
      <w:r>
        <w:rPr>
          <w:b/>
          <w:bCs/>
          <w:sz w:val="13"/>
          <w:szCs w:val="13"/>
        </w:rPr>
        <w:t>ÉTODOS DIAGNÓSTICOS</w:t>
      </w:r>
      <w:r>
        <w:rPr>
          <w:b/>
          <w:bCs/>
        </w:rPr>
        <w:t xml:space="preserve">: </w:t>
      </w:r>
      <w:r>
        <w:t>La inoculación de las secreciones nasales en cultivos celulares adecuados para aislar el virus constituye la mejor forma de confirmar el diagnóstico específico. El gran número de tipos antigénicos vuelve impráctico el diagnóstico serológico de la infección.</w:t>
      </w:r>
    </w:p>
    <w:p w14:paraId="7DA3AB26" w14:textId="77777777" w:rsidR="00D03C17" w:rsidRDefault="00D03C17">
      <w:pPr>
        <w:pStyle w:val="BodyText"/>
        <w:ind w:firstLine="0"/>
      </w:pPr>
      <w:r>
        <w:rPr>
          <w:b/>
          <w:bCs/>
        </w:rPr>
        <w:t>T</w:t>
      </w:r>
      <w:r>
        <w:rPr>
          <w:b/>
          <w:bCs/>
          <w:sz w:val="13"/>
          <w:szCs w:val="13"/>
        </w:rPr>
        <w:t>RATAMIENTO</w:t>
      </w:r>
      <w:r>
        <w:rPr>
          <w:b/>
          <w:bCs/>
        </w:rPr>
        <w:t xml:space="preserve">: </w:t>
      </w:r>
      <w:r>
        <w:t>Los estudios en que los testigos reciben un placebo han indicado que los antigripales con antihistamínicos-descongestivos que se adquieren sin receta no son más eficaces que el placebo en niños menores de cinco años. Los antimicrobianos no evitan la infección bacteriana secundaria y complican el tratamiento ulterior al estimular la aparición de bacterias resistentes (véase “Uso apropiado de antimicrobianos”, sección 4).</w:t>
      </w:r>
    </w:p>
    <w:p w14:paraId="0AE9C7F2" w14:textId="77777777" w:rsidR="00D03C17" w:rsidRDefault="00D03C17">
      <w:pPr>
        <w:pStyle w:val="BodyText"/>
        <w:ind w:firstLine="0"/>
      </w:pPr>
      <w:r>
        <w:rPr>
          <w:b/>
          <w:bCs/>
        </w:rPr>
        <w:t>A</w:t>
      </w:r>
      <w:r>
        <w:rPr>
          <w:b/>
          <w:bCs/>
          <w:sz w:val="13"/>
          <w:szCs w:val="13"/>
        </w:rPr>
        <w:t xml:space="preserve">ISLAMIENTO </w:t>
      </w:r>
      <w:r>
        <w:rPr>
          <w:b/>
          <w:bCs/>
          <w:smallCaps/>
          <w:sz w:val="16"/>
          <w:szCs w:val="16"/>
        </w:rPr>
        <w:t>del</w:t>
      </w:r>
      <w:r>
        <w:rPr>
          <w:b/>
          <w:bCs/>
          <w:sz w:val="13"/>
          <w:szCs w:val="13"/>
        </w:rPr>
        <w:t xml:space="preserve"> PACIENTE HOSPITALIZADO</w:t>
      </w:r>
      <w:r>
        <w:rPr>
          <w:b/>
          <w:bCs/>
        </w:rPr>
        <w:t xml:space="preserve">: </w:t>
      </w:r>
      <w:r>
        <w:t>Además de las precauciones estándar se recomienda las que se siguen para evitar la transmisión por contacto en lactantes y niños hospitalizados, durante el tiempo que dure la enfermedad.</w:t>
      </w:r>
    </w:p>
    <w:p w14:paraId="45A83B32" w14:textId="77777777" w:rsidR="00D03C17" w:rsidRDefault="00D03C17">
      <w:pPr>
        <w:pStyle w:val="BodyText"/>
        <w:ind w:firstLine="0"/>
        <w:sectPr w:rsidR="00D03C17" w:rsidSect="00D03C17">
          <w:headerReference w:type="even" r:id="rId285"/>
          <w:headerReference w:type="default" r:id="rId286"/>
          <w:footerReference w:type="even" r:id="rId287"/>
          <w:footerReference w:type="default" r:id="rId288"/>
          <w:footnotePr>
            <w:numFmt w:val="chicago"/>
          </w:footnotePr>
          <w:type w:val="continuous"/>
          <w:pgSz w:w="8501" w:h="13022"/>
          <w:pgMar w:top="898" w:right="798" w:bottom="504" w:left="816" w:header="0" w:footer="76" w:gutter="0"/>
          <w:cols w:space="720"/>
          <w:noEndnote/>
          <w:docGrid w:linePitch="360"/>
          <w15:footnoteColumns w:val="1"/>
        </w:sectPr>
      </w:pPr>
      <w:r>
        <w:rPr>
          <w:b/>
          <w:bCs/>
        </w:rPr>
        <w:t>M</w:t>
      </w:r>
      <w:r>
        <w:rPr>
          <w:b/>
          <w:bCs/>
          <w:sz w:val="13"/>
          <w:szCs w:val="13"/>
        </w:rPr>
        <w:t>EDIDAS PREVENTIVAS</w:t>
      </w:r>
      <w:r>
        <w:rPr>
          <w:b/>
          <w:bCs/>
        </w:rPr>
        <w:t xml:space="preserve">: </w:t>
      </w:r>
      <w:r>
        <w:t>La higiene manual frecuente y las medidas sanitarias en escuelas, hogares y otros sitios en que es común la transmisión permite a veces disminuir la propagación de los rhinovirus. No ha tenido beneficio probado el uso de desinfectantes en aerosol, en el entorno.</w:t>
      </w:r>
    </w:p>
    <w:p w14:paraId="61F3D46A" w14:textId="77777777" w:rsidR="00D03C17" w:rsidRDefault="00D03C17">
      <w:pPr>
        <w:pStyle w:val="BodyText"/>
        <w:spacing w:after="100"/>
        <w:ind w:firstLine="0"/>
      </w:pPr>
      <w:r>
        <w:t>exposición al RSV y también su contagio. Entre las medidas preventivas están evitar en lo posible la exposición a entornos contagiosos (como serían centros de atención pediátrica) e insistir en la higiene de las manos en todas las situaciones, incluido el hogar, en particular en periodos en que los contactos de niños de alto riesgo tienen infecciones de vías respiratorias. Además, los pequeños de alto riesgo nunca deben quedar expuestos al humo de tabaco.</w:t>
      </w:r>
    </w:p>
    <w:p w14:paraId="6228CBE2" w14:textId="77777777" w:rsidR="00D03C17" w:rsidRDefault="00D03C17">
      <w:pPr>
        <w:pStyle w:val="Bodytext70"/>
        <w:spacing w:after="0"/>
      </w:pPr>
      <w:r>
        <w:t>Rhinovirus, infecciones</w:t>
      </w:r>
    </w:p>
    <w:p w14:paraId="52229416" w14:textId="77777777" w:rsidR="00D03C17" w:rsidRDefault="00D03C17">
      <w:pPr>
        <w:pStyle w:val="BodyText"/>
        <w:spacing w:line="266" w:lineRule="auto"/>
        <w:ind w:firstLine="0"/>
      </w:pPr>
      <w:r>
        <w:rPr>
          <w:b/>
          <w:bCs/>
          <w:smallCaps/>
          <w:sz w:val="20"/>
          <w:szCs w:val="20"/>
        </w:rPr>
        <w:t>M</w:t>
      </w:r>
      <w:r>
        <w:rPr>
          <w:b/>
          <w:bCs/>
          <w:smallCaps/>
          <w:sz w:val="16"/>
          <w:szCs w:val="16"/>
        </w:rPr>
        <w:t>anifestaciones</w:t>
      </w:r>
      <w:r>
        <w:rPr>
          <w:b/>
          <w:bCs/>
          <w:sz w:val="13"/>
          <w:szCs w:val="13"/>
        </w:rPr>
        <w:t xml:space="preserve"> CLÍNICAS</w:t>
      </w:r>
      <w:r>
        <w:rPr>
          <w:b/>
          <w:bCs/>
        </w:rPr>
        <w:t xml:space="preserve">: </w:t>
      </w:r>
      <w:r>
        <w:t>Los rhinovirus son los que causan más a menudo el resfriado común o rinosinusitis. También se les ha vinculado con faringitis, otitis media, bronquiolitis y neumonía (con menor frecuencia), así como exacerbaciones de bronquitis y enfermedad reactiva de vías respiratorias. La secreción nasal suele ser acuosa y transparente en el comienzo, pero se torna mucopurulenta y viscosa después de unos días y puede persistir 10 a 14 días. Se observan también malestar general, cefalea, mialgias y febrícula.</w:t>
      </w:r>
    </w:p>
    <w:p w14:paraId="1397FAEB" w14:textId="77777777" w:rsidR="00D03C17" w:rsidRDefault="00D03C17">
      <w:pPr>
        <w:pStyle w:val="BodyText"/>
        <w:ind w:firstLine="0"/>
      </w:pPr>
      <w:r>
        <w:rPr>
          <w:b/>
          <w:bCs/>
        </w:rPr>
        <w:t>C</w:t>
      </w:r>
      <w:r>
        <w:rPr>
          <w:b/>
          <w:bCs/>
          <w:sz w:val="13"/>
          <w:szCs w:val="13"/>
        </w:rPr>
        <w:t>AUSAS</w:t>
      </w:r>
      <w:r>
        <w:rPr>
          <w:b/>
          <w:bCs/>
        </w:rPr>
        <w:t xml:space="preserve">: </w:t>
      </w:r>
      <w:r>
        <w:t>Las partículas en cuestión son virus de RNA clasificados como picornavirus. Se han identificado como mínimo 100 serotipos antigénicos con base en los anticuerpos neutralizantes que generan. La infección con un tipo confiere moderada inmunidad específica de tipo, pero es de grado variable, dura poco y brinda escasa protección contra otros serotipos.</w:t>
      </w:r>
    </w:p>
    <w:p w14:paraId="4881C490" w14:textId="77777777" w:rsidR="00D03C17" w:rsidRDefault="00D03C17">
      <w:pPr>
        <w:pStyle w:val="BodyText"/>
        <w:ind w:firstLine="0"/>
      </w:pPr>
      <w:r>
        <w:rPr>
          <w:b/>
          <w:bCs/>
        </w:rPr>
        <w:t>A</w:t>
      </w:r>
      <w:r>
        <w:rPr>
          <w:b/>
          <w:bCs/>
          <w:sz w:val="13"/>
          <w:szCs w:val="13"/>
        </w:rPr>
        <w:t>SPECTOS EPIDEMIOLÓGICOS</w:t>
      </w:r>
      <w:r>
        <w:rPr>
          <w:b/>
          <w:bCs/>
        </w:rPr>
        <w:t xml:space="preserve">: </w:t>
      </w:r>
      <w:r>
        <w:t>Los rhinovirus humanos infectan sólo a seres humanos y chimpancés. La transmisión se hace más bien por contacto directo de una persona a otra, con autoinoculación por secreciones contaminadas en las manos. Con menor frecuencia la transmisión puede hacerse por aerosol. Las infecciones aparecen durante todo el año aunque la actividad máxima de la enfermedad se localiza durante otoño y primavera. Varios serotipos suelen circular simultáneamente, pero los que son prevalentes y que circulan en una población particular tienden a cambiar con el paso del tiempo. En la vida adulta las personas poseen ya anticuerpos contra muchos serotipos. Es frecuente la propagación dentro del núcleo familiar. La propagación de virus en las secreciones nasofaríngeas es más copiosa durante los primeros dos a tres días de la infección y suele cesar entre los siete y 10 días. Sin embargo, tal dispersión puede continuar incluso por tres semanas.</w:t>
      </w:r>
    </w:p>
    <w:p w14:paraId="355EB52F" w14:textId="77777777" w:rsidR="00D03C17" w:rsidRDefault="00D03C17">
      <w:pPr>
        <w:pStyle w:val="BodyText"/>
        <w:ind w:firstLine="360"/>
      </w:pPr>
      <w:r>
        <w:t xml:space="preserve">El </w:t>
      </w:r>
      <w:r>
        <w:rPr>
          <w:b/>
          <w:bCs/>
        </w:rPr>
        <w:t xml:space="preserve">periodo de incubación </w:t>
      </w:r>
      <w:r>
        <w:t xml:space="preserve">suele ser de dos a tres días, pero a veces es de siete días. </w:t>
      </w:r>
      <w:r>
        <w:rPr>
          <w:b/>
          <w:bCs/>
        </w:rPr>
        <w:t>M</w:t>
      </w:r>
      <w:r>
        <w:rPr>
          <w:b/>
          <w:bCs/>
          <w:sz w:val="13"/>
          <w:szCs w:val="13"/>
        </w:rPr>
        <w:t>ÉTODOS DIAGNÓSTICOS</w:t>
      </w:r>
      <w:r>
        <w:rPr>
          <w:b/>
          <w:bCs/>
        </w:rPr>
        <w:t xml:space="preserve">: </w:t>
      </w:r>
      <w:r>
        <w:t>La inoculación de las secreciones nasales en cultivos celulares adecuados para aislar el virus constituye la mejor forma de confirmar el diagnóstico específico. El gran número de tipos antigénicos vuelve impráctico el diagnóstico serológico de la infección.</w:t>
      </w:r>
    </w:p>
    <w:p w14:paraId="0D59A2FF" w14:textId="77777777" w:rsidR="00D03C17" w:rsidRDefault="00D03C17">
      <w:pPr>
        <w:pStyle w:val="BodyText"/>
        <w:ind w:firstLine="0"/>
      </w:pPr>
      <w:r>
        <w:rPr>
          <w:b/>
          <w:bCs/>
        </w:rPr>
        <w:t>T</w:t>
      </w:r>
      <w:r>
        <w:rPr>
          <w:b/>
          <w:bCs/>
          <w:sz w:val="13"/>
          <w:szCs w:val="13"/>
        </w:rPr>
        <w:t>RATAMIENTO</w:t>
      </w:r>
      <w:r>
        <w:rPr>
          <w:b/>
          <w:bCs/>
        </w:rPr>
        <w:t xml:space="preserve">: </w:t>
      </w:r>
      <w:r>
        <w:t>Los estudios en que los testigos reciben un placebo han indicado que los antigripales con antihistamínicos-descongestivos que se adquieren sin receta no son más eficaces que el placebo en niños menores de cinco años. Los antimicrobianos no evitan la infección bacteriana secundaria y complican el tratamiento ulterior al estimular la aparición de bacterias resistentes (véase “Uso apropiado de antimicrobianos”, sección 4).</w:t>
      </w:r>
    </w:p>
    <w:p w14:paraId="42CEB8B9" w14:textId="77777777" w:rsidR="00D03C17" w:rsidRDefault="00D03C17">
      <w:pPr>
        <w:pStyle w:val="BodyText"/>
        <w:ind w:firstLine="0"/>
      </w:pPr>
      <w:r>
        <w:rPr>
          <w:b/>
          <w:bCs/>
        </w:rPr>
        <w:t>A</w:t>
      </w:r>
      <w:r>
        <w:rPr>
          <w:b/>
          <w:bCs/>
          <w:sz w:val="13"/>
          <w:szCs w:val="13"/>
        </w:rPr>
        <w:t xml:space="preserve">ISLAMIENTO </w:t>
      </w:r>
      <w:r>
        <w:rPr>
          <w:b/>
          <w:bCs/>
          <w:smallCaps/>
          <w:sz w:val="16"/>
          <w:szCs w:val="16"/>
        </w:rPr>
        <w:t>del</w:t>
      </w:r>
      <w:r>
        <w:rPr>
          <w:b/>
          <w:bCs/>
          <w:sz w:val="13"/>
          <w:szCs w:val="13"/>
        </w:rPr>
        <w:t xml:space="preserve"> PACIENTE HOSPITALIZADO</w:t>
      </w:r>
      <w:r>
        <w:rPr>
          <w:b/>
          <w:bCs/>
        </w:rPr>
        <w:t xml:space="preserve">: </w:t>
      </w:r>
      <w:r>
        <w:t>Además de las precauciones estándar se recomienda las que se siguen para evitar la transmisión por contacto en lactantes y niños hospitalizados, durante el tiempo que dure la enfermedad.</w:t>
      </w:r>
    </w:p>
    <w:p w14:paraId="0F9171DE" w14:textId="77777777" w:rsidR="00D03C17" w:rsidRDefault="00D03C17">
      <w:pPr>
        <w:pStyle w:val="BodyText"/>
        <w:ind w:firstLine="0"/>
      </w:pPr>
      <w:r>
        <w:rPr>
          <w:b/>
          <w:bCs/>
        </w:rPr>
        <w:t>M</w:t>
      </w:r>
      <w:r>
        <w:rPr>
          <w:b/>
          <w:bCs/>
          <w:sz w:val="13"/>
          <w:szCs w:val="13"/>
        </w:rPr>
        <w:t>EDIDAS PREVENTIVAS</w:t>
      </w:r>
      <w:r>
        <w:rPr>
          <w:b/>
          <w:bCs/>
        </w:rPr>
        <w:t xml:space="preserve">: </w:t>
      </w:r>
      <w:r>
        <w:t>La higiene manual frecuente y las medidas sanitarias en escuelas, hogares y otros sitios en que es común la transmisión permite a veces disminuir la propagación de los rhinovirus. No ha tenido beneficio probado el uso de desinfectantes en aerosol, en el entorno.</w:t>
      </w:r>
    </w:p>
    <w:p w14:paraId="59CA1143" w14:textId="77777777" w:rsidR="00D03C17" w:rsidRDefault="00D03C17">
      <w:pPr>
        <w:pStyle w:val="Bodytext70"/>
        <w:spacing w:after="0"/>
      </w:pPr>
      <w:r>
        <w:t>Rickettsiosis pustulosa</w:t>
      </w:r>
    </w:p>
    <w:p w14:paraId="38051959" w14:textId="77777777" w:rsidR="00D03C17" w:rsidRDefault="00D03C17">
      <w:pPr>
        <w:pStyle w:val="BodyText"/>
        <w:ind w:firstLine="0"/>
      </w:pPr>
      <w:r>
        <w:rPr>
          <w:b/>
          <w:bCs/>
        </w:rPr>
        <w:t>M</w:t>
      </w:r>
      <w:r>
        <w:rPr>
          <w:b/>
          <w:bCs/>
          <w:sz w:val="13"/>
          <w:szCs w:val="13"/>
        </w:rPr>
        <w:t>ANIFESTACIONES CLÍNICAS</w:t>
      </w:r>
      <w:r>
        <w:rPr>
          <w:b/>
          <w:bCs/>
        </w:rPr>
        <w:t xml:space="preserve">: </w:t>
      </w:r>
      <w:r>
        <w:t>La rickettsiosis pustulosa se caracteriza por erupciones papulovesiculares, eritematosas y generalizadas en el tronco, la cara, las extremidades (incluidas palmas y plantas) y las membranas mucosas después que surge una escara en el sitio en que picó el artrópodo vector (murino). En forma típica se agrandan los ganglios linfáticos regionales en la zona de la escara primaria. El cuadro sistémico dura en promedio una semana, y entre sus manifestaciones están fiebre, escalofríos, cefalea, sudoración profusa, mialgias, anorexia y fotofobia. La enfermedad cede por sí sola y rara vez se acompaña de complicaciones.</w:t>
      </w:r>
    </w:p>
    <w:p w14:paraId="36AA354A" w14:textId="77777777" w:rsidR="00D03C17" w:rsidRDefault="00D03C17">
      <w:pPr>
        <w:pStyle w:val="BodyText"/>
        <w:spacing w:line="283" w:lineRule="auto"/>
        <w:ind w:firstLine="0"/>
        <w:rPr>
          <w:sz w:val="16"/>
          <w:szCs w:val="16"/>
        </w:rPr>
      </w:pPr>
      <w:r>
        <w:rPr>
          <w:b/>
          <w:bCs/>
        </w:rPr>
        <w:t>C</w:t>
      </w:r>
      <w:r>
        <w:rPr>
          <w:b/>
          <w:bCs/>
          <w:sz w:val="13"/>
          <w:szCs w:val="13"/>
        </w:rPr>
        <w:t>AUSAS</w:t>
      </w:r>
      <w:r>
        <w:rPr>
          <w:b/>
          <w:bCs/>
        </w:rPr>
        <w:t xml:space="preserve">: </w:t>
      </w:r>
      <w:r>
        <w:t xml:space="preserve">La rickettsiosis pustulosa es causada por </w:t>
      </w:r>
      <w:r>
        <w:rPr>
          <w:rFonts w:ascii="Times New Roman" w:eastAsia="Times New Roman" w:hAnsi="Times New Roman" w:cs="Times New Roman"/>
          <w:i/>
          <w:iCs/>
          <w:sz w:val="16"/>
          <w:szCs w:val="16"/>
        </w:rPr>
        <w:t>Rickettsia akari</w:t>
      </w:r>
      <w:r>
        <w:rPr>
          <w:i/>
          <w:iCs/>
        </w:rPr>
        <w:t>,</w:t>
      </w:r>
      <w:r>
        <w:t xml:space="preserve"> clasificada dentro de las rickettsias del grupo de las fiebres maculadas y vinculada antigénicamente con </w:t>
      </w:r>
      <w:r>
        <w:rPr>
          <w:rFonts w:ascii="Times New Roman" w:eastAsia="Times New Roman" w:hAnsi="Times New Roman" w:cs="Times New Roman"/>
          <w:i/>
          <w:iCs/>
          <w:sz w:val="16"/>
          <w:szCs w:val="16"/>
        </w:rPr>
        <w:t>Rickettsia rickettsii.</w:t>
      </w:r>
    </w:p>
    <w:p w14:paraId="3ACB1613" w14:textId="77777777" w:rsidR="00D03C17" w:rsidRDefault="00D03C17">
      <w:pPr>
        <w:pStyle w:val="BodyText"/>
        <w:ind w:firstLine="0"/>
      </w:pPr>
      <w:r>
        <w:rPr>
          <w:b/>
          <w:bCs/>
        </w:rPr>
        <w:t>A</w:t>
      </w:r>
      <w:r>
        <w:rPr>
          <w:b/>
          <w:bCs/>
          <w:sz w:val="13"/>
          <w:szCs w:val="13"/>
        </w:rPr>
        <w:t>SPECTOS EPIDEMIOLÓGICOS</w:t>
      </w:r>
      <w:r>
        <w:rPr>
          <w:b/>
          <w:bCs/>
        </w:rPr>
        <w:t xml:space="preserve">: </w:t>
      </w:r>
      <w:r>
        <w:t xml:space="preserve">El hospedador natural de </w:t>
      </w:r>
      <w:r>
        <w:rPr>
          <w:rFonts w:ascii="Times New Roman" w:eastAsia="Times New Roman" w:hAnsi="Times New Roman" w:cs="Times New Roman"/>
          <w:i/>
          <w:iCs/>
          <w:sz w:val="16"/>
          <w:szCs w:val="16"/>
        </w:rPr>
        <w:t>R. akari</w:t>
      </w:r>
      <w:r>
        <w:t xml:space="preserve"> en Estados Unidos es el ratón casero común Mus musculus. La enfermedad es transmitida por el ácaro del ratón </w:t>
      </w:r>
      <w:r>
        <w:rPr>
          <w:i/>
          <w:iCs/>
        </w:rPr>
        <w:t>(</w:t>
      </w:r>
      <w:r>
        <w:rPr>
          <w:rFonts w:ascii="Times New Roman" w:eastAsia="Times New Roman" w:hAnsi="Times New Roman" w:cs="Times New Roman"/>
          <w:i/>
          <w:iCs/>
          <w:sz w:val="16"/>
          <w:szCs w:val="16"/>
        </w:rPr>
        <w:t>Liponyssoides sanguineus</w:t>
      </w:r>
      <w:r>
        <w:rPr>
          <w:i/>
          <w:iCs/>
        </w:rPr>
        <w:t>).</w:t>
      </w:r>
      <w:r>
        <w:t xml:space="preserve"> El peligro de mostrar la enfermedad alcanza su punto máximo en áreas infestadas por ratones. La enfermedad aparece en grandes medios urbanos y se le ha identificado en la zona noreste de Estados Unidos, Ohio, Utah, Croacia, Ukrania, Rusia, Corea y África del Sur. Puede afectar a cualquier grupo de edad y no se ha observado un perfil estacional. La enfermedad no es transmisible y rara vez se le notifica en Estados Unidos en la actualidad.</w:t>
      </w:r>
    </w:p>
    <w:p w14:paraId="1C1AA79A" w14:textId="77777777" w:rsidR="00D03C17" w:rsidRDefault="00D03C17">
      <w:pPr>
        <w:pStyle w:val="BodyText"/>
        <w:ind w:firstLine="360"/>
      </w:pPr>
      <w:r>
        <w:t xml:space="preserve">El </w:t>
      </w:r>
      <w:r>
        <w:rPr>
          <w:b/>
          <w:bCs/>
        </w:rPr>
        <w:t xml:space="preserve">periodo de incubación </w:t>
      </w:r>
      <w:r>
        <w:t>es de nueve a 14 días.</w:t>
      </w:r>
    </w:p>
    <w:p w14:paraId="459C8A79" w14:textId="77777777" w:rsidR="00D03C17" w:rsidRDefault="00D03C17">
      <w:pPr>
        <w:pStyle w:val="BodyText"/>
        <w:ind w:firstLine="0"/>
      </w:pPr>
      <w:r>
        <w:rPr>
          <w:b/>
          <w:bCs/>
        </w:rPr>
        <w:t>M</w:t>
      </w:r>
      <w:r>
        <w:rPr>
          <w:b/>
          <w:bCs/>
          <w:sz w:val="13"/>
          <w:szCs w:val="13"/>
        </w:rPr>
        <w:t>ÉTODOS DIAGNÓSTICOS</w:t>
      </w:r>
      <w:r>
        <w:rPr>
          <w:b/>
          <w:bCs/>
        </w:rPr>
        <w:t xml:space="preserve">: </w:t>
      </w:r>
      <w:r>
        <w:t xml:space="preserve">Es posible aislar </w:t>
      </w:r>
      <w:r>
        <w:rPr>
          <w:rFonts w:ascii="Times New Roman" w:eastAsia="Times New Roman" w:hAnsi="Times New Roman" w:cs="Times New Roman"/>
          <w:i/>
          <w:iCs/>
          <w:sz w:val="16"/>
          <w:szCs w:val="16"/>
        </w:rPr>
        <w:t>Rickettsia akari</w:t>
      </w:r>
      <w:r>
        <w:t xml:space="preserve"> de la sangre en la fase aguda de la enfermedad, pero no se intenta sistemáticamente el cultivo y se le practica sólo en laboratorios especializados. Por medio del método de anticuerpos inmunofluorescentes indirectos o la prueba de fijación de complemento de </w:t>
      </w:r>
      <w:r>
        <w:rPr>
          <w:rFonts w:ascii="Times New Roman" w:eastAsia="Times New Roman" w:hAnsi="Times New Roman" w:cs="Times New Roman"/>
          <w:i/>
          <w:iCs/>
          <w:sz w:val="16"/>
          <w:szCs w:val="16"/>
        </w:rPr>
        <w:t>R. rickettsii</w:t>
      </w:r>
      <w:r>
        <w:t xml:space="preserve"> (la causa de la fiebre maculada de las Montañas Rocosas) se demostrará un cambio cuádruple en los títulos de anticuerpos entre las muestras de suero de fase aguda y de convalecencia porque los anticuerpos a </w:t>
      </w:r>
      <w:r>
        <w:rPr>
          <w:rFonts w:ascii="Times New Roman" w:eastAsia="Times New Roman" w:hAnsi="Times New Roman" w:cs="Times New Roman"/>
          <w:i/>
          <w:iCs/>
          <w:sz w:val="16"/>
          <w:szCs w:val="16"/>
        </w:rPr>
        <w:t>R. akari</w:t>
      </w:r>
      <w:r>
        <w:t xml:space="preserve"> muestran extensa reactividad cruzada con los que surgen contra </w:t>
      </w:r>
      <w:r>
        <w:rPr>
          <w:rFonts w:ascii="Times New Roman" w:eastAsia="Times New Roman" w:hAnsi="Times New Roman" w:cs="Times New Roman"/>
          <w:i/>
          <w:iCs/>
          <w:sz w:val="16"/>
          <w:szCs w:val="16"/>
        </w:rPr>
        <w:t>R. rickettsii.</w:t>
      </w:r>
      <w:r>
        <w:t xml:space="preserve"> Por medio de la absorción de muestras de suero antes de realizar el método de anticuerpos por inmunofluorescencia indirecta es factible diferenciar entre las respuestas de anticuerpos a </w:t>
      </w:r>
      <w:r>
        <w:rPr>
          <w:rFonts w:ascii="Times New Roman" w:eastAsia="Times New Roman" w:hAnsi="Times New Roman" w:cs="Times New Roman"/>
          <w:i/>
          <w:iCs/>
          <w:sz w:val="16"/>
          <w:szCs w:val="16"/>
        </w:rPr>
        <w:t>R. rickettsii</w:t>
      </w:r>
      <w:r>
        <w:t xml:space="preserve"> y </w:t>
      </w:r>
      <w:r>
        <w:rPr>
          <w:rFonts w:ascii="Times New Roman" w:eastAsia="Times New Roman" w:hAnsi="Times New Roman" w:cs="Times New Roman"/>
          <w:i/>
          <w:iCs/>
          <w:sz w:val="16"/>
          <w:szCs w:val="16"/>
        </w:rPr>
        <w:t>R. akari</w:t>
      </w:r>
      <w:r>
        <w:t>. Otros métodos diagnósticos útiles son la prueba de anticuerpos fluorescentes directos en escaras dentro de moldes de parafina y el estudio histopatológico de papulovesículas.</w:t>
      </w:r>
    </w:p>
    <w:p w14:paraId="21792165" w14:textId="77777777" w:rsidR="00D03C17" w:rsidRDefault="00D03C17">
      <w:pPr>
        <w:pStyle w:val="BodyText"/>
        <w:ind w:firstLine="0"/>
      </w:pPr>
      <w:r>
        <w:rPr>
          <w:b/>
          <w:bCs/>
        </w:rPr>
        <w:t>T</w:t>
      </w:r>
      <w:r>
        <w:rPr>
          <w:b/>
          <w:bCs/>
          <w:sz w:val="13"/>
          <w:szCs w:val="13"/>
        </w:rPr>
        <w:t>RATAMIENTO</w:t>
      </w:r>
      <w:r>
        <w:rPr>
          <w:b/>
          <w:bCs/>
        </w:rPr>
        <w:t xml:space="preserve">: </w:t>
      </w:r>
      <w:r>
        <w:t>La doxiciclina o el cloranfenicol acortarán la evolución de la enfermedad; en término de 48 h de haber comenzado su administración mostrarán resolución los síntomas. Es mejor no administrar tetraciclinas a niños menores de ocho años, salvo que los beneficios de su uso sean mayores que el riesgo de manchas en los dientes (véase “Antimicrobianos y fármacos similares”, sección 4). El tratamiento es eficaz si se hace durante tres a cinco días; rara vez hay recaídas.</w:t>
      </w:r>
    </w:p>
    <w:p w14:paraId="3F02E693" w14:textId="77777777" w:rsidR="00D03C17" w:rsidRDefault="00D03C17">
      <w:pPr>
        <w:pStyle w:val="BodyText"/>
        <w:spacing w:after="100"/>
        <w:ind w:firstLine="0"/>
      </w:pPr>
      <w:r>
        <w:rPr>
          <w:b/>
          <w:bCs/>
        </w:rPr>
        <w:t>A</w:t>
      </w:r>
      <w:r>
        <w:rPr>
          <w:b/>
          <w:bCs/>
          <w:sz w:val="13"/>
          <w:szCs w:val="13"/>
        </w:rPr>
        <w:t>ISLAMIENTO DEL PACIENTE HOSPITALIZADO</w:t>
      </w:r>
      <w:r>
        <w:rPr>
          <w:b/>
          <w:bCs/>
        </w:rPr>
        <w:t xml:space="preserve">: </w:t>
      </w:r>
      <w:r>
        <w:t xml:space="preserve">Se recomienda seguir las precauciones estándar. </w:t>
      </w:r>
      <w:r>
        <w:rPr>
          <w:b/>
          <w:bCs/>
        </w:rPr>
        <w:t>M</w:t>
      </w:r>
      <w:r>
        <w:rPr>
          <w:b/>
          <w:bCs/>
          <w:sz w:val="13"/>
          <w:szCs w:val="13"/>
        </w:rPr>
        <w:t>EDIDAS PREVENTIVAS</w:t>
      </w:r>
      <w:r>
        <w:rPr>
          <w:b/>
          <w:bCs/>
        </w:rPr>
        <w:t xml:space="preserve">: </w:t>
      </w:r>
      <w:r>
        <w:t>La desinfestación con insecticidas de acción residual y medidas para erradicar roedores limitarán o eliminarán el vector. No se necesita el tratamiento específico de personas expuestas.</w:t>
      </w:r>
    </w:p>
    <w:p w14:paraId="6D5468CC" w14:textId="77777777" w:rsidR="00D03C17" w:rsidRDefault="00D03C17">
      <w:pPr>
        <w:pStyle w:val="Bodytext70"/>
        <w:spacing w:after="0"/>
      </w:pPr>
      <w:r>
        <w:t>Rickettsiosis</w:t>
      </w:r>
    </w:p>
    <w:p w14:paraId="5A453A51" w14:textId="77777777" w:rsidR="00D03C17" w:rsidRDefault="00D03C17">
      <w:pPr>
        <w:pStyle w:val="BodyText"/>
        <w:spacing w:after="40"/>
        <w:ind w:firstLine="0"/>
      </w:pPr>
      <w:r>
        <w:t>Las rickettsias son bacterias cocobacilares pequeñas, y de ellas muchas tienen vectores que son artrópodos, como las garrapatas, las pulgas y los piojos. Los seres humanos son</w:t>
      </w:r>
    </w:p>
    <w:p w14:paraId="2CDB17F5" w14:textId="77777777" w:rsidR="00D03C17" w:rsidRDefault="00D03C17">
      <w:pPr>
        <w:pStyle w:val="Bodytext70"/>
        <w:spacing w:after="0"/>
      </w:pPr>
      <w:r>
        <w:t>Rickettsiosis pustulosa</w:t>
      </w:r>
    </w:p>
    <w:p w14:paraId="6C32E65F" w14:textId="77777777" w:rsidR="00D03C17" w:rsidRDefault="00D03C17">
      <w:pPr>
        <w:pStyle w:val="BodyText"/>
        <w:ind w:firstLine="0"/>
      </w:pPr>
      <w:r>
        <w:rPr>
          <w:b/>
          <w:bCs/>
        </w:rPr>
        <w:t>M</w:t>
      </w:r>
      <w:r>
        <w:rPr>
          <w:b/>
          <w:bCs/>
          <w:sz w:val="13"/>
          <w:szCs w:val="13"/>
        </w:rPr>
        <w:t>ANIFESTACIONES CLÍNICAS</w:t>
      </w:r>
      <w:r>
        <w:rPr>
          <w:b/>
          <w:bCs/>
        </w:rPr>
        <w:t xml:space="preserve">: </w:t>
      </w:r>
      <w:r>
        <w:t>La rickettsiosis pustulosa se caracteriza por erupciones papulovesiculares, eritematosas y generalizadas en el tronco, la cara, las extremidades (incluidas palmas y plantas) y las membranas mucosas después que surge una escara en el sitio en que picó el artrópodo vector (murino). En forma típica se agrandan los ganglios linfáticos regionales en la zona de la escara primaria. El cuadro sistémico dura en promedio una semana, y entre sus manifestaciones están fiebre, escalofríos, cefalea, sudoración profusa, mialgias, anorexia y fotofobia. La enfermedad cede por sí sola y rara vez se acompaña de complicaciones.</w:t>
      </w:r>
    </w:p>
    <w:p w14:paraId="77BCB894" w14:textId="77777777" w:rsidR="00D03C17" w:rsidRDefault="00D03C17">
      <w:pPr>
        <w:pStyle w:val="BodyText"/>
        <w:spacing w:line="283" w:lineRule="auto"/>
        <w:ind w:firstLine="0"/>
        <w:rPr>
          <w:sz w:val="16"/>
          <w:szCs w:val="16"/>
        </w:rPr>
      </w:pPr>
      <w:r>
        <w:rPr>
          <w:b/>
          <w:bCs/>
        </w:rPr>
        <w:t>C</w:t>
      </w:r>
      <w:r>
        <w:rPr>
          <w:b/>
          <w:bCs/>
          <w:sz w:val="13"/>
          <w:szCs w:val="13"/>
        </w:rPr>
        <w:t>AUSAS</w:t>
      </w:r>
      <w:r>
        <w:rPr>
          <w:b/>
          <w:bCs/>
        </w:rPr>
        <w:t xml:space="preserve">: </w:t>
      </w:r>
      <w:r>
        <w:t xml:space="preserve">La rickettsiosis pustulosa es causada por </w:t>
      </w:r>
      <w:r>
        <w:rPr>
          <w:rFonts w:ascii="Times New Roman" w:eastAsia="Times New Roman" w:hAnsi="Times New Roman" w:cs="Times New Roman"/>
          <w:i/>
          <w:iCs/>
          <w:sz w:val="16"/>
          <w:szCs w:val="16"/>
        </w:rPr>
        <w:t>Rickettsia akari</w:t>
      </w:r>
      <w:r>
        <w:rPr>
          <w:i/>
          <w:iCs/>
        </w:rPr>
        <w:t>,</w:t>
      </w:r>
      <w:r>
        <w:t xml:space="preserve"> clasificada dentro de las rickettsias del grupo de las fiebres maculadas y vinculada antigénicamente con </w:t>
      </w:r>
      <w:r>
        <w:rPr>
          <w:rFonts w:ascii="Times New Roman" w:eastAsia="Times New Roman" w:hAnsi="Times New Roman" w:cs="Times New Roman"/>
          <w:i/>
          <w:iCs/>
          <w:sz w:val="16"/>
          <w:szCs w:val="16"/>
        </w:rPr>
        <w:t>Rickettsia rickettsii.</w:t>
      </w:r>
    </w:p>
    <w:p w14:paraId="1E01FF87" w14:textId="77777777" w:rsidR="00D03C17" w:rsidRDefault="00D03C17">
      <w:pPr>
        <w:pStyle w:val="BodyText"/>
        <w:ind w:firstLine="0"/>
      </w:pPr>
      <w:r>
        <w:rPr>
          <w:b/>
          <w:bCs/>
        </w:rPr>
        <w:t>A</w:t>
      </w:r>
      <w:r>
        <w:rPr>
          <w:b/>
          <w:bCs/>
          <w:sz w:val="13"/>
          <w:szCs w:val="13"/>
        </w:rPr>
        <w:t>SPECTOS EPIDEMIOLÓGICOS</w:t>
      </w:r>
      <w:r>
        <w:rPr>
          <w:b/>
          <w:bCs/>
        </w:rPr>
        <w:t xml:space="preserve">: </w:t>
      </w:r>
      <w:r>
        <w:t xml:space="preserve">El hospedador natural de </w:t>
      </w:r>
      <w:r>
        <w:rPr>
          <w:rFonts w:ascii="Times New Roman" w:eastAsia="Times New Roman" w:hAnsi="Times New Roman" w:cs="Times New Roman"/>
          <w:i/>
          <w:iCs/>
          <w:sz w:val="16"/>
          <w:szCs w:val="16"/>
        </w:rPr>
        <w:t>R. akari</w:t>
      </w:r>
      <w:r>
        <w:t xml:space="preserve"> en Estados Unidos es el ratón casero común Mus musculus. La enfermedad es transmitida por el ácaro del ratón </w:t>
      </w:r>
      <w:r>
        <w:rPr>
          <w:i/>
          <w:iCs/>
        </w:rPr>
        <w:t>(</w:t>
      </w:r>
      <w:r>
        <w:rPr>
          <w:rFonts w:ascii="Times New Roman" w:eastAsia="Times New Roman" w:hAnsi="Times New Roman" w:cs="Times New Roman"/>
          <w:i/>
          <w:iCs/>
          <w:sz w:val="16"/>
          <w:szCs w:val="16"/>
        </w:rPr>
        <w:t>Liponyssoides sanguineus</w:t>
      </w:r>
      <w:r>
        <w:rPr>
          <w:i/>
          <w:iCs/>
        </w:rPr>
        <w:t>).</w:t>
      </w:r>
      <w:r>
        <w:t xml:space="preserve"> El peligro de mostrar la enfermedad alcanza su punto máximo en áreas infestadas por ratones. La enfermedad aparece en grandes medios urbanos y se le ha identificado en la zona noreste de Estados Unidos, Ohio, Utah, Croacia, Ukrania, Rusia, Corea y África del Sur. Puede afectar a cualquier grupo de edad y no se ha observado un perfil estacional. La enfermedad no es transmisible y rara vez se le notifica en Estados Unidos en la actualidad.</w:t>
      </w:r>
    </w:p>
    <w:p w14:paraId="4DB497F6" w14:textId="77777777" w:rsidR="00D03C17" w:rsidRDefault="00D03C17">
      <w:pPr>
        <w:pStyle w:val="BodyText"/>
        <w:ind w:firstLine="360"/>
      </w:pPr>
      <w:r>
        <w:t xml:space="preserve">El </w:t>
      </w:r>
      <w:r>
        <w:rPr>
          <w:b/>
          <w:bCs/>
        </w:rPr>
        <w:t xml:space="preserve">periodo de incubación </w:t>
      </w:r>
      <w:r>
        <w:t>es de nueve a 14 días.</w:t>
      </w:r>
    </w:p>
    <w:p w14:paraId="2436A1DE" w14:textId="77777777" w:rsidR="00D03C17" w:rsidRDefault="00D03C17">
      <w:pPr>
        <w:pStyle w:val="BodyText"/>
        <w:ind w:firstLine="0"/>
      </w:pPr>
      <w:r>
        <w:rPr>
          <w:b/>
          <w:bCs/>
        </w:rPr>
        <w:t>M</w:t>
      </w:r>
      <w:r>
        <w:rPr>
          <w:b/>
          <w:bCs/>
          <w:sz w:val="13"/>
          <w:szCs w:val="13"/>
        </w:rPr>
        <w:t>ÉTODOS DIAGNÓSTICOS</w:t>
      </w:r>
      <w:r>
        <w:rPr>
          <w:b/>
          <w:bCs/>
        </w:rPr>
        <w:t xml:space="preserve">: </w:t>
      </w:r>
      <w:r>
        <w:t xml:space="preserve">Es posible aislar </w:t>
      </w:r>
      <w:r>
        <w:rPr>
          <w:rFonts w:ascii="Times New Roman" w:eastAsia="Times New Roman" w:hAnsi="Times New Roman" w:cs="Times New Roman"/>
          <w:i/>
          <w:iCs/>
          <w:sz w:val="16"/>
          <w:szCs w:val="16"/>
        </w:rPr>
        <w:t>Rickettsia akari</w:t>
      </w:r>
      <w:r>
        <w:t xml:space="preserve"> de la sangre en la fase aguda de la enfermedad, pero no se intenta sistemáticamente el cultivo y se le practica sólo en laboratorios especializados. Por medio del método de anticuerpos inmunofluorescentes indirectos o la prueba de fijación de complemento de </w:t>
      </w:r>
      <w:r>
        <w:rPr>
          <w:rFonts w:ascii="Times New Roman" w:eastAsia="Times New Roman" w:hAnsi="Times New Roman" w:cs="Times New Roman"/>
          <w:i/>
          <w:iCs/>
          <w:sz w:val="16"/>
          <w:szCs w:val="16"/>
        </w:rPr>
        <w:t>R. rickettsii</w:t>
      </w:r>
      <w:r>
        <w:t xml:space="preserve"> (la causa de la fiebre maculada de las Montañas Rocosas) se demostrará un cambio cuádruple en los títulos de anticuerpos entre las muestras de suero de fase aguda y de convalecencia porque los anticuerpos a </w:t>
      </w:r>
      <w:r>
        <w:rPr>
          <w:rFonts w:ascii="Times New Roman" w:eastAsia="Times New Roman" w:hAnsi="Times New Roman" w:cs="Times New Roman"/>
          <w:i/>
          <w:iCs/>
          <w:sz w:val="16"/>
          <w:szCs w:val="16"/>
        </w:rPr>
        <w:t>R. akari</w:t>
      </w:r>
      <w:r>
        <w:t xml:space="preserve"> muestran extensa reactividad cruzada con los que surgen contra </w:t>
      </w:r>
      <w:r>
        <w:rPr>
          <w:rFonts w:ascii="Times New Roman" w:eastAsia="Times New Roman" w:hAnsi="Times New Roman" w:cs="Times New Roman"/>
          <w:i/>
          <w:iCs/>
          <w:sz w:val="16"/>
          <w:szCs w:val="16"/>
        </w:rPr>
        <w:t>R. rickettsii.</w:t>
      </w:r>
      <w:r>
        <w:t xml:space="preserve"> Por medio de la absorción de muestras de suero antes de realizar el método de anticuerpos por inmunofluorescencia indirecta es factible diferenciar entre las respuestas de anticuerpos a </w:t>
      </w:r>
      <w:r>
        <w:rPr>
          <w:rFonts w:ascii="Times New Roman" w:eastAsia="Times New Roman" w:hAnsi="Times New Roman" w:cs="Times New Roman"/>
          <w:i/>
          <w:iCs/>
          <w:sz w:val="16"/>
          <w:szCs w:val="16"/>
        </w:rPr>
        <w:t>R. rickettsii</w:t>
      </w:r>
      <w:r>
        <w:t xml:space="preserve"> y </w:t>
      </w:r>
      <w:r>
        <w:rPr>
          <w:rFonts w:ascii="Times New Roman" w:eastAsia="Times New Roman" w:hAnsi="Times New Roman" w:cs="Times New Roman"/>
          <w:i/>
          <w:iCs/>
          <w:sz w:val="16"/>
          <w:szCs w:val="16"/>
        </w:rPr>
        <w:t>R. akari</w:t>
      </w:r>
      <w:r>
        <w:t>. Otros métodos diagnósticos útiles son la prueba de anticuerpos fluorescentes directos en escaras dentro de moldes de parafina y el estudio histopatológico de papulovesículas.</w:t>
      </w:r>
    </w:p>
    <w:p w14:paraId="5EEC91E5" w14:textId="77777777" w:rsidR="00D03C17" w:rsidRDefault="00D03C17">
      <w:pPr>
        <w:pStyle w:val="BodyText"/>
        <w:ind w:firstLine="0"/>
      </w:pPr>
      <w:r>
        <w:rPr>
          <w:b/>
          <w:bCs/>
        </w:rPr>
        <w:t>T</w:t>
      </w:r>
      <w:r>
        <w:rPr>
          <w:b/>
          <w:bCs/>
          <w:sz w:val="13"/>
          <w:szCs w:val="13"/>
        </w:rPr>
        <w:t>RATAMIENTO</w:t>
      </w:r>
      <w:r>
        <w:rPr>
          <w:b/>
          <w:bCs/>
        </w:rPr>
        <w:t xml:space="preserve">: </w:t>
      </w:r>
      <w:r>
        <w:t>La doxiciclina o el cloranfenicol acortarán la evolución de la enfermedad; en término de 48 h de haber comenzado su administración mostrarán resolución los síntomas. Es mejor no administrar tetraciclinas a niños menores de ocho años, salvo que los beneficios de su uso sean mayores que el riesgo de manchas en los dientes (véase “Antimicrobianos y fármacos similares”, sección 4). El tratamiento es eficaz si se hace durante tres a cinco días; rara vez hay recaídas.</w:t>
      </w:r>
    </w:p>
    <w:p w14:paraId="34A5ECA3" w14:textId="77777777" w:rsidR="00D03C17" w:rsidRDefault="00D03C17">
      <w:pPr>
        <w:pStyle w:val="BodyText"/>
        <w:spacing w:after="100"/>
        <w:ind w:firstLine="0"/>
      </w:pPr>
      <w:r>
        <w:rPr>
          <w:b/>
          <w:bCs/>
        </w:rPr>
        <w:t>A</w:t>
      </w:r>
      <w:r>
        <w:rPr>
          <w:b/>
          <w:bCs/>
          <w:sz w:val="13"/>
          <w:szCs w:val="13"/>
        </w:rPr>
        <w:t>ISLAMIENTO DEL PACIENTE HOSPITALIZADO</w:t>
      </w:r>
      <w:r>
        <w:rPr>
          <w:b/>
          <w:bCs/>
        </w:rPr>
        <w:t xml:space="preserve">: </w:t>
      </w:r>
      <w:r>
        <w:t xml:space="preserve">Se recomienda seguir las precauciones estándar. </w:t>
      </w:r>
      <w:r>
        <w:rPr>
          <w:b/>
          <w:bCs/>
        </w:rPr>
        <w:t>M</w:t>
      </w:r>
      <w:r>
        <w:rPr>
          <w:b/>
          <w:bCs/>
          <w:sz w:val="13"/>
          <w:szCs w:val="13"/>
        </w:rPr>
        <w:t>EDIDAS PREVENTIVAS</w:t>
      </w:r>
      <w:r>
        <w:rPr>
          <w:b/>
          <w:bCs/>
        </w:rPr>
        <w:t xml:space="preserve">: </w:t>
      </w:r>
      <w:r>
        <w:t>La desinfestación con insecticidas de acción residual y medidas para erradicar roedores limitarán o eliminarán el vector. No se necesita el tratamiento específico de personas expuestas.</w:t>
      </w:r>
    </w:p>
    <w:p w14:paraId="5C73F903" w14:textId="77777777" w:rsidR="00D03C17" w:rsidRDefault="00D03C17">
      <w:pPr>
        <w:pStyle w:val="Bodytext70"/>
        <w:spacing w:after="0"/>
      </w:pPr>
      <w:r>
        <w:t>Rickettsiosis</w:t>
      </w:r>
    </w:p>
    <w:p w14:paraId="6824D316" w14:textId="77777777" w:rsidR="00D03C17" w:rsidRDefault="00D03C17">
      <w:pPr>
        <w:pStyle w:val="BodyText"/>
        <w:ind w:firstLine="0"/>
        <w:sectPr w:rsidR="00D03C17" w:rsidSect="00D03C17">
          <w:headerReference w:type="even" r:id="rId289"/>
          <w:headerReference w:type="default" r:id="rId290"/>
          <w:footerReference w:type="even" r:id="rId291"/>
          <w:footerReference w:type="default" r:id="rId292"/>
          <w:headerReference w:type="first" r:id="rId293"/>
          <w:footerReference w:type="first" r:id="rId294"/>
          <w:footnotePr>
            <w:numFmt w:val="chicago"/>
          </w:footnotePr>
          <w:pgSz w:w="8501" w:h="13022"/>
          <w:pgMar w:top="898" w:right="798" w:bottom="504" w:left="816" w:header="0" w:footer="3" w:gutter="0"/>
          <w:pgNumType w:start="694"/>
          <w:cols w:space="720"/>
          <w:noEndnote/>
          <w:titlePg/>
          <w:docGrid w:linePitch="360"/>
          <w15:footnoteColumns w:val="1"/>
        </w:sectPr>
      </w:pPr>
      <w:r>
        <w:t xml:space="preserve">Las rickettsias son bacterias cocobacilares pequeñas, y de ellas muchas tienen vectores que son artrópodos, como las garrapatas, las pulgas y los piojos. Los seres humanos son </w:t>
      </w:r>
    </w:p>
    <w:p w14:paraId="67C2DB84" w14:textId="77777777" w:rsidR="00D03C17" w:rsidRDefault="00D03C17">
      <w:pPr>
        <w:pStyle w:val="BodyText"/>
        <w:ind w:firstLine="0"/>
      </w:pPr>
      <w:r>
        <w:t xml:space="preserve">hospedadores accidentales, excepto en el caso del tifus epidémico (por piojos), en que constituyen el principal reservorio, y el piojo humano del cuerpo es el vector. Las </w:t>
      </w:r>
      <w:r>
        <w:rPr>
          <w:rFonts w:ascii="Times New Roman" w:eastAsia="Times New Roman" w:hAnsi="Times New Roman" w:cs="Times New Roman"/>
          <w:i/>
          <w:iCs/>
          <w:sz w:val="16"/>
          <w:szCs w:val="16"/>
        </w:rPr>
        <w:t>rickettsias</w:t>
      </w:r>
      <w:r>
        <w:t xml:space="preserve"> son patógenos intracelulares obligados y no proliferan en medios acelulares. En forma típica tienen paredes de bacterias y membranas citoplásmicas y se dividen por fisión binaria. En forma típica su ciclo natural incluye reservorios mamíferos, y la transmisión de un animal a un ser humano o de un vector a un ser humano sucede como resultado de exposición ambiental u ocupacional.</w:t>
      </w:r>
    </w:p>
    <w:p w14:paraId="396C3FB4" w14:textId="77777777" w:rsidR="00D03C17" w:rsidRDefault="00D03C17">
      <w:pPr>
        <w:pStyle w:val="BodyText"/>
        <w:ind w:firstLine="360"/>
      </w:pPr>
      <w:r>
        <w:t>Las garrapatas son los vectores de innumerables rickettsiosis; por tal razón, las medidas de erradicación incluyen evitar la transmisión de las rickettsias por dichos artrópodos a los seres humanos (véase “Prevención de infecciones transmitidas por garrapatas”, sección 2).</w:t>
      </w:r>
    </w:p>
    <w:p w14:paraId="08D4B3B0" w14:textId="77777777" w:rsidR="00D03C17" w:rsidRDefault="00D03C17">
      <w:pPr>
        <w:pStyle w:val="BodyText"/>
        <w:ind w:firstLine="360"/>
      </w:pPr>
      <w:r>
        <w:t>Las rickettsiosis poseen innumerables características en común, como:</w:t>
      </w:r>
    </w:p>
    <w:p w14:paraId="62FE0B80" w14:textId="77777777" w:rsidR="00D03C17" w:rsidRDefault="00D03C17">
      <w:pPr>
        <w:pStyle w:val="BodyText"/>
        <w:numPr>
          <w:ilvl w:val="0"/>
          <w:numId w:val="93"/>
        </w:numPr>
        <w:tabs>
          <w:tab w:val="left" w:pos="339"/>
        </w:tabs>
        <w:ind w:firstLine="0"/>
      </w:pPr>
      <w:bookmarkStart w:id="228" w:name="bookmark1252"/>
      <w:bookmarkEnd w:id="228"/>
      <w:r>
        <w:t>Multiplicación del microorganismo en un artrópodo hospedador.</w:t>
      </w:r>
    </w:p>
    <w:p w14:paraId="470C1FEA" w14:textId="77777777" w:rsidR="00D03C17" w:rsidRDefault="00D03C17">
      <w:pPr>
        <w:pStyle w:val="BodyText"/>
        <w:numPr>
          <w:ilvl w:val="0"/>
          <w:numId w:val="93"/>
        </w:numPr>
        <w:tabs>
          <w:tab w:val="left" w:pos="339"/>
        </w:tabs>
        <w:ind w:firstLine="0"/>
      </w:pPr>
      <w:bookmarkStart w:id="229" w:name="bookmark1253"/>
      <w:bookmarkEnd w:id="229"/>
      <w:r>
        <w:t>Réplica intracelular.</w:t>
      </w:r>
    </w:p>
    <w:p w14:paraId="37313BDC" w14:textId="77777777" w:rsidR="00D03C17" w:rsidRDefault="00D03C17">
      <w:pPr>
        <w:pStyle w:val="BodyText"/>
        <w:numPr>
          <w:ilvl w:val="0"/>
          <w:numId w:val="93"/>
        </w:numPr>
        <w:tabs>
          <w:tab w:val="left" w:pos="339"/>
        </w:tabs>
        <w:ind w:left="360" w:hanging="360"/>
      </w:pPr>
      <w:bookmarkStart w:id="230" w:name="bookmark1254"/>
      <w:bookmarkEnd w:id="230"/>
      <w:r>
        <w:t>Aparición geográfica y estacional que depende de los ciclos vitales del artrópodo vector, su actividad y distribución.</w:t>
      </w:r>
    </w:p>
    <w:p w14:paraId="76D23751" w14:textId="77777777" w:rsidR="00D03C17" w:rsidRDefault="00D03C17">
      <w:pPr>
        <w:pStyle w:val="BodyText"/>
        <w:numPr>
          <w:ilvl w:val="0"/>
          <w:numId w:val="93"/>
        </w:numPr>
        <w:tabs>
          <w:tab w:val="left" w:pos="339"/>
        </w:tabs>
        <w:ind w:firstLine="0"/>
      </w:pPr>
      <w:bookmarkStart w:id="231" w:name="bookmark1255"/>
      <w:bookmarkEnd w:id="231"/>
      <w:r>
        <w:t>Son zoonosis.</w:t>
      </w:r>
    </w:p>
    <w:p w14:paraId="79A11ACE" w14:textId="77777777" w:rsidR="00D03C17" w:rsidRDefault="00D03C17">
      <w:pPr>
        <w:pStyle w:val="BodyText"/>
        <w:numPr>
          <w:ilvl w:val="0"/>
          <w:numId w:val="93"/>
        </w:numPr>
        <w:tabs>
          <w:tab w:val="left" w:pos="339"/>
        </w:tabs>
        <w:ind w:left="360" w:hanging="360"/>
      </w:pPr>
      <w:bookmarkStart w:id="232" w:name="bookmark1256"/>
      <w:bookmarkEnd w:id="232"/>
      <w:r>
        <w:t>Los seres humanos son hospedadores accidentales (excepto en el caso del tifus por piojos).</w:t>
      </w:r>
    </w:p>
    <w:p w14:paraId="348E3EC2" w14:textId="77777777" w:rsidR="00D03C17" w:rsidRDefault="00D03C17">
      <w:pPr>
        <w:pStyle w:val="BodyText"/>
        <w:numPr>
          <w:ilvl w:val="0"/>
          <w:numId w:val="93"/>
        </w:numPr>
        <w:tabs>
          <w:tab w:val="left" w:pos="339"/>
        </w:tabs>
        <w:ind w:left="360" w:hanging="360"/>
      </w:pPr>
      <w:bookmarkStart w:id="233" w:name="bookmark1257"/>
      <w:bookmarkEnd w:id="233"/>
      <w:r>
        <w:t>En algunas rickettsiosis, y en particular la del grupo de las fiebres maculadas, aparecen escaras primarias locales.</w:t>
      </w:r>
    </w:p>
    <w:p w14:paraId="500A5DEF" w14:textId="77777777" w:rsidR="00D03C17" w:rsidRDefault="00D03C17">
      <w:pPr>
        <w:pStyle w:val="BodyText"/>
        <w:numPr>
          <w:ilvl w:val="0"/>
          <w:numId w:val="93"/>
        </w:numPr>
        <w:tabs>
          <w:tab w:val="left" w:pos="339"/>
        </w:tabs>
        <w:ind w:left="360" w:hanging="360"/>
      </w:pPr>
      <w:bookmarkStart w:id="234" w:name="bookmark1258"/>
      <w:bookmarkEnd w:id="234"/>
      <w:r>
        <w:t>Entre los signos más notables están fiebre, erupciones (en particular en el caso de rickettsiosis como la fiebre maculada y el tifus), cefaleas, mialgias y síntomas de vías respiratorias.</w:t>
      </w:r>
    </w:p>
    <w:p w14:paraId="38C28246" w14:textId="77777777" w:rsidR="00D03C17" w:rsidRDefault="00D03C17">
      <w:pPr>
        <w:pStyle w:val="BodyText"/>
        <w:numPr>
          <w:ilvl w:val="0"/>
          <w:numId w:val="93"/>
        </w:numPr>
        <w:tabs>
          <w:tab w:val="left" w:pos="339"/>
        </w:tabs>
        <w:ind w:left="360" w:hanging="360"/>
      </w:pPr>
      <w:bookmarkStart w:id="235" w:name="bookmark1259"/>
      <w:bookmarkEnd w:id="235"/>
      <w:r>
        <w:t>El signo patológico primario de la fiebre maculada y de la rickettsiosis del grupo del tifus es el daño del endotelio capilar y de vasos finos a nivel sistémico.</w:t>
      </w:r>
    </w:p>
    <w:p w14:paraId="190C9937" w14:textId="77777777" w:rsidR="00D03C17" w:rsidRDefault="00D03C17">
      <w:pPr>
        <w:pStyle w:val="BodyText"/>
        <w:numPr>
          <w:ilvl w:val="0"/>
          <w:numId w:val="93"/>
        </w:numPr>
        <w:tabs>
          <w:tab w:val="left" w:pos="339"/>
        </w:tabs>
        <w:ind w:left="360" w:hanging="360"/>
      </w:pPr>
      <w:bookmarkStart w:id="236" w:name="bookmark1260"/>
      <w:bookmarkEnd w:id="236"/>
      <w:r>
        <w:t>Los anticuerpos específicos del grupo son detectables en el suero de casi todos los pacientes siete a 14 días después de comenzar la enfermedad.</w:t>
      </w:r>
    </w:p>
    <w:p w14:paraId="135E8808" w14:textId="77777777" w:rsidR="00D03C17" w:rsidRDefault="00D03C17">
      <w:pPr>
        <w:pStyle w:val="BodyText"/>
        <w:numPr>
          <w:ilvl w:val="0"/>
          <w:numId w:val="93"/>
        </w:numPr>
        <w:tabs>
          <w:tab w:val="left" w:pos="339"/>
        </w:tabs>
        <w:spacing w:line="283" w:lineRule="auto"/>
        <w:ind w:left="360" w:hanging="360"/>
      </w:pPr>
      <w:bookmarkStart w:id="237" w:name="bookmark1261"/>
      <w:bookmarkEnd w:id="237"/>
      <w:r>
        <w:t xml:space="preserve">Se cuenta con varios métodos serológicos para detectar los anticuerpos. En casi todos los casos se recomienda el método de anticuerpos inmunofluorescentes indirectos </w:t>
      </w:r>
      <w:r>
        <w:rPr>
          <w:i/>
          <w:iCs/>
        </w:rPr>
        <w:t>(</w:t>
      </w:r>
      <w:r>
        <w:rPr>
          <w:rFonts w:ascii="Times New Roman" w:eastAsia="Times New Roman" w:hAnsi="Times New Roman" w:cs="Times New Roman"/>
          <w:i/>
          <w:iCs/>
          <w:sz w:val="16"/>
          <w:szCs w:val="16"/>
        </w:rPr>
        <w:t>indirect immunofluorescence antibody</w:t>
      </w:r>
      <w:r>
        <w:rPr>
          <w:i/>
          <w:iCs/>
        </w:rPr>
        <w:t>,</w:t>
      </w:r>
      <w:r>
        <w:t xml:space="preserve"> IFA) por su sensibilidad y especificidad relativas.</w:t>
      </w:r>
    </w:p>
    <w:p w14:paraId="2C956576" w14:textId="77777777" w:rsidR="00D03C17" w:rsidRDefault="00D03C17">
      <w:pPr>
        <w:pStyle w:val="BodyText"/>
        <w:numPr>
          <w:ilvl w:val="0"/>
          <w:numId w:val="93"/>
        </w:numPr>
        <w:tabs>
          <w:tab w:val="left" w:pos="339"/>
        </w:tabs>
        <w:ind w:left="360" w:hanging="360"/>
      </w:pPr>
      <w:bookmarkStart w:id="238" w:name="bookmark1262"/>
      <w:bookmarkEnd w:id="238"/>
      <w:r>
        <w:t>La reacción en cadena de polimerasa permite detectar las rickettsias en sangre o tejidos, aunque tales estudios se practican más bien en laboratorios de investigación.</w:t>
      </w:r>
    </w:p>
    <w:p w14:paraId="7A622F70" w14:textId="77777777" w:rsidR="00D03C17" w:rsidRDefault="00D03C17">
      <w:pPr>
        <w:pStyle w:val="BodyText"/>
        <w:numPr>
          <w:ilvl w:val="0"/>
          <w:numId w:val="93"/>
        </w:numPr>
        <w:tabs>
          <w:tab w:val="left" w:pos="339"/>
        </w:tabs>
        <w:ind w:left="360" w:hanging="360"/>
      </w:pPr>
      <w:bookmarkStart w:id="239" w:name="bookmark1263"/>
      <w:bookmarkEnd w:id="239"/>
      <w:r>
        <w:t>En laboratorios con personal experto, métodos como la tinción inmunoquímica o la reacción en cadena de polimerasa de fragmentos de piel para biopsia obtenidos de sujetos con una erupción, son útiles para diagnosticar las rickettsiosis.</w:t>
      </w:r>
    </w:p>
    <w:p w14:paraId="23C2D825" w14:textId="77777777" w:rsidR="00D03C17" w:rsidRDefault="00D03C17">
      <w:pPr>
        <w:pStyle w:val="BodyText"/>
        <w:numPr>
          <w:ilvl w:val="0"/>
          <w:numId w:val="93"/>
        </w:numPr>
        <w:tabs>
          <w:tab w:val="left" w:pos="339"/>
        </w:tabs>
        <w:ind w:left="360" w:hanging="360"/>
      </w:pPr>
      <w:bookmarkStart w:id="240" w:name="bookmark1264"/>
      <w:bookmarkEnd w:id="240"/>
      <w:r>
        <w:t>El tratamiento hecho en los comienzos de la enfermedad puede tornar menos intensas o retrasar las respuestas serológicas.</w:t>
      </w:r>
    </w:p>
    <w:p w14:paraId="04EAD20C" w14:textId="77777777" w:rsidR="00D03C17" w:rsidRDefault="00D03C17">
      <w:pPr>
        <w:pStyle w:val="BodyText"/>
        <w:numPr>
          <w:ilvl w:val="0"/>
          <w:numId w:val="93"/>
        </w:numPr>
        <w:tabs>
          <w:tab w:val="left" w:pos="339"/>
        </w:tabs>
        <w:ind w:left="360" w:hanging="360"/>
      </w:pPr>
      <w:bookmarkStart w:id="241" w:name="bookmark1265"/>
      <w:bookmarkEnd w:id="241"/>
      <w:r>
        <w:t>Las rickettsiosis a muy corto plazo pueden poner en peligro la vida de tal forma que es importante su tratamiento inmediato y específico, para el pronóstico y los resultados. Los antimicrobianos tienen su máxima eficacia en pacientes tratados en la primera semana de la enfermedad. Si transcurren dos semanas sin tratamiento, incluso las medidas óptimas serán menos eficaces para evitar las complicaciones. Los métodos de laboratorio de tipo confirmatorio son retrospectivos, por lo que las decisiones terapéuticas no deben diferirse hasta que se conozcan los resultados de los estudios.</w:t>
      </w:r>
    </w:p>
    <w:p w14:paraId="3F88B83A" w14:textId="77777777" w:rsidR="00D03C17" w:rsidRDefault="00D03C17">
      <w:pPr>
        <w:pStyle w:val="BodyText"/>
        <w:ind w:left="360" w:firstLine="0"/>
      </w:pPr>
      <w:r>
        <w:t xml:space="preserve">La inmunidad contra la reinfección por el mismo agente después de la infección natural por lo común dura largo tiempo, excepto en el caso del tifus de los matorrales causado por </w:t>
      </w:r>
      <w:r>
        <w:rPr>
          <w:rFonts w:ascii="Times New Roman" w:eastAsia="Times New Roman" w:hAnsi="Times New Roman" w:cs="Times New Roman"/>
          <w:i/>
          <w:iCs/>
          <w:sz w:val="16"/>
          <w:szCs w:val="16"/>
        </w:rPr>
        <w:t>Orientia tsutsugamushi</w:t>
      </w:r>
      <w:r>
        <w:rPr>
          <w:i/>
          <w:iCs/>
        </w:rPr>
        <w:t>.</w:t>
      </w:r>
      <w:r>
        <w:t xml:space="preserve"> De los cuatro grupos de rickettsiosis, por lo regular las infecciones intragrupos confieren inmunidad parcial o completa cruzada pero no intergrupos. Se ha descrito reinfección por especies de </w:t>
      </w:r>
      <w:r>
        <w:rPr>
          <w:rFonts w:ascii="Times New Roman" w:eastAsia="Times New Roman" w:hAnsi="Times New Roman" w:cs="Times New Roman"/>
          <w:i/>
          <w:iCs/>
          <w:sz w:val="16"/>
          <w:szCs w:val="16"/>
        </w:rPr>
        <w:t>Ehrlichia</w:t>
      </w:r>
      <w:r>
        <w:t xml:space="preserve"> y </w:t>
      </w:r>
      <w:r>
        <w:rPr>
          <w:rFonts w:ascii="Times New Roman" w:eastAsia="Times New Roman" w:hAnsi="Times New Roman" w:cs="Times New Roman"/>
          <w:i/>
          <w:iCs/>
          <w:sz w:val="16"/>
          <w:szCs w:val="16"/>
        </w:rPr>
        <w:t>Anaplasma</w:t>
      </w:r>
      <w:r>
        <w:rPr>
          <w:i/>
          <w:iCs/>
        </w:rPr>
        <w:t>.</w:t>
      </w:r>
    </w:p>
    <w:p w14:paraId="7B1066CD" w14:textId="77777777" w:rsidR="00D03C17" w:rsidRDefault="00D03C17">
      <w:pPr>
        <w:pStyle w:val="BodyText"/>
        <w:numPr>
          <w:ilvl w:val="0"/>
          <w:numId w:val="93"/>
        </w:numPr>
        <w:tabs>
          <w:tab w:val="left" w:pos="335"/>
        </w:tabs>
        <w:ind w:left="360" w:hanging="360"/>
      </w:pPr>
      <w:bookmarkStart w:id="242" w:name="bookmark1266"/>
      <w:bookmarkEnd w:id="242"/>
      <w:r>
        <w:t>Muchas rickettsiosis, incluida la fiebre maculada de las Montañas Rocosas, la ehrlichiosis y la fiebre Q, son enfermedades de notificación obligatoria a nivel nacional, y deben ser informadas a los departamentos de sanidad estatales y locales. En lo que toca a detalles, incluido el tratamiento, habrá que consultar los siguientes</w:t>
      </w:r>
    </w:p>
    <w:p w14:paraId="3F44CF98" w14:textId="77777777" w:rsidR="00D03C17" w:rsidRDefault="00D03C17">
      <w:pPr>
        <w:pStyle w:val="BodyText"/>
        <w:ind w:firstLine="0"/>
      </w:pPr>
      <w:r>
        <w:t>resúmenes sobre rickettsiosis (todos en esta sección):</w:t>
      </w:r>
    </w:p>
    <w:p w14:paraId="4DDCBD47" w14:textId="77777777" w:rsidR="00D03C17" w:rsidRDefault="00D03C17">
      <w:pPr>
        <w:pStyle w:val="BodyText"/>
        <w:numPr>
          <w:ilvl w:val="0"/>
          <w:numId w:val="93"/>
        </w:numPr>
        <w:tabs>
          <w:tab w:val="left" w:pos="335"/>
        </w:tabs>
        <w:ind w:firstLine="0"/>
      </w:pPr>
      <w:bookmarkStart w:id="243" w:name="bookmark1267"/>
      <w:bookmarkEnd w:id="243"/>
      <w:r>
        <w:rPr>
          <w:rFonts w:ascii="Times New Roman" w:eastAsia="Times New Roman" w:hAnsi="Times New Roman" w:cs="Times New Roman"/>
          <w:i/>
          <w:iCs/>
          <w:sz w:val="16"/>
          <w:szCs w:val="16"/>
        </w:rPr>
        <w:t>Ehrlichia,</w:t>
      </w:r>
      <w:r>
        <w:t xml:space="preserve"> infecciones por (ehrlichiosis de seres humanos)</w:t>
      </w:r>
    </w:p>
    <w:p w14:paraId="28563C70" w14:textId="77777777" w:rsidR="00D03C17" w:rsidRDefault="00D03C17">
      <w:pPr>
        <w:pStyle w:val="BodyText"/>
        <w:numPr>
          <w:ilvl w:val="0"/>
          <w:numId w:val="93"/>
        </w:numPr>
        <w:tabs>
          <w:tab w:val="left" w:pos="335"/>
        </w:tabs>
        <w:ind w:firstLine="0"/>
      </w:pPr>
      <w:bookmarkStart w:id="244" w:name="bookmark1268"/>
      <w:bookmarkEnd w:id="244"/>
      <w:r>
        <w:t>Q, fiebre</w:t>
      </w:r>
    </w:p>
    <w:p w14:paraId="0F5960E5" w14:textId="77777777" w:rsidR="00D03C17" w:rsidRDefault="00D03C17">
      <w:pPr>
        <w:pStyle w:val="BodyText"/>
        <w:numPr>
          <w:ilvl w:val="0"/>
          <w:numId w:val="93"/>
        </w:numPr>
        <w:tabs>
          <w:tab w:val="left" w:pos="335"/>
        </w:tabs>
        <w:ind w:firstLine="0"/>
      </w:pPr>
      <w:bookmarkStart w:id="245" w:name="bookmark1269"/>
      <w:bookmarkEnd w:id="245"/>
      <w:r>
        <w:t>Rickettsiosis pustulosa</w:t>
      </w:r>
    </w:p>
    <w:p w14:paraId="72E6DA40" w14:textId="77777777" w:rsidR="00D03C17" w:rsidRDefault="00D03C17">
      <w:pPr>
        <w:pStyle w:val="BodyText"/>
        <w:numPr>
          <w:ilvl w:val="0"/>
          <w:numId w:val="93"/>
        </w:numPr>
        <w:tabs>
          <w:tab w:val="left" w:pos="335"/>
        </w:tabs>
        <w:ind w:firstLine="0"/>
      </w:pPr>
      <w:bookmarkStart w:id="246" w:name="bookmark1270"/>
      <w:bookmarkEnd w:id="246"/>
      <w:r>
        <w:t>Rocosas, fiebre maculada de las Montañas</w:t>
      </w:r>
    </w:p>
    <w:p w14:paraId="1D4FB7C6" w14:textId="77777777" w:rsidR="00D03C17" w:rsidRDefault="00D03C17">
      <w:pPr>
        <w:pStyle w:val="BodyText"/>
        <w:numPr>
          <w:ilvl w:val="0"/>
          <w:numId w:val="93"/>
        </w:numPr>
        <w:tabs>
          <w:tab w:val="left" w:pos="335"/>
        </w:tabs>
        <w:ind w:firstLine="0"/>
      </w:pPr>
      <w:bookmarkStart w:id="247" w:name="bookmark1271"/>
      <w:bookmarkEnd w:id="247"/>
      <w:r>
        <w:t>Tifus endémico (tifus por pulgas o tifus murino)</w:t>
      </w:r>
    </w:p>
    <w:p w14:paraId="1649D769" w14:textId="77777777" w:rsidR="00D03C17" w:rsidRDefault="00D03C17">
      <w:pPr>
        <w:pStyle w:val="BodyText"/>
        <w:numPr>
          <w:ilvl w:val="0"/>
          <w:numId w:val="93"/>
        </w:numPr>
        <w:tabs>
          <w:tab w:val="left" w:pos="335"/>
        </w:tabs>
        <w:ind w:firstLine="0"/>
      </w:pPr>
      <w:bookmarkStart w:id="248" w:name="bookmark1272"/>
      <w:bookmarkEnd w:id="248"/>
      <w:r>
        <w:t>Tifus epidémico (tifus por piojos del cuerpo)</w:t>
      </w:r>
    </w:p>
    <w:p w14:paraId="29D99EA1" w14:textId="77777777" w:rsidR="00D03C17" w:rsidRDefault="00D03C17">
      <w:pPr>
        <w:pStyle w:val="BodyText"/>
        <w:spacing w:after="100"/>
        <w:ind w:firstLine="360"/>
      </w:pPr>
      <w:r>
        <w:t xml:space="preserve">Se han identificado otras infecciones epidemiológicamente distintas, pero con semejanzas clínicas, en que hay fiebre maculada por garrapatas, causada por rickettsias. Los agentes causales de algunas de las infecciones comparten el mismo grupo antigénico que </w:t>
      </w:r>
      <w:r>
        <w:rPr>
          <w:rFonts w:ascii="Times New Roman" w:eastAsia="Times New Roman" w:hAnsi="Times New Roman" w:cs="Times New Roman"/>
          <w:i/>
          <w:iCs/>
          <w:sz w:val="16"/>
          <w:szCs w:val="16"/>
        </w:rPr>
        <w:t>Rickettsia rickettsii</w:t>
      </w:r>
      <w:r>
        <w:rPr>
          <w:i/>
          <w:iCs/>
        </w:rPr>
        <w:t>;</w:t>
      </w:r>
      <w:r>
        <w:t xml:space="preserve"> incluyen </w:t>
      </w:r>
      <w:r>
        <w:rPr>
          <w:rFonts w:ascii="Times New Roman" w:eastAsia="Times New Roman" w:hAnsi="Times New Roman" w:cs="Times New Roman"/>
          <w:i/>
          <w:iCs/>
          <w:sz w:val="16"/>
          <w:szCs w:val="16"/>
        </w:rPr>
        <w:t>Rickettsia africae</w:t>
      </w:r>
      <w:r>
        <w:rPr>
          <w:i/>
          <w:iCs/>
        </w:rPr>
        <w:t>,</w:t>
      </w:r>
      <w:r>
        <w:t xml:space="preserve"> el agente causal de la fiebre por picadura de garrapata que es endémica en países subsaharianos; </w:t>
      </w:r>
      <w:r>
        <w:rPr>
          <w:rFonts w:ascii="Times New Roman" w:eastAsia="Times New Roman" w:hAnsi="Times New Roman" w:cs="Times New Roman"/>
          <w:i/>
          <w:iCs/>
          <w:sz w:val="16"/>
          <w:szCs w:val="16"/>
        </w:rPr>
        <w:t>Rickettsia conorii</w:t>
      </w:r>
      <w:r>
        <w:rPr>
          <w:i/>
          <w:iCs/>
        </w:rPr>
        <w:t>,</w:t>
      </w:r>
      <w:r>
        <w:t xml:space="preserve"> que es el agente causal de la fiebre botonosa (fiebre maculada del Mediterráneo, tifus de la India por garrapatas y fiebre de Marsella) y es endémica en el sur de Europa, África y el Cercano Oriente; </w:t>
      </w:r>
      <w:r>
        <w:rPr>
          <w:rFonts w:ascii="Times New Roman" w:eastAsia="Times New Roman" w:hAnsi="Times New Roman" w:cs="Times New Roman"/>
          <w:i/>
          <w:iCs/>
          <w:sz w:val="16"/>
          <w:szCs w:val="16"/>
        </w:rPr>
        <w:t>R. sibirica</w:t>
      </w:r>
      <w:r>
        <w:t xml:space="preserve">, que es el agente causal del tifus siberiano por garrapatas, que es endémica en el Asia Central; </w:t>
      </w:r>
      <w:r>
        <w:rPr>
          <w:rFonts w:ascii="Times New Roman" w:eastAsia="Times New Roman" w:hAnsi="Times New Roman" w:cs="Times New Roman"/>
          <w:i/>
          <w:iCs/>
          <w:sz w:val="16"/>
          <w:szCs w:val="16"/>
        </w:rPr>
        <w:t>R. australis</w:t>
      </w:r>
      <w:r>
        <w:rPr>
          <w:i/>
          <w:iCs/>
        </w:rPr>
        <w:t>,</w:t>
      </w:r>
      <w:r>
        <w:t xml:space="preserve"> que es el agente causal del tifus por garrapatas de Queensland del Norte y que es endémico en la zona oriental de Australia; y </w:t>
      </w:r>
      <w:r>
        <w:rPr>
          <w:rFonts w:ascii="Times New Roman" w:eastAsia="Times New Roman" w:hAnsi="Times New Roman" w:cs="Times New Roman"/>
          <w:i/>
          <w:iCs/>
          <w:sz w:val="16"/>
          <w:szCs w:val="16"/>
        </w:rPr>
        <w:t>R. japonica</w:t>
      </w:r>
      <w:r>
        <w:rPr>
          <w:i/>
          <w:iCs/>
        </w:rPr>
        <w:t xml:space="preserve">, </w:t>
      </w:r>
      <w:r>
        <w:t>el agente causal de la fiebre maculada japonesa, que es endémica en Japón. Cada una de las infecciones mencionadas posee signos clínicos, patológicos y epidemiológicos similares a los de la fiebre maculada de las Montañas Rocosas y la doxiciclina es el medicamento más indicado para combatirlas. El diagnóstico específico se confirma por medio de la técnica de anticuerpos inmunofluorescentes directos. Los trastornos en cuestión adquieren importancia en personas que viajan a zonas en que tales agentes son endémicos o que vuelven de tales áreas.</w:t>
      </w:r>
    </w:p>
    <w:p w14:paraId="1CA744E8" w14:textId="77777777" w:rsidR="00D03C17" w:rsidRDefault="00D03C17">
      <w:pPr>
        <w:pStyle w:val="Bodytext70"/>
        <w:spacing w:after="0"/>
      </w:pPr>
      <w:r>
        <w:t>Rocosas, fiebre maculada de las Montañas</w:t>
      </w:r>
    </w:p>
    <w:p w14:paraId="580B3785" w14:textId="77777777" w:rsidR="00D03C17" w:rsidRDefault="00D03C17">
      <w:pPr>
        <w:pStyle w:val="BodyText"/>
        <w:ind w:firstLine="0"/>
        <w:sectPr w:rsidR="00D03C17" w:rsidSect="00D03C17">
          <w:headerReference w:type="even" r:id="rId295"/>
          <w:headerReference w:type="default" r:id="rId296"/>
          <w:footerReference w:type="even" r:id="rId297"/>
          <w:footerReference w:type="default" r:id="rId298"/>
          <w:headerReference w:type="first" r:id="rId299"/>
          <w:footerReference w:type="first" r:id="rId300"/>
          <w:footnotePr>
            <w:numFmt w:val="chicago"/>
          </w:footnotePr>
          <w:pgSz w:w="8501" w:h="13022"/>
          <w:pgMar w:top="898" w:right="798" w:bottom="504" w:left="816" w:header="0" w:footer="3" w:gutter="0"/>
          <w:cols w:space="720"/>
          <w:noEndnote/>
          <w:titlePg/>
          <w:docGrid w:linePitch="360"/>
          <w15:footnoteColumns w:val="1"/>
        </w:sectPr>
      </w:pPr>
      <w:r>
        <w:rPr>
          <w:b/>
          <w:bCs/>
        </w:rPr>
        <w:t>M</w:t>
      </w:r>
      <w:r>
        <w:rPr>
          <w:b/>
          <w:bCs/>
          <w:sz w:val="13"/>
          <w:szCs w:val="13"/>
        </w:rPr>
        <w:t>ANIFESTACIONES CLÍNICAS</w:t>
      </w:r>
      <w:r>
        <w:rPr>
          <w:b/>
          <w:bCs/>
        </w:rPr>
        <w:t xml:space="preserve">: </w:t>
      </w:r>
      <w:r>
        <w:t xml:space="preserve">La fiebre maculada de las Montañas Rocosas </w:t>
      </w:r>
      <w:r>
        <w:rPr>
          <w:rFonts w:ascii="Times New Roman" w:eastAsia="Times New Roman" w:hAnsi="Times New Roman" w:cs="Times New Roman"/>
          <w:i/>
          <w:iCs/>
          <w:sz w:val="16"/>
          <w:szCs w:val="16"/>
        </w:rPr>
        <w:t>(Rocky Mountain spotted fever, RMSF)</w:t>
      </w:r>
      <w:r>
        <w:t xml:space="preserve"> es una inflamación sistémica de vasos finos que presenta una erupción característica que suele aparecer antes del sexto día de la enfermedad. Los principales signos clínicos son fiebre, mialgias, cefalalgia intensa, náuseas, vómitos y anorexia. A menudo surgen dolor abdominal y diarrea y pueden disimular el diagnóstico. En el comienzo la erupción es eritematosa y maculosa y más tarde se torna maculopapulosa y a menudo petequial. En general, las manifestaciones cutáneas aparecen en primer término en las muñecas y los tobillos y se diseminan en término de horas en sentido proximal al tronco. En forma típica abarca las palmas y las plantas. A pesar de que la aparición temprana de la erupción es un signo diagnóstico útil, incluso en 20% de los casos no aparece tal manifestación. La trombocitopenia de intensidad variable y la hiponatremia ocurren en muchos casos, y puede observarse anemia. De modo típico el recuento leucocítico es normal, pero puede haber leucopenia. La enfermedad dura incluso tres semanas y puede ser grave con notable ataque del sistema nervioso central, corazón, pulmones, vías gastrointestinales y riñones; puede haber coagulación intravascular</w:t>
      </w:r>
    </w:p>
    <w:p w14:paraId="415DCED8" w14:textId="77777777" w:rsidR="00D03C17" w:rsidRDefault="00D03C17">
      <w:pPr>
        <w:pStyle w:val="Bodytext70"/>
        <w:spacing w:after="0"/>
      </w:pPr>
      <w:r>
        <w:t>Rickettsiosis pustulosa</w:t>
      </w:r>
    </w:p>
    <w:p w14:paraId="46D51307" w14:textId="77777777" w:rsidR="00D03C17" w:rsidRDefault="00D03C17">
      <w:pPr>
        <w:pStyle w:val="BodyText"/>
        <w:ind w:firstLine="0"/>
      </w:pPr>
      <w:r>
        <w:rPr>
          <w:b/>
          <w:bCs/>
        </w:rPr>
        <w:t>M</w:t>
      </w:r>
      <w:r>
        <w:rPr>
          <w:b/>
          <w:bCs/>
          <w:sz w:val="13"/>
          <w:szCs w:val="13"/>
        </w:rPr>
        <w:t>ANIFESTACIONES CLÍNICAS</w:t>
      </w:r>
      <w:r>
        <w:rPr>
          <w:b/>
          <w:bCs/>
        </w:rPr>
        <w:t xml:space="preserve">: </w:t>
      </w:r>
      <w:r>
        <w:t>La rickettsiosis pustulosa se caracteriza por erupciones papulovesiculares, eritematosas y generalizadas en el tronco, la cara, las extremidades (incluidas palmas y plantas) y las membranas mucosas después que surge una escara en el sitio en que picó el artrópodo vector (murino). En forma típica se agrandan los ganglios linfáticos regionales en la zona de la escara primaria. El cuadro sistémico dura en promedio una semana, y entre sus manifestaciones están fiebre, escalofríos, cefalea, sudoración profusa, mialgias, anorexia y fotofobia. La enfermedad cede por sí sola y rara vez se acompaña de complicaciones.</w:t>
      </w:r>
    </w:p>
    <w:p w14:paraId="7747D638" w14:textId="77777777" w:rsidR="00D03C17" w:rsidRDefault="00D03C17">
      <w:pPr>
        <w:pStyle w:val="BodyText"/>
        <w:spacing w:line="283" w:lineRule="auto"/>
        <w:ind w:firstLine="0"/>
        <w:rPr>
          <w:sz w:val="16"/>
          <w:szCs w:val="16"/>
        </w:rPr>
      </w:pPr>
      <w:r>
        <w:rPr>
          <w:b/>
          <w:bCs/>
        </w:rPr>
        <w:t>C</w:t>
      </w:r>
      <w:r>
        <w:rPr>
          <w:b/>
          <w:bCs/>
          <w:sz w:val="13"/>
          <w:szCs w:val="13"/>
        </w:rPr>
        <w:t>AUSAS</w:t>
      </w:r>
      <w:r>
        <w:rPr>
          <w:b/>
          <w:bCs/>
        </w:rPr>
        <w:t xml:space="preserve">: </w:t>
      </w:r>
      <w:r>
        <w:t xml:space="preserve">La rickettsiosis pustulosa es causada por </w:t>
      </w:r>
      <w:r>
        <w:rPr>
          <w:rFonts w:ascii="Times New Roman" w:eastAsia="Times New Roman" w:hAnsi="Times New Roman" w:cs="Times New Roman"/>
          <w:i/>
          <w:iCs/>
          <w:sz w:val="16"/>
          <w:szCs w:val="16"/>
        </w:rPr>
        <w:t>Rickettsia akari</w:t>
      </w:r>
      <w:r>
        <w:rPr>
          <w:i/>
          <w:iCs/>
        </w:rPr>
        <w:t>,</w:t>
      </w:r>
      <w:r>
        <w:t xml:space="preserve"> clasificada dentro de las rickettsias del grupo de las fiebres maculadas y vinculada antigénicamente con </w:t>
      </w:r>
      <w:r>
        <w:rPr>
          <w:rFonts w:ascii="Times New Roman" w:eastAsia="Times New Roman" w:hAnsi="Times New Roman" w:cs="Times New Roman"/>
          <w:i/>
          <w:iCs/>
          <w:sz w:val="16"/>
          <w:szCs w:val="16"/>
        </w:rPr>
        <w:t>Rickettsia rickettsii.</w:t>
      </w:r>
    </w:p>
    <w:p w14:paraId="19F22B04" w14:textId="77777777" w:rsidR="00D03C17" w:rsidRDefault="00D03C17">
      <w:pPr>
        <w:pStyle w:val="BodyText"/>
        <w:ind w:firstLine="0"/>
      </w:pPr>
      <w:r>
        <w:rPr>
          <w:b/>
          <w:bCs/>
        </w:rPr>
        <w:t>A</w:t>
      </w:r>
      <w:r>
        <w:rPr>
          <w:b/>
          <w:bCs/>
          <w:sz w:val="13"/>
          <w:szCs w:val="13"/>
        </w:rPr>
        <w:t>SPECTOS EPIDEMIOLÓGICOS</w:t>
      </w:r>
      <w:r>
        <w:rPr>
          <w:b/>
          <w:bCs/>
        </w:rPr>
        <w:t xml:space="preserve">: </w:t>
      </w:r>
      <w:r>
        <w:t xml:space="preserve">El hospedador natural de </w:t>
      </w:r>
      <w:r>
        <w:rPr>
          <w:rFonts w:ascii="Times New Roman" w:eastAsia="Times New Roman" w:hAnsi="Times New Roman" w:cs="Times New Roman"/>
          <w:i/>
          <w:iCs/>
          <w:sz w:val="16"/>
          <w:szCs w:val="16"/>
        </w:rPr>
        <w:t>R. akari</w:t>
      </w:r>
      <w:r>
        <w:t xml:space="preserve"> en Estados Unidos es el ratón casero común Mus musculus. La enfermedad es transmitida por el ácaro del ratón </w:t>
      </w:r>
      <w:r>
        <w:rPr>
          <w:i/>
          <w:iCs/>
        </w:rPr>
        <w:t>(</w:t>
      </w:r>
      <w:r>
        <w:rPr>
          <w:rFonts w:ascii="Times New Roman" w:eastAsia="Times New Roman" w:hAnsi="Times New Roman" w:cs="Times New Roman"/>
          <w:i/>
          <w:iCs/>
          <w:sz w:val="16"/>
          <w:szCs w:val="16"/>
        </w:rPr>
        <w:t>Liponyssoides sanguineus</w:t>
      </w:r>
      <w:r>
        <w:rPr>
          <w:i/>
          <w:iCs/>
        </w:rPr>
        <w:t>).</w:t>
      </w:r>
      <w:r>
        <w:t xml:space="preserve"> El peligro de mostrar la enfermedad alcanza su punto máximo en áreas infestadas por ratones. La enfermedad aparece en grandes medios urbanos y se le ha identificado en la zona noreste de Estados Unidos, Ohio, Utah, Croacia, Ukrania, Rusia, Corea y África del Sur. Puede afectar a cualquier grupo de edad y no se ha observado un perfil estacional. La enfermedad no es transmisible y rara vez se le notifica en Estados Unidos en la actualidad.</w:t>
      </w:r>
    </w:p>
    <w:p w14:paraId="7A68F7EA" w14:textId="77777777" w:rsidR="00D03C17" w:rsidRDefault="00D03C17">
      <w:pPr>
        <w:pStyle w:val="BodyText"/>
        <w:ind w:firstLine="360"/>
      </w:pPr>
      <w:r>
        <w:t xml:space="preserve">El </w:t>
      </w:r>
      <w:r>
        <w:rPr>
          <w:b/>
          <w:bCs/>
        </w:rPr>
        <w:t xml:space="preserve">periodo de incubación </w:t>
      </w:r>
      <w:r>
        <w:t>es de nueve a 14 días.</w:t>
      </w:r>
    </w:p>
    <w:p w14:paraId="27FBC671" w14:textId="77777777" w:rsidR="00D03C17" w:rsidRDefault="00D03C17">
      <w:pPr>
        <w:pStyle w:val="BodyText"/>
        <w:ind w:firstLine="0"/>
      </w:pPr>
      <w:r>
        <w:rPr>
          <w:b/>
          <w:bCs/>
        </w:rPr>
        <w:t>M</w:t>
      </w:r>
      <w:r>
        <w:rPr>
          <w:b/>
          <w:bCs/>
          <w:sz w:val="13"/>
          <w:szCs w:val="13"/>
        </w:rPr>
        <w:t>ÉTODOS DIAGNÓSTICOS</w:t>
      </w:r>
      <w:r>
        <w:rPr>
          <w:b/>
          <w:bCs/>
        </w:rPr>
        <w:t xml:space="preserve">: </w:t>
      </w:r>
      <w:r>
        <w:t xml:space="preserve">Es posible aislar </w:t>
      </w:r>
      <w:r>
        <w:rPr>
          <w:rFonts w:ascii="Times New Roman" w:eastAsia="Times New Roman" w:hAnsi="Times New Roman" w:cs="Times New Roman"/>
          <w:i/>
          <w:iCs/>
          <w:sz w:val="16"/>
          <w:szCs w:val="16"/>
        </w:rPr>
        <w:t>Rickettsia akari</w:t>
      </w:r>
      <w:r>
        <w:t xml:space="preserve"> de la sangre en la fase aguda de la enfermedad, pero no se intenta sistemáticamente el cultivo y se le practica sólo en laboratorios especializados. Por medio del método de anticuerpos inmunofluorescentes indirectos o la prueba de fijación de complemento de </w:t>
      </w:r>
      <w:r>
        <w:rPr>
          <w:rFonts w:ascii="Times New Roman" w:eastAsia="Times New Roman" w:hAnsi="Times New Roman" w:cs="Times New Roman"/>
          <w:i/>
          <w:iCs/>
          <w:sz w:val="16"/>
          <w:szCs w:val="16"/>
        </w:rPr>
        <w:t>R. rickettsii</w:t>
      </w:r>
      <w:r>
        <w:t xml:space="preserve"> (la causa de la fiebre maculada de las Montañas Rocosas) se demostrará un cambio cuádruple en los títulos de anticuerpos entre las muestras de suero de fase aguda y de convalecencia porque los anticuerpos a </w:t>
      </w:r>
      <w:r>
        <w:rPr>
          <w:rFonts w:ascii="Times New Roman" w:eastAsia="Times New Roman" w:hAnsi="Times New Roman" w:cs="Times New Roman"/>
          <w:i/>
          <w:iCs/>
          <w:sz w:val="16"/>
          <w:szCs w:val="16"/>
        </w:rPr>
        <w:t>R. akari</w:t>
      </w:r>
      <w:r>
        <w:t xml:space="preserve"> muestran extensa reactividad cruzada con los que surgen contra </w:t>
      </w:r>
      <w:r>
        <w:rPr>
          <w:rFonts w:ascii="Times New Roman" w:eastAsia="Times New Roman" w:hAnsi="Times New Roman" w:cs="Times New Roman"/>
          <w:i/>
          <w:iCs/>
          <w:sz w:val="16"/>
          <w:szCs w:val="16"/>
        </w:rPr>
        <w:t>R. rickettsii.</w:t>
      </w:r>
      <w:r>
        <w:t xml:space="preserve"> Por medio de la absorción de muestras de suero antes de realizar el método de anticuerpos por inmunofluorescencia indirecta es factible diferenciar entre las respuestas de anticuerpos a </w:t>
      </w:r>
      <w:r>
        <w:rPr>
          <w:rFonts w:ascii="Times New Roman" w:eastAsia="Times New Roman" w:hAnsi="Times New Roman" w:cs="Times New Roman"/>
          <w:i/>
          <w:iCs/>
          <w:sz w:val="16"/>
          <w:szCs w:val="16"/>
        </w:rPr>
        <w:t>R. rickettsii</w:t>
      </w:r>
      <w:r>
        <w:t xml:space="preserve"> y </w:t>
      </w:r>
      <w:r>
        <w:rPr>
          <w:rFonts w:ascii="Times New Roman" w:eastAsia="Times New Roman" w:hAnsi="Times New Roman" w:cs="Times New Roman"/>
          <w:i/>
          <w:iCs/>
          <w:sz w:val="16"/>
          <w:szCs w:val="16"/>
        </w:rPr>
        <w:t>R. akari</w:t>
      </w:r>
      <w:r>
        <w:t>. Otros métodos diagnósticos útiles son la prueba de anticuerpos fluorescentes directos en escaras dentro de moldes de parafina y el estudio histopatológico de papulovesículas.</w:t>
      </w:r>
    </w:p>
    <w:p w14:paraId="00F8AF67" w14:textId="77777777" w:rsidR="00D03C17" w:rsidRDefault="00D03C17">
      <w:pPr>
        <w:pStyle w:val="BodyText"/>
        <w:ind w:firstLine="0"/>
      </w:pPr>
      <w:r>
        <w:rPr>
          <w:b/>
          <w:bCs/>
        </w:rPr>
        <w:t>T</w:t>
      </w:r>
      <w:r>
        <w:rPr>
          <w:b/>
          <w:bCs/>
          <w:sz w:val="13"/>
          <w:szCs w:val="13"/>
        </w:rPr>
        <w:t>RATAMIENTO</w:t>
      </w:r>
      <w:r>
        <w:rPr>
          <w:b/>
          <w:bCs/>
        </w:rPr>
        <w:t xml:space="preserve">: </w:t>
      </w:r>
      <w:r>
        <w:t>La doxiciclina o el cloranfenicol acortarán la evolución de la enfermedad; en término de 48 h de haber comenzado su administración mostrarán resolución los síntomas. Es mejor no administrar tetraciclinas a niños menores de ocho años, salvo que los beneficios de su uso sean mayores que el riesgo de manchas en los dientes (véase “Antimicrobianos y fármacos similares”, sección 4). El tratamiento es eficaz si se hace durante tres a cinco días; rara vez hay recaídas.</w:t>
      </w:r>
    </w:p>
    <w:p w14:paraId="5F6DA76E" w14:textId="77777777" w:rsidR="00D03C17" w:rsidRDefault="00D03C17">
      <w:pPr>
        <w:pStyle w:val="BodyText"/>
        <w:spacing w:after="100"/>
        <w:ind w:firstLine="0"/>
      </w:pPr>
      <w:r>
        <w:rPr>
          <w:b/>
          <w:bCs/>
        </w:rPr>
        <w:t>A</w:t>
      </w:r>
      <w:r>
        <w:rPr>
          <w:b/>
          <w:bCs/>
          <w:sz w:val="13"/>
          <w:szCs w:val="13"/>
        </w:rPr>
        <w:t>ISLAMIENTO DEL PACIENTE HOSPITALIZADO</w:t>
      </w:r>
      <w:r>
        <w:rPr>
          <w:b/>
          <w:bCs/>
        </w:rPr>
        <w:t xml:space="preserve">: </w:t>
      </w:r>
      <w:r>
        <w:t xml:space="preserve">Se recomienda seguir las precauciones estándar. </w:t>
      </w:r>
      <w:r>
        <w:rPr>
          <w:b/>
          <w:bCs/>
        </w:rPr>
        <w:t>M</w:t>
      </w:r>
      <w:r>
        <w:rPr>
          <w:b/>
          <w:bCs/>
          <w:sz w:val="13"/>
          <w:szCs w:val="13"/>
        </w:rPr>
        <w:t>EDIDAS PREVENTIVAS</w:t>
      </w:r>
      <w:r>
        <w:rPr>
          <w:b/>
          <w:bCs/>
        </w:rPr>
        <w:t xml:space="preserve">: </w:t>
      </w:r>
      <w:r>
        <w:t>La desinfestación con insecticidas de acción residual y medidas para erradicar roedores limitarán o eliminarán el vector. No se necesita el tratamiento específico de personas expuestas.</w:t>
      </w:r>
    </w:p>
    <w:p w14:paraId="0CBD1CD4" w14:textId="77777777" w:rsidR="00D03C17" w:rsidRDefault="00D03C17">
      <w:pPr>
        <w:pStyle w:val="Bodytext70"/>
        <w:spacing w:after="0"/>
      </w:pPr>
      <w:r>
        <w:t>Rickettsiosis</w:t>
      </w:r>
    </w:p>
    <w:p w14:paraId="4E07A53D" w14:textId="77777777" w:rsidR="00D03C17" w:rsidRDefault="00D03C17">
      <w:pPr>
        <w:pStyle w:val="BodyText"/>
        <w:ind w:firstLine="0"/>
        <w:sectPr w:rsidR="00D03C17" w:rsidSect="00D03C17">
          <w:headerReference w:type="even" r:id="rId301"/>
          <w:headerReference w:type="default" r:id="rId302"/>
          <w:footerReference w:type="even" r:id="rId303"/>
          <w:footerReference w:type="default" r:id="rId304"/>
          <w:footnotePr>
            <w:numFmt w:val="chicago"/>
          </w:footnotePr>
          <w:type w:val="continuous"/>
          <w:pgSz w:w="8501" w:h="13022"/>
          <w:pgMar w:top="898" w:right="798" w:bottom="504" w:left="816" w:header="0" w:footer="76" w:gutter="0"/>
          <w:cols w:space="720"/>
          <w:noEndnote/>
          <w:docGrid w:linePitch="360"/>
          <w15:footnoteColumns w:val="1"/>
        </w:sectPr>
      </w:pPr>
      <w:r>
        <w:t xml:space="preserve">Las rickettsias son bacterias cocobacilares pequeñas, y de ellas muchas tienen vectores que son artrópodos, como las garrapatas, las pulgas y los piojos. Los seres humanos son </w:t>
      </w:r>
    </w:p>
    <w:p w14:paraId="165B0628" w14:textId="77777777" w:rsidR="00D03C17" w:rsidRDefault="00D03C17">
      <w:pPr>
        <w:pStyle w:val="BodyText"/>
        <w:ind w:firstLine="0"/>
      </w:pPr>
      <w:r>
        <w:t xml:space="preserve">causado por </w:t>
      </w:r>
      <w:r>
        <w:rPr>
          <w:rFonts w:ascii="Times New Roman" w:eastAsia="Times New Roman" w:hAnsi="Times New Roman" w:cs="Times New Roman"/>
          <w:i/>
          <w:iCs/>
          <w:sz w:val="16"/>
          <w:szCs w:val="16"/>
        </w:rPr>
        <w:t>Orientia tsutsugamushi</w:t>
      </w:r>
      <w:r>
        <w:rPr>
          <w:i/>
          <w:iCs/>
        </w:rPr>
        <w:t>.</w:t>
      </w:r>
      <w:r>
        <w:t xml:space="preserve"> De los cuatro grupos de rickettsiosis, por lo regular las infecciones intragrupos confieren inmunidad parcial o completa cruzada pero no intergrupos. Se ha descrito reinfección por especies de </w:t>
      </w:r>
      <w:r>
        <w:rPr>
          <w:rFonts w:ascii="Times New Roman" w:eastAsia="Times New Roman" w:hAnsi="Times New Roman" w:cs="Times New Roman"/>
          <w:i/>
          <w:iCs/>
          <w:sz w:val="16"/>
          <w:szCs w:val="16"/>
        </w:rPr>
        <w:t>Ehrlichia</w:t>
      </w:r>
      <w:r>
        <w:t xml:space="preserve"> y </w:t>
      </w:r>
      <w:r>
        <w:rPr>
          <w:rFonts w:ascii="Times New Roman" w:eastAsia="Times New Roman" w:hAnsi="Times New Roman" w:cs="Times New Roman"/>
          <w:i/>
          <w:iCs/>
          <w:sz w:val="16"/>
          <w:szCs w:val="16"/>
        </w:rPr>
        <w:t>Anaplasma</w:t>
      </w:r>
      <w:r>
        <w:rPr>
          <w:i/>
          <w:iCs/>
        </w:rPr>
        <w:t>.</w:t>
      </w:r>
    </w:p>
    <w:p w14:paraId="3D07DCB6" w14:textId="77777777" w:rsidR="00D03C17" w:rsidRDefault="00D03C17">
      <w:pPr>
        <w:pStyle w:val="BodyText"/>
        <w:numPr>
          <w:ilvl w:val="0"/>
          <w:numId w:val="93"/>
        </w:numPr>
        <w:tabs>
          <w:tab w:val="left" w:pos="335"/>
        </w:tabs>
        <w:ind w:left="360" w:hanging="360"/>
      </w:pPr>
      <w:bookmarkStart w:id="249" w:name="bookmark1273"/>
      <w:bookmarkEnd w:id="249"/>
      <w:r>
        <w:t>Muchas rickettsiosis, incluida la fiebre maculada de las Montañas Rocosas, la ehrlichiosis y la fiebre Q, son enfermedades de notificación obligatoria a nivel nacional, y deben ser informadas a los departamentos de sanidad estatales y locales. En lo que toca a detalles, incluido el tratamiento, habrá que consultar los siguientes</w:t>
      </w:r>
    </w:p>
    <w:p w14:paraId="71AB0416" w14:textId="77777777" w:rsidR="00D03C17" w:rsidRDefault="00D03C17">
      <w:pPr>
        <w:pStyle w:val="BodyText"/>
        <w:ind w:firstLine="0"/>
      </w:pPr>
      <w:r>
        <w:t>resúmenes sobre rickettsiosis (todos en esta sección):</w:t>
      </w:r>
    </w:p>
    <w:p w14:paraId="48C8B541" w14:textId="77777777" w:rsidR="00D03C17" w:rsidRDefault="00D03C17">
      <w:pPr>
        <w:pStyle w:val="BodyText"/>
        <w:numPr>
          <w:ilvl w:val="0"/>
          <w:numId w:val="93"/>
        </w:numPr>
        <w:tabs>
          <w:tab w:val="left" w:pos="335"/>
        </w:tabs>
        <w:ind w:firstLine="0"/>
      </w:pPr>
      <w:bookmarkStart w:id="250" w:name="bookmark1274"/>
      <w:bookmarkEnd w:id="250"/>
      <w:r>
        <w:rPr>
          <w:rFonts w:ascii="Times New Roman" w:eastAsia="Times New Roman" w:hAnsi="Times New Roman" w:cs="Times New Roman"/>
          <w:i/>
          <w:iCs/>
          <w:sz w:val="16"/>
          <w:szCs w:val="16"/>
        </w:rPr>
        <w:t>Ehrlichia,</w:t>
      </w:r>
      <w:r>
        <w:t xml:space="preserve"> infecciones por (ehrlichiosis de seres humanos)</w:t>
      </w:r>
    </w:p>
    <w:p w14:paraId="56DE62CB" w14:textId="77777777" w:rsidR="00D03C17" w:rsidRDefault="00D03C17">
      <w:pPr>
        <w:pStyle w:val="BodyText"/>
        <w:numPr>
          <w:ilvl w:val="0"/>
          <w:numId w:val="93"/>
        </w:numPr>
        <w:tabs>
          <w:tab w:val="left" w:pos="335"/>
        </w:tabs>
        <w:ind w:firstLine="0"/>
      </w:pPr>
      <w:bookmarkStart w:id="251" w:name="bookmark1275"/>
      <w:bookmarkEnd w:id="251"/>
      <w:r>
        <w:t>Q, fiebre</w:t>
      </w:r>
    </w:p>
    <w:p w14:paraId="2C80D9F8" w14:textId="77777777" w:rsidR="00D03C17" w:rsidRDefault="00D03C17">
      <w:pPr>
        <w:pStyle w:val="BodyText"/>
        <w:numPr>
          <w:ilvl w:val="0"/>
          <w:numId w:val="93"/>
        </w:numPr>
        <w:tabs>
          <w:tab w:val="left" w:pos="335"/>
        </w:tabs>
        <w:ind w:firstLine="0"/>
      </w:pPr>
      <w:bookmarkStart w:id="252" w:name="bookmark1276"/>
      <w:bookmarkEnd w:id="252"/>
      <w:r>
        <w:t>Rickettsiosis pustulosa</w:t>
      </w:r>
    </w:p>
    <w:p w14:paraId="6636B8DD" w14:textId="77777777" w:rsidR="00D03C17" w:rsidRDefault="00D03C17">
      <w:pPr>
        <w:pStyle w:val="BodyText"/>
        <w:numPr>
          <w:ilvl w:val="0"/>
          <w:numId w:val="93"/>
        </w:numPr>
        <w:tabs>
          <w:tab w:val="left" w:pos="335"/>
        </w:tabs>
        <w:ind w:firstLine="0"/>
      </w:pPr>
      <w:bookmarkStart w:id="253" w:name="bookmark1277"/>
      <w:bookmarkEnd w:id="253"/>
      <w:r>
        <w:t>Rocosas, fiebre maculada de las Montañas</w:t>
      </w:r>
    </w:p>
    <w:p w14:paraId="5C5ED1D9" w14:textId="77777777" w:rsidR="00D03C17" w:rsidRDefault="00D03C17">
      <w:pPr>
        <w:pStyle w:val="BodyText"/>
        <w:numPr>
          <w:ilvl w:val="0"/>
          <w:numId w:val="93"/>
        </w:numPr>
        <w:tabs>
          <w:tab w:val="left" w:pos="335"/>
        </w:tabs>
        <w:ind w:firstLine="0"/>
      </w:pPr>
      <w:bookmarkStart w:id="254" w:name="bookmark1278"/>
      <w:bookmarkEnd w:id="254"/>
      <w:r>
        <w:t>Tifus endémico (tifus por pulgas o tifus murino)</w:t>
      </w:r>
    </w:p>
    <w:p w14:paraId="3CA54A53" w14:textId="77777777" w:rsidR="00D03C17" w:rsidRDefault="00D03C17">
      <w:pPr>
        <w:pStyle w:val="BodyText"/>
        <w:numPr>
          <w:ilvl w:val="0"/>
          <w:numId w:val="93"/>
        </w:numPr>
        <w:tabs>
          <w:tab w:val="left" w:pos="335"/>
        </w:tabs>
        <w:ind w:firstLine="0"/>
      </w:pPr>
      <w:bookmarkStart w:id="255" w:name="bookmark1279"/>
      <w:bookmarkEnd w:id="255"/>
      <w:r>
        <w:t>Tifus epidémico (tifus por piojos del cuerpo)</w:t>
      </w:r>
    </w:p>
    <w:p w14:paraId="2C21197C" w14:textId="77777777" w:rsidR="00D03C17" w:rsidRDefault="00D03C17">
      <w:pPr>
        <w:pStyle w:val="BodyText"/>
        <w:spacing w:after="100"/>
        <w:ind w:firstLine="360"/>
      </w:pPr>
      <w:r>
        <w:t xml:space="preserve">Se han identificado otras infecciones epidemiológicamente distintas, pero con semejanzas clínicas, en que hay fiebre maculada por garrapatas, causada por rickettsias. Los agentes causales de algunas de las infecciones comparten el mismo grupo antigénico que </w:t>
      </w:r>
      <w:r>
        <w:rPr>
          <w:rFonts w:ascii="Times New Roman" w:eastAsia="Times New Roman" w:hAnsi="Times New Roman" w:cs="Times New Roman"/>
          <w:i/>
          <w:iCs/>
          <w:sz w:val="16"/>
          <w:szCs w:val="16"/>
        </w:rPr>
        <w:t>Rickettsia rickettsii</w:t>
      </w:r>
      <w:r>
        <w:rPr>
          <w:i/>
          <w:iCs/>
        </w:rPr>
        <w:t>;</w:t>
      </w:r>
      <w:r>
        <w:t xml:space="preserve"> incluyen </w:t>
      </w:r>
      <w:r>
        <w:rPr>
          <w:rFonts w:ascii="Times New Roman" w:eastAsia="Times New Roman" w:hAnsi="Times New Roman" w:cs="Times New Roman"/>
          <w:i/>
          <w:iCs/>
          <w:sz w:val="16"/>
          <w:szCs w:val="16"/>
        </w:rPr>
        <w:t>Rickettsia africae</w:t>
      </w:r>
      <w:r>
        <w:rPr>
          <w:i/>
          <w:iCs/>
        </w:rPr>
        <w:t>,</w:t>
      </w:r>
      <w:r>
        <w:t xml:space="preserve"> el agente causal de la fiebre por picadura de garrapata que es endémica en países subsaharianos; </w:t>
      </w:r>
      <w:r>
        <w:rPr>
          <w:rFonts w:ascii="Times New Roman" w:eastAsia="Times New Roman" w:hAnsi="Times New Roman" w:cs="Times New Roman"/>
          <w:i/>
          <w:iCs/>
          <w:sz w:val="16"/>
          <w:szCs w:val="16"/>
        </w:rPr>
        <w:t>Rickettsia conorii</w:t>
      </w:r>
      <w:r>
        <w:rPr>
          <w:i/>
          <w:iCs/>
        </w:rPr>
        <w:t>,</w:t>
      </w:r>
      <w:r>
        <w:t xml:space="preserve"> que es el agente causal de la fiebre botonosa (fiebre maculada del Mediterráneo, tifus de la India por garrapatas y fiebre de Marsella) y es endémica en el sur de Europa, África y el Cercano Oriente; </w:t>
      </w:r>
      <w:r>
        <w:rPr>
          <w:rFonts w:ascii="Times New Roman" w:eastAsia="Times New Roman" w:hAnsi="Times New Roman" w:cs="Times New Roman"/>
          <w:i/>
          <w:iCs/>
          <w:sz w:val="16"/>
          <w:szCs w:val="16"/>
        </w:rPr>
        <w:t>R. sibirica</w:t>
      </w:r>
      <w:r>
        <w:t xml:space="preserve">, que es el agente causal del tifus siberiano por garrapatas, que es endémica en el Asia Central; </w:t>
      </w:r>
      <w:r>
        <w:rPr>
          <w:rFonts w:ascii="Times New Roman" w:eastAsia="Times New Roman" w:hAnsi="Times New Roman" w:cs="Times New Roman"/>
          <w:i/>
          <w:iCs/>
          <w:sz w:val="16"/>
          <w:szCs w:val="16"/>
        </w:rPr>
        <w:t>R. australis</w:t>
      </w:r>
      <w:r>
        <w:rPr>
          <w:i/>
          <w:iCs/>
        </w:rPr>
        <w:t>,</w:t>
      </w:r>
      <w:r>
        <w:t xml:space="preserve"> que es el agente causal del tifus por garrapatas de Queensland del Norte y que es endémico en la zona oriental de Australia; y </w:t>
      </w:r>
      <w:r>
        <w:rPr>
          <w:rFonts w:ascii="Times New Roman" w:eastAsia="Times New Roman" w:hAnsi="Times New Roman" w:cs="Times New Roman"/>
          <w:i/>
          <w:iCs/>
          <w:sz w:val="16"/>
          <w:szCs w:val="16"/>
        </w:rPr>
        <w:t>R. japonica</w:t>
      </w:r>
      <w:r>
        <w:rPr>
          <w:i/>
          <w:iCs/>
        </w:rPr>
        <w:t xml:space="preserve">, </w:t>
      </w:r>
      <w:r>
        <w:t>el agente causal de la fiebre maculada japonesa, que es endémica en Japón. Cada una de las infecciones mencionadas posee signos clínicos, patológicos y epidemiológicos similares a los de la fiebre maculada de las Montañas Rocosas y la doxiciclina es el medicamento más indicado para combatirlas. El diagnóstico específico se confirma por medio de la técnica de anticuerpos inmunofluorescentes directos. Los trastornos en cuestión adquieren importancia en personas que viajan a zonas en que tales agentes son endémicos o que vuelven de tales áreas.</w:t>
      </w:r>
    </w:p>
    <w:p w14:paraId="0CDB80E4" w14:textId="77777777" w:rsidR="00D03C17" w:rsidRDefault="00D03C17">
      <w:pPr>
        <w:pStyle w:val="Bodytext70"/>
        <w:spacing w:after="0"/>
      </w:pPr>
      <w:r>
        <w:t>Rocosas, fiebre maculada de las Montañas</w:t>
      </w:r>
    </w:p>
    <w:p w14:paraId="5BEC724F" w14:textId="77777777" w:rsidR="00D03C17" w:rsidRDefault="00D03C17">
      <w:pPr>
        <w:pStyle w:val="BodyText"/>
        <w:ind w:firstLine="0"/>
      </w:pPr>
      <w:r>
        <w:rPr>
          <w:b/>
          <w:bCs/>
        </w:rPr>
        <w:t>M</w:t>
      </w:r>
      <w:r>
        <w:rPr>
          <w:b/>
          <w:bCs/>
          <w:sz w:val="13"/>
          <w:szCs w:val="13"/>
        </w:rPr>
        <w:t>ANIFESTACIONES CLÍNICAS</w:t>
      </w:r>
      <w:r>
        <w:rPr>
          <w:b/>
          <w:bCs/>
        </w:rPr>
        <w:t xml:space="preserve">: </w:t>
      </w:r>
      <w:r>
        <w:t xml:space="preserve">La fiebre maculada de las Montañas Rocosas </w:t>
      </w:r>
      <w:r>
        <w:rPr>
          <w:rFonts w:ascii="Times New Roman" w:eastAsia="Times New Roman" w:hAnsi="Times New Roman" w:cs="Times New Roman"/>
          <w:i/>
          <w:iCs/>
          <w:sz w:val="16"/>
          <w:szCs w:val="16"/>
        </w:rPr>
        <w:t>(Rocky Mountain spotted fever, RMSF)</w:t>
      </w:r>
      <w:r>
        <w:t xml:space="preserve"> es una inflamación sistémica de vasos finos que presenta una erupción característica que suele aparecer antes del sexto día de la enfermedad. Los principales signos clínicos son fiebre, mialgias, cefalalgia intensa, náuseas, vómitos y anorexia. A menudo surgen dolor abdominal y diarrea y pueden disimular el diagnóstico. En el comienzo la erupción es eritematosa y maculosa y más tarde se torna maculopapulosa y a menudo petequial. En general, las manifestaciones cutáneas aparecen en primer término en las muñecas y los tobillos y se diseminan en término de horas en sentido proximal al tronco. En forma típica abarca las palmas y las plantas. A pesar de que la aparición temprana de la erupción es un signo diagnóstico útil, incluso en 20% de los casos no aparece tal manifestación. La trombocitopenia de intensidad variable y la hiponatremia ocurren en muchos casos, y puede observarse anemia. De modo típico el recuento leucocítico es normal, pero puede haber leucopenia. La enfermedad dura incluso tres semanas y puede ser grave con notable ataque del sistema nervioso central, corazón, pulmones, vías gastrointestinales y riñones; puede haber coagulación intravascular diseminada y choque que culmine en la muerte. Son frecuentes las secuelas importantes a largo plazo en personas con RMSF grave, incluidas las de tipo neurológico (paraparesia; hipoacusia; neuropatía periférica; incontinencia vesical y rectal, así como disfunción cerebelosa, vestibular y motora) y efectos no neurológicos (discapacidad por amputación de una extremidad).</w:t>
      </w:r>
    </w:p>
    <w:p w14:paraId="18EA257B" w14:textId="77777777" w:rsidR="00D03C17" w:rsidRDefault="00D03C17">
      <w:pPr>
        <w:pStyle w:val="BodyText"/>
        <w:ind w:firstLine="0"/>
      </w:pPr>
      <w:r>
        <w:rPr>
          <w:b/>
          <w:bCs/>
        </w:rPr>
        <w:t>C</w:t>
      </w:r>
      <w:r>
        <w:rPr>
          <w:b/>
          <w:bCs/>
          <w:sz w:val="13"/>
          <w:szCs w:val="13"/>
        </w:rPr>
        <w:t>AUSAS</w:t>
      </w:r>
      <w:r>
        <w:rPr>
          <w:b/>
          <w:bCs/>
        </w:rPr>
        <w:t xml:space="preserve">: </w:t>
      </w:r>
      <w:r>
        <w:rPr>
          <w:rFonts w:ascii="Times New Roman" w:eastAsia="Times New Roman" w:hAnsi="Times New Roman" w:cs="Times New Roman"/>
          <w:i/>
          <w:iCs/>
          <w:sz w:val="16"/>
          <w:szCs w:val="16"/>
        </w:rPr>
        <w:t>Rickettsia rickettsii</w:t>
      </w:r>
      <w:r>
        <w:t xml:space="preserve"> es un patógeno intracelular obligado y miembro de la familia de rickettsias de la fiebre maculada. Los sitios predilectos de la infección en los mamíferos hospedadores son las células del endotelio de los vasos finos de todos los tejidos y órganos importantes.</w:t>
      </w:r>
    </w:p>
    <w:p w14:paraId="69AC9EEC" w14:textId="77777777" w:rsidR="00D03C17" w:rsidRDefault="00D03C17">
      <w:pPr>
        <w:pStyle w:val="BodyText"/>
        <w:spacing w:line="271" w:lineRule="auto"/>
        <w:ind w:firstLine="0"/>
      </w:pPr>
      <w:r>
        <w:rPr>
          <w:b/>
          <w:bCs/>
        </w:rPr>
        <w:t>A</w:t>
      </w:r>
      <w:r>
        <w:rPr>
          <w:b/>
          <w:bCs/>
          <w:sz w:val="13"/>
          <w:szCs w:val="13"/>
        </w:rPr>
        <w:t>SPECTOS EPIDEMIOLÓGICOS</w:t>
      </w:r>
      <w:r>
        <w:rPr>
          <w:b/>
          <w:bCs/>
        </w:rPr>
        <w:t xml:space="preserve">: </w:t>
      </w:r>
      <w:r>
        <w:t xml:space="preserve">La enfermedad se transmite a los seres humanos por la picadura de una garrapata. Muchos pequeños animales salvajes y perros tienen anticuerpos contra </w:t>
      </w:r>
      <w:r>
        <w:rPr>
          <w:rFonts w:ascii="Times New Roman" w:eastAsia="Times New Roman" w:hAnsi="Times New Roman" w:cs="Times New Roman"/>
          <w:i/>
          <w:iCs/>
          <w:sz w:val="16"/>
          <w:szCs w:val="16"/>
        </w:rPr>
        <w:t>R. rickettsii,</w:t>
      </w:r>
      <w:r>
        <w:t xml:space="preserve"> pero no se ha definido su intervención como hospedadores naturales, porque las garrapatas son a su vez reservorios y vectores de </w:t>
      </w:r>
      <w:r>
        <w:rPr>
          <w:rFonts w:ascii="Times New Roman" w:eastAsia="Times New Roman" w:hAnsi="Times New Roman" w:cs="Times New Roman"/>
          <w:i/>
          <w:iCs/>
          <w:sz w:val="16"/>
          <w:szCs w:val="16"/>
        </w:rPr>
        <w:t>R. rickettsii.</w:t>
      </w:r>
      <w:r>
        <w:t xml:space="preserve"> En las garrapatas el agente es transmitido en la fase transovárica e interestadial. Están expuestos a un mayor peligro de contagio del microorganismo las personas con exposición ocupacional o de recreo a la garrapata vectora (como los propietarios de mascotas, manipuladores de animales y personas que pasan tiempo al aire libre). El germen puede infectar a personas de cualquier edad pero la mayor parte de los casos se localizan en niños menores de 15 años. Los meses de máxima incidencia son abril a septiembre. La infección adquirida en laboratorio ha sido producto de la inoculación accidental y la contaminación con aerosol. En raras ocasiones también el contagio ha ocurrido por transfusiones de sangre. La mortalidad alcanza su máximo en varones, en personas mayores de 50 años y sujetos en quienes no se supo de la picadura o adherencia de la garrapata. No tener conocimiento de una picadura reciente del artrópodo no descarta el diagnóstico. El retraso en la identificación de la enfermedad y en el comienzo de las medidas contra rickettsias agrava el peligro de muerte. Los factores que contribuyen al retraso del diagnóstico incluyen el hecho de no surgir la erupción, que es el cuadro inicial, antes del cuarto día de la enfermedad y enfermedad que comienza durante meses que no incluyen de mayo a agosto.</w:t>
      </w:r>
    </w:p>
    <w:p w14:paraId="1E59A944" w14:textId="77777777" w:rsidR="00D03C17" w:rsidRDefault="00D03C17">
      <w:pPr>
        <w:pStyle w:val="BodyText"/>
        <w:spacing w:line="276" w:lineRule="auto"/>
        <w:ind w:firstLine="360"/>
      </w:pPr>
      <w:r>
        <w:t xml:space="preserve">La enfermedad surge extensamente en Estados Unidos, y muchos casos han sido notificados en las zonas atlántica sur, sureste y estados del centro-sur de tal país. La garrapata del perro </w:t>
      </w:r>
      <w:r>
        <w:rPr>
          <w:rFonts w:ascii="Times New Roman" w:eastAsia="Times New Roman" w:hAnsi="Times New Roman" w:cs="Times New Roman"/>
          <w:i/>
          <w:iCs/>
          <w:sz w:val="16"/>
          <w:szCs w:val="16"/>
        </w:rPr>
        <w:t>(Dermacentor variabilis)</w:t>
      </w:r>
      <w:r>
        <w:t xml:space="preserve"> más bien es la que origina la transmisión en tales áreas geográficas y algunas áreas del occidente de Estados Unidos. En esta última región, los estados septentrionales de las Montañas Rocosas muestran la máxima incidencia, zona en que el vector suele ser la garrapata de la madera </w:t>
      </w:r>
      <w:r>
        <w:rPr>
          <w:rFonts w:ascii="Times New Roman" w:eastAsia="Times New Roman" w:hAnsi="Times New Roman" w:cs="Times New Roman"/>
          <w:i/>
          <w:iCs/>
          <w:sz w:val="16"/>
          <w:szCs w:val="16"/>
        </w:rPr>
        <w:t>(Dermacentor andersoni)</w:t>
      </w:r>
      <w:r>
        <w:rPr>
          <w:i/>
          <w:iCs/>
        </w:rPr>
        <w:t>.</w:t>
      </w:r>
      <w:r>
        <w:t xml:space="preserve"> La transmisión demuestra correspondencia con la estación en que proliferan las garrapatas en un área geográfica particular. La enfermedad se observa también en Canadá, México y zonas de América del Centro y del Sur.</w:t>
      </w:r>
    </w:p>
    <w:p w14:paraId="70BF4DE6" w14:textId="77777777" w:rsidR="00D03C17" w:rsidRDefault="00D03C17">
      <w:pPr>
        <w:pStyle w:val="BodyText"/>
        <w:ind w:firstLine="360"/>
      </w:pPr>
      <w:r>
        <w:t xml:space="preserve">El </w:t>
      </w:r>
      <w:r>
        <w:rPr>
          <w:b/>
          <w:bCs/>
        </w:rPr>
        <w:t xml:space="preserve">periodo de incubación </w:t>
      </w:r>
      <w:r>
        <w:t>suele ser de aproximadamente una semana, pero varía de dos a 14 días.</w:t>
      </w:r>
    </w:p>
    <w:p w14:paraId="761C533B" w14:textId="77777777" w:rsidR="00D03C17" w:rsidRDefault="00D03C17">
      <w:pPr>
        <w:pStyle w:val="BodyText"/>
        <w:ind w:firstLine="0"/>
      </w:pPr>
      <w:r>
        <w:rPr>
          <w:b/>
          <w:bCs/>
        </w:rPr>
        <w:t>M</w:t>
      </w:r>
      <w:r>
        <w:rPr>
          <w:b/>
          <w:bCs/>
          <w:sz w:val="13"/>
          <w:szCs w:val="13"/>
        </w:rPr>
        <w:t>ÉTODOS DIAGNÓSTICOS</w:t>
      </w:r>
      <w:r>
        <w:rPr>
          <w:b/>
          <w:bCs/>
        </w:rPr>
        <w:t xml:space="preserve">: </w:t>
      </w:r>
      <w:r>
        <w:t xml:space="preserve">El diagnóstico se puede confirmar por algunos de los muchos métodos serológicos específicos para grupos de rickettsias. Confiere certeza diagnóstica el cambio cuádruple o mayor en los títulos de las muestras de suero de fase aguda y de convalecencia cuando se valoran por técnicas como anticuerpos inmunofluorescentes indirectos </w:t>
      </w:r>
      <w:r>
        <w:rPr>
          <w:i/>
          <w:iCs/>
        </w:rPr>
        <w:t>(</w:t>
      </w:r>
      <w:r>
        <w:rPr>
          <w:rFonts w:ascii="Times New Roman" w:eastAsia="Times New Roman" w:hAnsi="Times New Roman" w:cs="Times New Roman"/>
          <w:i/>
          <w:iCs/>
          <w:sz w:val="16"/>
          <w:szCs w:val="16"/>
        </w:rPr>
        <w:t>indirect immunofluorescence antibody</w:t>
      </w:r>
      <w:r>
        <w:rPr>
          <w:i/>
          <w:iCs/>
        </w:rPr>
        <w:t>,</w:t>
      </w:r>
      <w:r>
        <w:t xml:space="preserve"> IFA), inmunoanálisis enzimático o fijación de complemento, aglutinación de látex, hemaglutinación directa o microaglutinación. El método IFA es el de tipo confirmatorio que más se practica. En general, los anticuerpos son detectados por tal técnica siete a 10 días después de comenzar la enfermedad. Se puede plantear el diagnóstico probable con un solo título sérico de 1:64 o más por el método IFA. No se recomienda el método serológico de Weil-Felix (que detecta aglutininas de </w:t>
      </w:r>
      <w:r>
        <w:rPr>
          <w:rFonts w:ascii="Times New Roman" w:eastAsia="Times New Roman" w:hAnsi="Times New Roman" w:cs="Times New Roman"/>
          <w:i/>
          <w:iCs/>
          <w:sz w:val="16"/>
          <w:szCs w:val="16"/>
        </w:rPr>
        <w:t>Proteus vulgaris</w:t>
      </w:r>
      <w:r>
        <w:t xml:space="preserve"> OX-19 y OX-2) por ser inespecífico e insensible.</w:t>
      </w:r>
    </w:p>
    <w:p w14:paraId="37B2072E" w14:textId="77777777" w:rsidR="00D03C17" w:rsidRDefault="00D03C17">
      <w:pPr>
        <w:pStyle w:val="BodyText"/>
        <w:ind w:firstLine="360"/>
      </w:pPr>
      <w:r>
        <w:t xml:space="preserve">En general no se intenta cultivar </w:t>
      </w:r>
      <w:r>
        <w:rPr>
          <w:rFonts w:ascii="Times New Roman" w:eastAsia="Times New Roman" w:hAnsi="Times New Roman" w:cs="Times New Roman"/>
          <w:i/>
          <w:iCs/>
          <w:sz w:val="16"/>
          <w:szCs w:val="16"/>
        </w:rPr>
        <w:t>R rickettsii</w:t>
      </w:r>
      <w:r>
        <w:t xml:space="preserve"> por el peligro de transmisión al personal de laboratorio; intentarán tal método sólo los laboratorios que cuenten con equipo adecuado de protección contra riesgos biológicos. </w:t>
      </w:r>
      <w:r>
        <w:rPr>
          <w:rFonts w:ascii="Times New Roman" w:eastAsia="Times New Roman" w:hAnsi="Times New Roman" w:cs="Times New Roman"/>
          <w:i/>
          <w:iCs/>
          <w:sz w:val="16"/>
          <w:szCs w:val="16"/>
        </w:rPr>
        <w:t>Rickettsia rickettsii</w:t>
      </w:r>
      <w:r>
        <w:t xml:space="preserve"> se puede identificar por tinción inmunohistoquímica de muestras tisulares (de biopsia o de necropsia), obtenidas del sitio de la erupción. El método anterior es muy específico pero no es sensible. En circunstancias óptimas habría que obtener una muestra antes de emprender la administración de antimicrobianos porque la sensibilidad disminuye en término de 24 a 48 h de haber comenzado el tratamiento. Por medio de la reacción en cadena de polimerasa para detectar </w:t>
      </w:r>
      <w:r>
        <w:rPr>
          <w:rFonts w:ascii="Times New Roman" w:eastAsia="Times New Roman" w:hAnsi="Times New Roman" w:cs="Times New Roman"/>
          <w:i/>
          <w:iCs/>
          <w:sz w:val="16"/>
          <w:szCs w:val="16"/>
        </w:rPr>
        <w:t>R. rickettsii</w:t>
      </w:r>
      <w:r>
        <w:t xml:space="preserve"> en muestras de sangre y de biopsia en la fase aguda de la enfermedad se confirma el diagnóstico, pero el procedimiento en cuestión se practica sólo en laboratorios especializados.</w:t>
      </w:r>
    </w:p>
    <w:p w14:paraId="43CA3638" w14:textId="77777777" w:rsidR="00D03C17" w:rsidRDefault="00D03C17">
      <w:pPr>
        <w:pStyle w:val="BodyText"/>
        <w:ind w:firstLine="0"/>
      </w:pPr>
      <w:r>
        <w:rPr>
          <w:b/>
          <w:bCs/>
        </w:rPr>
        <w:t>T</w:t>
      </w:r>
      <w:r>
        <w:rPr>
          <w:b/>
          <w:bCs/>
          <w:sz w:val="13"/>
          <w:szCs w:val="13"/>
        </w:rPr>
        <w:t>RATAMIENTO</w:t>
      </w:r>
      <w:r>
        <w:rPr>
          <w:b/>
          <w:bCs/>
        </w:rPr>
        <w:t xml:space="preserve">: </w:t>
      </w:r>
      <w:r>
        <w:t>La doxiciclina es el fármaco más indicado, y como fármaco alternativo está el cloranfenicol. Por lo común la tetraciclina no se administra en niños menores de ocho años de vida por el riesgo de que manchen los dientes (véase “Antimicrobianos y fármacos similares”, sección 4), pero casi todos los expertos consideran que la doxiciclina es el medicamento más indicado para niños de cualquier edad. Entre las razones de tal preferencia están: 1) el manchado de los dientes depende de la dosis de tetraciclina, 2) hay menor posibilidad de que la doxiciclina manche los dientes en desarrollo, en comparación con otras tetraciclinas; 3) la doxiciclina es eficaz contra la ehrlichiosis, que puede remedar RMSF, pero quizá no el cloranfenicol (véase “Ehrlichia, infecciones por”, en esta sección) y 4) el empleo del cloranfenicol genera problemas por los graves efectos adversos que ocasiona, la necesidad de medir en forma seriada las concentraciones séricas del fármaco y el hecho de no contar con un preparado ingerible en Estados Unidos. Asimismo, un estudio retrospectivo señaló que el cloranfenicol pudiera tener menos eficacia que la doxiciclina para el tratamiento de RMSF. La terapia se continúa hasta que el niño no tiene fiebre durante tres días, como mínimo, y ha mostrado mejoría clínica; la duración común del tratamiento va de siete a 10 días. La terapia se emprende con base en el cuadro clínico y aspectos epidemiológicos. Con el tratamiento que comience antes del quinto día de la enfermedad en niños con manifestaciones clínicas compatibles, se obtiene la mayor posibilidad de producir resultados satisfactorios.</w:t>
      </w:r>
    </w:p>
    <w:p w14:paraId="3F8ED943" w14:textId="77777777" w:rsidR="00D03C17" w:rsidRDefault="00D03C17">
      <w:pPr>
        <w:pStyle w:val="BodyText"/>
        <w:spacing w:line="262" w:lineRule="auto"/>
        <w:ind w:firstLine="0"/>
      </w:pPr>
      <w:r>
        <w:rPr>
          <w:b/>
          <w:bCs/>
          <w:smallCaps/>
          <w:sz w:val="20"/>
          <w:szCs w:val="20"/>
        </w:rPr>
        <w:t>A</w:t>
      </w:r>
      <w:r>
        <w:rPr>
          <w:b/>
          <w:bCs/>
          <w:smallCaps/>
          <w:sz w:val="16"/>
          <w:szCs w:val="16"/>
        </w:rPr>
        <w:t>islamiento del paciente hospitalizado</w:t>
      </w:r>
      <w:r>
        <w:rPr>
          <w:b/>
          <w:bCs/>
          <w:smallCaps/>
          <w:sz w:val="20"/>
          <w:szCs w:val="20"/>
        </w:rPr>
        <w:t>:</w:t>
      </w:r>
      <w:r>
        <w:t xml:space="preserve"> Se recomienda seguir las precauciones estándar.</w:t>
      </w:r>
    </w:p>
    <w:p w14:paraId="6631ADCA" w14:textId="77777777" w:rsidR="00D03C17" w:rsidRDefault="00D03C17">
      <w:pPr>
        <w:pStyle w:val="BodyText"/>
        <w:ind w:firstLine="0"/>
      </w:pPr>
      <w:r>
        <w:rPr>
          <w:b/>
          <w:bCs/>
        </w:rPr>
        <w:t>M</w:t>
      </w:r>
      <w:r>
        <w:rPr>
          <w:b/>
          <w:bCs/>
          <w:sz w:val="13"/>
          <w:szCs w:val="13"/>
        </w:rPr>
        <w:t>EDIDAS PREVENTIVAS</w:t>
      </w:r>
      <w:r>
        <w:rPr>
          <w:b/>
          <w:bCs/>
        </w:rPr>
        <w:t xml:space="preserve">: </w:t>
      </w:r>
      <w:r>
        <w:t>No es práctico erradicar a las garrapatas en su hábitat natural. La mejor medida preventiva es no internarse en áreas infestadas por tales artrópodos (p. ej., zonas que bordan regiones boscosas). Si se penetra en un área infestada por los artrópodos, las personas deben utilizar ropas protectoras y aplicar repelentes contra garrapatas o insectos a las ropas y zonas corporales expuestas para obtener protección adicional. Es importante enseñar a los adultos que se revisen muy minuciosamente a sí mismos, a sus hijos (cuerpos y ropas) y a las mascotas en busca de garrapatas, después de estar un tiempo al aire libre en la estación de proliferación de los artrópodos y también que separen las garrapatas inmediatamente y de manera apropiada, de la zona en que están (véase “Prevención de infecciones transmitidas por garrapatas”, sección 2).</w:t>
      </w:r>
    </w:p>
    <w:p w14:paraId="1AE4FF0B" w14:textId="77777777" w:rsidR="00D03C17" w:rsidRDefault="00D03C17">
      <w:pPr>
        <w:pStyle w:val="BodyText"/>
        <w:ind w:firstLine="360"/>
        <w:rPr>
          <w:sz w:val="16"/>
          <w:szCs w:val="16"/>
        </w:rPr>
        <w:sectPr w:rsidR="00D03C17" w:rsidSect="00D03C17">
          <w:headerReference w:type="even" r:id="rId305"/>
          <w:headerReference w:type="default" r:id="rId306"/>
          <w:footerReference w:type="even" r:id="rId307"/>
          <w:footerReference w:type="default" r:id="rId308"/>
          <w:footnotePr>
            <w:numFmt w:val="chicago"/>
          </w:footnotePr>
          <w:pgSz w:w="8501" w:h="13022"/>
          <w:pgMar w:top="898" w:right="798" w:bottom="504" w:left="816" w:header="0" w:footer="3" w:gutter="0"/>
          <w:pgNumType w:start="583"/>
          <w:cols w:space="720"/>
          <w:noEndnote/>
          <w:docGrid w:linePitch="360"/>
          <w15:footnoteColumns w:val="1"/>
        </w:sectPr>
      </w:pPr>
      <w:r>
        <w:t xml:space="preserve">Los antimicrobianos no tienen utilidad para evitar RMSF. En Estados Unidos no se cuenta con una vacuna aprobada contra </w:t>
      </w:r>
      <w:r>
        <w:rPr>
          <w:rFonts w:ascii="Times New Roman" w:eastAsia="Times New Roman" w:hAnsi="Times New Roman" w:cs="Times New Roman"/>
          <w:i/>
          <w:iCs/>
          <w:sz w:val="16"/>
          <w:szCs w:val="16"/>
        </w:rPr>
        <w:t>R. rickettsii.</w:t>
      </w:r>
    </w:p>
    <w:p w14:paraId="5E19089C" w14:textId="77777777" w:rsidR="00D03C17" w:rsidRDefault="00D03C17">
      <w:pPr>
        <w:pStyle w:val="Bodytext70"/>
        <w:spacing w:after="0"/>
      </w:pPr>
      <w:r>
        <w:t>Rotavirus, infecciones</w:t>
      </w:r>
    </w:p>
    <w:p w14:paraId="016C2AAF" w14:textId="77777777" w:rsidR="00D03C17" w:rsidRDefault="00D03C17">
      <w:pPr>
        <w:pStyle w:val="BodyText"/>
        <w:ind w:firstLine="0"/>
      </w:pPr>
      <w:r>
        <w:rPr>
          <w:b/>
          <w:bCs/>
        </w:rPr>
        <w:t>M</w:t>
      </w:r>
      <w:r>
        <w:rPr>
          <w:b/>
          <w:bCs/>
          <w:sz w:val="13"/>
          <w:szCs w:val="13"/>
        </w:rPr>
        <w:t>ANIFESTACIONES CLÍNICAS</w:t>
      </w:r>
      <w:r>
        <w:rPr>
          <w:b/>
          <w:bCs/>
        </w:rPr>
        <w:t xml:space="preserve">: </w:t>
      </w:r>
      <w:r>
        <w:t>La infección puede ocasionar diarrea no sanguinolenta, por lo común antecedida o acompañada de vómitos y fiebres. Los síntomas casi siempre persisten tres a ocho días. En casos graves, surgen a veces deshidratación, anormalidades de electrólitos y acidosis. En niños inmunodeficientes incluidos los infectados por el virus de inmunodeficiencia humana puede surgir infección persistente. No se ha precisado el riesgo de invaginación intestinal después de infección con el rotavirus natural, pero casi todos los datos sugieren que el rotavirus no constituye una causa importante de tal trastorno gastrointestinal.</w:t>
      </w:r>
    </w:p>
    <w:p w14:paraId="2DAE1F2B" w14:textId="77777777" w:rsidR="00D03C17" w:rsidRDefault="00D03C17">
      <w:pPr>
        <w:pStyle w:val="BodyText"/>
        <w:ind w:firstLine="0"/>
      </w:pPr>
      <w:r>
        <w:rPr>
          <w:b/>
          <w:bCs/>
        </w:rPr>
        <w:t>C</w:t>
      </w:r>
      <w:r>
        <w:rPr>
          <w:b/>
          <w:bCs/>
          <w:sz w:val="13"/>
          <w:szCs w:val="13"/>
        </w:rPr>
        <w:t>AUSAS</w:t>
      </w:r>
      <w:r>
        <w:rPr>
          <w:b/>
          <w:bCs/>
        </w:rPr>
        <w:t xml:space="preserve">: </w:t>
      </w:r>
      <w:r>
        <w:t>Los rotavirus (Rvs) son virus de RNA de doble filamento, segmentados, que pertenecen a la familia Reoviridae y que poseen como mínimo siete grupos antigénicos distintos (A a G). Los virus del grupo A son las causas principales de la diarrea por rotavirus a nivel mundial. También se han identificado a los virus de los grupos B y C como causas de gastroenteritis en seres humanos. La serotipificación se basa en la glucoproteína VP7 (G) y la hemaglutinina desdoblada por proteasa VP4 (P); los tipos G1 a 4 y 9 y los tipos P 1A y 1B son los más comunes.</w:t>
      </w:r>
    </w:p>
    <w:p w14:paraId="0BEE72D1" w14:textId="77777777" w:rsidR="00D03C17" w:rsidRDefault="00D03C17">
      <w:pPr>
        <w:pStyle w:val="BodyText"/>
        <w:ind w:firstLine="0"/>
      </w:pPr>
      <w:r>
        <w:rPr>
          <w:b/>
          <w:bCs/>
        </w:rPr>
        <w:t>A</w:t>
      </w:r>
      <w:r>
        <w:rPr>
          <w:b/>
          <w:bCs/>
          <w:sz w:val="13"/>
          <w:szCs w:val="13"/>
        </w:rPr>
        <w:t>SPECTOS EPIDEMIOLÓGICOS</w:t>
      </w:r>
      <w:r>
        <w:rPr>
          <w:b/>
          <w:bCs/>
        </w:rPr>
        <w:t xml:space="preserve">: </w:t>
      </w:r>
      <w:r>
        <w:t>Casi todas las infecciones en seres humanos son producto del contacto con personas infectadas. Las infecciones atribuibles a rotavirus se observan en muchas especies animales, pero no se ha corroborado concluyentemente que haya transmisión de animales a seres humanos. Sin embargo, ante la naturaleza segmentada del genoma, surge a veces redisposición entre rotavirus, seres humanos o animales y con ello aparecen nuevas cepas. El rotavirus aparece en número abundante en excremento de pacientes infectados que muestran diarrea, que es la única muestra que siempre contiene los virus (positividad). El rotavirus aparece en el excremento antes de que comience la diarrea y persiste a veces incluso 21 días después de comenzar los síntomas en hospedadores inmunocompetentes. Se supone que la transmisión se hace por la vía fecal-oral. El rotavirus puede aparecer en juguetes y superficies duras en centros de asistencia pediátrica, lo cual indica que los objetos inanimados pueden servir para la transmisión. La transmisión por vía respiratoria también tiene importancia en el contagio. La propagación en el seno de las familias y las instituciones es frecuente. El rotavirus es la causa más común de diarrea de origen nosocomial en niños y es una causa importante de gastroenteritis aguda en menores atendidos en unidades de atención pediátrica. En raras ocasiones se han señalado brotes de origen comunitario, provenientes del agua o alimentos contaminados.</w:t>
      </w:r>
    </w:p>
    <w:p w14:paraId="55B771C3" w14:textId="77777777" w:rsidR="00D03C17" w:rsidRDefault="00D03C17">
      <w:pPr>
        <w:pStyle w:val="BodyText"/>
        <w:ind w:firstLine="360"/>
      </w:pPr>
      <w:r>
        <w:t>Las infecciones humanas por rotavirus aparecen a nivel mundial y surgen en etapa más temprana de la vida, y quizá sean más frecuentes en grupos socioeconómicos bajos. Los rotavirus constituyen los agentes aislados más comunes de diarrea grave en niños menores de dos años. En países en desarrollo las infecciones por tales partículas constituyen la causa principal de deshidratación y muerte.</w:t>
      </w:r>
    </w:p>
    <w:p w14:paraId="79942003" w14:textId="77777777" w:rsidR="00D03C17" w:rsidRDefault="00D03C17">
      <w:pPr>
        <w:pStyle w:val="BodyText"/>
        <w:ind w:firstLine="360"/>
      </w:pPr>
      <w:r>
        <w:t>En climas templados la enfermedad permanece más durante los meses fríos. En América del Norte el “pico” epidémico anual de manera característica comienza en el otoño en México y en la zona suroeste de Estados Unidos, de modo que se desplaza en forma seriada hasta alcanzar la porción septentrional de dicho país y la zona marítima de Canadá, para la primavera. Los perfiles estacionales específicos en climas tropicales son menos notables, pero la enfermedad es más frecuente en los meses más secos y fríos.</w:t>
      </w:r>
    </w:p>
    <w:p w14:paraId="429D1743" w14:textId="77777777" w:rsidR="00D03C17" w:rsidRDefault="00D03C17">
      <w:pPr>
        <w:pStyle w:val="BodyText"/>
        <w:ind w:firstLine="360"/>
      </w:pPr>
      <w:r>
        <w:t>Prácticamente todos los niños han mostrado la infección para cuando cumplen tres años de vida. La gastroenteritis por rotavirus más a menudo afecta lactantes y niños de cuatro a 24 meses de edad, y hay gran posibilidad de que las infecciones en los primeros tres meses de vida y las reinfecciones en niños de mayor edad sean asintomáticas. La cifra de hospitalización por diarrea por rotavirus en niños infectados puede llegar a 2.5%. Se sabe que 30 a 50% de los contactos adultos de lactantes infectados terminan por infectarse, si bien sólo una minoría presenta síntomas. No se ha corroborado que el amamantamiento evite la infección, pero pudiera vincularse con una enfermedad menos grave y será interesante alentar dicha práctica.</w:t>
      </w:r>
    </w:p>
    <w:p w14:paraId="1F924F11" w14:textId="77777777" w:rsidR="00D03C17" w:rsidRDefault="00D03C17">
      <w:pPr>
        <w:pStyle w:val="BodyText"/>
        <w:ind w:firstLine="360"/>
      </w:pPr>
      <w:r>
        <w:t xml:space="preserve">El </w:t>
      </w:r>
      <w:r>
        <w:rPr>
          <w:b/>
          <w:bCs/>
        </w:rPr>
        <w:t xml:space="preserve">periodo de incubación </w:t>
      </w:r>
      <w:r>
        <w:t>varía de dos a cuatro días.</w:t>
      </w:r>
    </w:p>
    <w:p w14:paraId="4AEFFDF7" w14:textId="77777777" w:rsidR="00D03C17" w:rsidRDefault="00D03C17">
      <w:pPr>
        <w:pStyle w:val="BodyText"/>
        <w:ind w:firstLine="0"/>
      </w:pPr>
      <w:r>
        <w:rPr>
          <w:b/>
          <w:bCs/>
        </w:rPr>
        <w:t>M</w:t>
      </w:r>
      <w:r>
        <w:rPr>
          <w:b/>
          <w:bCs/>
          <w:sz w:val="13"/>
          <w:szCs w:val="13"/>
        </w:rPr>
        <w:t>ÉTODOS DIAGNÓSTICOS</w:t>
      </w:r>
      <w:r>
        <w:rPr>
          <w:b/>
          <w:bCs/>
        </w:rPr>
        <w:t xml:space="preserve">: </w:t>
      </w:r>
      <w:r>
        <w:t>Es imposible diagnosticar la infección por rotavirus con base en el solo cuadro clínico inicial o por los datos inespecíficos de métodos de laboratorio. En el comercio se practican métodos como el inmunoanálisis enzimático y aglutinación de látex para detectar el antígeno del grupo A de rotavirus en los excrementos. Los métodos tienen gran especificidad, pero en neonatos y en personas con alguna enfermedad intestinal primaria pueden surgir reacciones positivas falsas e inespecíficas. Es factible diferenciar entre las reacciones inespecíficas y las reacciones positivas verdaderas por medio de métodos confirmatorios. El virus también se identifica en el excremento con microscopia electrónica y por técnicas de amplificación de ácido nucleico específicas.</w:t>
      </w:r>
    </w:p>
    <w:p w14:paraId="73EECECF" w14:textId="77777777" w:rsidR="00D03C17" w:rsidRDefault="00D03C17">
      <w:pPr>
        <w:pStyle w:val="BodyText"/>
        <w:ind w:firstLine="0"/>
      </w:pPr>
      <w:r>
        <w:rPr>
          <w:b/>
          <w:bCs/>
        </w:rPr>
        <w:t>T</w:t>
      </w:r>
      <w:r>
        <w:rPr>
          <w:b/>
          <w:bCs/>
          <w:sz w:val="13"/>
          <w:szCs w:val="13"/>
        </w:rPr>
        <w:t>RATAMIENTO</w:t>
      </w:r>
      <w:r>
        <w:rPr>
          <w:b/>
          <w:bCs/>
        </w:rPr>
        <w:t xml:space="preserve">: </w:t>
      </w:r>
      <w:r>
        <w:t>No se cuenta con terapia antivírica específica. Las soluciones orales o parenterales se usan para evitar y corregir la deshidratación. La ingestión del concentrado inmunoglobulínico humano, usado como fármaco de investigación en personas inmunodeficientes con infecciones duraderas, ha disminuido la “dispersión” del virus y acortado la duración de la diarrea.</w:t>
      </w:r>
    </w:p>
    <w:p w14:paraId="2B80D27D" w14:textId="77777777" w:rsidR="00D03C17" w:rsidRDefault="00D03C17">
      <w:pPr>
        <w:pStyle w:val="BodyText"/>
        <w:ind w:firstLine="0"/>
      </w:pPr>
      <w:r>
        <w:rPr>
          <w:b/>
          <w:bCs/>
        </w:rPr>
        <w:t>A</w:t>
      </w:r>
      <w:r>
        <w:rPr>
          <w:b/>
          <w:bCs/>
          <w:sz w:val="13"/>
          <w:szCs w:val="13"/>
        </w:rPr>
        <w:t>ISLAMIENTO DEL PACIENTE HOSPITALIZADO</w:t>
      </w:r>
      <w:r>
        <w:rPr>
          <w:b/>
          <w:bCs/>
        </w:rPr>
        <w:t xml:space="preserve">: </w:t>
      </w:r>
      <w:r>
        <w:t>Además de las precauciones estándar conviene seguir las precauciones para evitar la transmisión por contacto durante el tiempo que dure la enfermedad. Ante la larga etapa de secreción o dispersión de números pequeños de virus en los excrementos después de la fase de restablecimiento, se justifica continuar con las precauciones para evitar la transmisión por contacto durante el lapso de la hospitalización, particularmente si puede haber contagio de lactantes inmunodeficientes y pretérmino.</w:t>
      </w:r>
    </w:p>
    <w:p w14:paraId="0817BF7C" w14:textId="77777777" w:rsidR="00D03C17" w:rsidRDefault="00D03C17">
      <w:pPr>
        <w:pStyle w:val="Other0"/>
        <w:spacing w:line="257" w:lineRule="auto"/>
        <w:ind w:firstLine="0"/>
        <w:rPr>
          <w:sz w:val="20"/>
          <w:szCs w:val="20"/>
        </w:rPr>
      </w:pPr>
      <w:r>
        <w:rPr>
          <w:b/>
          <w:bCs/>
          <w:smallCaps/>
          <w:sz w:val="20"/>
          <w:szCs w:val="20"/>
        </w:rPr>
        <w:t>M</w:t>
      </w:r>
      <w:r>
        <w:rPr>
          <w:b/>
          <w:bCs/>
          <w:smallCaps/>
          <w:sz w:val="16"/>
          <w:szCs w:val="16"/>
        </w:rPr>
        <w:t>edidas preventivas</w:t>
      </w:r>
      <w:r>
        <w:rPr>
          <w:b/>
          <w:bCs/>
          <w:smallCaps/>
          <w:sz w:val="20"/>
          <w:szCs w:val="20"/>
        </w:rPr>
        <w:t>:</w:t>
      </w:r>
    </w:p>
    <w:p w14:paraId="1219A2C2" w14:textId="77777777" w:rsidR="00D03C17" w:rsidRDefault="00D03C17">
      <w:pPr>
        <w:pStyle w:val="BodyText"/>
        <w:spacing w:line="276" w:lineRule="auto"/>
        <w:ind w:firstLine="0"/>
      </w:pPr>
      <w:r>
        <w:rPr>
          <w:rFonts w:ascii="Arial" w:eastAsia="Arial" w:hAnsi="Arial" w:cs="Arial"/>
          <w:b/>
          <w:bCs/>
          <w:i/>
          <w:iCs/>
          <w:sz w:val="15"/>
          <w:szCs w:val="15"/>
        </w:rPr>
        <w:t>Cuidados de niños.</w:t>
      </w:r>
      <w:r>
        <w:t xml:space="preserve"> Se cuenta con medidas generales para interrumpir la transmisión intestinal en centros de atención pediátrica (véase “Niños en el sistema asistencial extrahogareño”, sección 2). Las superficies deben lavarse con jabón y agua. Se puede inactivar el rotavirus con una solución de etanol al 70% u otros desinfectantes, los cuales pueden ser ayudar a evitar la transmisión de la enfermedad que es consecuencia del contacto con superficies del entorno.</w:t>
      </w:r>
    </w:p>
    <w:p w14:paraId="7C85B47B" w14:textId="77777777" w:rsidR="00D03C17" w:rsidRDefault="00D03C17">
      <w:pPr>
        <w:pStyle w:val="BodyText"/>
        <w:spacing w:line="276" w:lineRule="auto"/>
        <w:ind w:firstLine="360"/>
        <w:sectPr w:rsidR="00D03C17" w:rsidSect="00D03C17">
          <w:headerReference w:type="even" r:id="rId309"/>
          <w:headerReference w:type="default" r:id="rId310"/>
          <w:footerReference w:type="even" r:id="rId311"/>
          <w:footerReference w:type="default" r:id="rId312"/>
          <w:headerReference w:type="first" r:id="rId313"/>
          <w:footerReference w:type="first" r:id="rId314"/>
          <w:footnotePr>
            <w:numFmt w:val="chicago"/>
          </w:footnotePr>
          <w:pgSz w:w="8501" w:h="13022"/>
          <w:pgMar w:top="898" w:right="798" w:bottom="504" w:left="816" w:header="0" w:footer="3" w:gutter="0"/>
          <w:cols w:space="720"/>
          <w:noEndnote/>
          <w:titlePg/>
          <w:docGrid w:linePitch="360"/>
          <w15:footnoteColumns w:val="1"/>
        </w:sectPr>
      </w:pPr>
      <w:r>
        <w:rPr>
          <w:rFonts w:ascii="Arial" w:eastAsia="Arial" w:hAnsi="Arial" w:cs="Arial"/>
          <w:b/>
          <w:bCs/>
          <w:i/>
          <w:iCs/>
          <w:sz w:val="15"/>
          <w:szCs w:val="15"/>
        </w:rPr>
        <w:t>Vacunas.</w:t>
      </w:r>
      <w:r>
        <w:t xml:space="preserve"> No se cuenta con presentaciones comerciales de alguna vacuna que evite la infección por rotavirus. En agosto de 1998 en Estados Unidos la </w:t>
      </w:r>
      <w:r>
        <w:rPr>
          <w:rFonts w:ascii="Times New Roman" w:eastAsia="Times New Roman" w:hAnsi="Times New Roman" w:cs="Times New Roman"/>
          <w:i/>
          <w:iCs/>
          <w:sz w:val="16"/>
          <w:szCs w:val="16"/>
        </w:rPr>
        <w:t>Food and Drug Administration</w:t>
      </w:r>
      <w:r>
        <w:t xml:space="preserve"> aprobó la vacuna tetravalente con rotavirus rhesus (Rotashield, que había sido elaborada por Wyeth-Ayerst Laboratories, Philadelphia, PA) y se incorporó en los planes de vacunación regular de 1999; ya no se recomienda su uso por el vínculo supuesto de dicha vacuna con la invaginación intestinal. En octubre de 1999 se retiró voluntariamente el producto de la distribución comercial. Los niños que recibieron la vacuna en el periodo en que fue aprobada no están más expuestos en lo futuro a un mayor peligro de presentar invaginación. Continúa la evaluación de otras vacunas hechas con virus vivos atenuados, ingeribles.</w:t>
      </w:r>
    </w:p>
    <w:p w14:paraId="3069C1E1" w14:textId="77777777" w:rsidR="00D03C17" w:rsidRDefault="00D03C17">
      <w:pPr>
        <w:pStyle w:val="Bodytext70"/>
        <w:spacing w:after="0"/>
      </w:pPr>
      <w:r>
        <w:t>Rubéola</w:t>
      </w:r>
    </w:p>
    <w:p w14:paraId="643F9D7E" w14:textId="77777777" w:rsidR="00D03C17" w:rsidRDefault="00D03C17">
      <w:pPr>
        <w:pStyle w:val="Other0"/>
        <w:spacing w:line="257" w:lineRule="auto"/>
        <w:ind w:firstLine="0"/>
        <w:rPr>
          <w:sz w:val="20"/>
          <w:szCs w:val="20"/>
        </w:rPr>
      </w:pPr>
      <w:r>
        <w:rPr>
          <w:b/>
          <w:bCs/>
          <w:smallCaps/>
          <w:sz w:val="20"/>
          <w:szCs w:val="20"/>
        </w:rPr>
        <w:t>M</w:t>
      </w:r>
      <w:r>
        <w:rPr>
          <w:b/>
          <w:bCs/>
          <w:smallCaps/>
          <w:sz w:val="16"/>
          <w:szCs w:val="16"/>
        </w:rPr>
        <w:t>anifestaciones clínicas</w:t>
      </w:r>
      <w:r>
        <w:rPr>
          <w:b/>
          <w:bCs/>
          <w:smallCaps/>
          <w:sz w:val="20"/>
          <w:szCs w:val="20"/>
        </w:rPr>
        <w:t>:</w:t>
      </w:r>
    </w:p>
    <w:p w14:paraId="7789D2EC" w14:textId="77777777" w:rsidR="00D03C17" w:rsidRDefault="00D03C17">
      <w:pPr>
        <w:pStyle w:val="BodyText"/>
        <w:ind w:firstLine="0"/>
      </w:pPr>
      <w:r>
        <w:rPr>
          <w:rFonts w:ascii="Arial" w:eastAsia="Arial" w:hAnsi="Arial" w:cs="Arial"/>
          <w:b/>
          <w:bCs/>
          <w:i/>
          <w:iCs/>
          <w:sz w:val="15"/>
          <w:szCs w:val="15"/>
        </w:rPr>
        <w:t>Rubéola posnatal.</w:t>
      </w:r>
      <w:r>
        <w:t xml:space="preserve"> La rubéola generalmente es una enfermedad benigna caracterizada por una erupción maculopapulosa eritematosa generalizada, linfadenopatía generalizada (por lo común en grupos suboccipitales, posauriculares y cervicales) y febrícula. Rara vez se observa en niños poliartralgia y poliartritis transitoria, pero son comunes en adolescentes y adultos y en particular las mujeres. Entre las complicaciones raras están la encefalitis y la trombocitopenia. La rubéola durante el embarazo puede originar aborto espontáneo, óbito fetal y muy diversas anomalías congénitas (síndrome de rubéola congénita).</w:t>
      </w:r>
    </w:p>
    <w:p w14:paraId="7D6D9401" w14:textId="77777777" w:rsidR="00D03C17" w:rsidRDefault="00D03C17">
      <w:pPr>
        <w:pStyle w:val="BodyText"/>
        <w:ind w:firstLine="360"/>
      </w:pPr>
      <w:r>
        <w:rPr>
          <w:rFonts w:ascii="Arial" w:eastAsia="Arial" w:hAnsi="Arial" w:cs="Arial"/>
          <w:b/>
          <w:bCs/>
          <w:i/>
          <w:iCs/>
          <w:sz w:val="15"/>
          <w:szCs w:val="15"/>
        </w:rPr>
        <w:t>Rubéola congénita.</w:t>
      </w:r>
      <w:r>
        <w:t xml:space="preserve"> Las anomalías descritas con mayor frecuencia en caso del síndrome de rubéola congénita son oftalmológicas (cataratas, retinopatía y glaucoma congénito); cardiacas (persistencia del conducto arterioso, estenosis de la porción periférica de la arteria pulmonar), auditivas (deficiencia neurosensorial) y neurológicas (trastornos conductuales, meningoencefalitis y retardo psíquico). Además, los pequeños con el síndrome congénito muestran retardo del crecimiento y pueden tener una osteopatía radiolúcida, hepatosplenomegalia, trombocitopenia y lesiones purpúricas de la piel (que dan una imagen de “panquecillo veteado”). Las formas leves de la enfermedad por lo común no se acompañan de manifestaciones clínicas evidentes, o si las hay son escasas, en el nacimiento. La aparición de defectos congénitos llega a 85% si la infección ocurre en las primeras cuatro semanas de la gestación, 20 a 30% en el segundo mes y 5% en el tercero o cuarto meses.</w:t>
      </w:r>
    </w:p>
    <w:p w14:paraId="6FD3D655" w14:textId="77777777" w:rsidR="00D03C17" w:rsidRDefault="00D03C17">
      <w:pPr>
        <w:pStyle w:val="BodyText"/>
        <w:ind w:firstLine="0"/>
      </w:pPr>
      <w:r>
        <w:rPr>
          <w:b/>
          <w:bCs/>
        </w:rPr>
        <w:t>C</w:t>
      </w:r>
      <w:r>
        <w:rPr>
          <w:b/>
          <w:bCs/>
          <w:sz w:val="13"/>
          <w:szCs w:val="13"/>
        </w:rPr>
        <w:t>AUSAS</w:t>
      </w:r>
      <w:r>
        <w:rPr>
          <w:b/>
          <w:bCs/>
        </w:rPr>
        <w:t xml:space="preserve">: </w:t>
      </w:r>
      <w:r>
        <w:t>La partícula patógena es un virus de RNA con filamento positivo y con cubierta, clasificado como Rubivirus dentro de la familia Togaviridae.</w:t>
      </w:r>
    </w:p>
    <w:p w14:paraId="2CD27158" w14:textId="77777777" w:rsidR="00D03C17" w:rsidRDefault="00D03C17">
      <w:pPr>
        <w:pStyle w:val="BodyText"/>
        <w:ind w:firstLine="0"/>
      </w:pPr>
      <w:r>
        <w:rPr>
          <w:b/>
          <w:bCs/>
        </w:rPr>
        <w:t>A</w:t>
      </w:r>
      <w:r>
        <w:rPr>
          <w:b/>
          <w:bCs/>
          <w:sz w:val="13"/>
          <w:szCs w:val="13"/>
        </w:rPr>
        <w:t xml:space="preserve">SPECTOS </w:t>
      </w:r>
      <w:r>
        <w:rPr>
          <w:b/>
          <w:bCs/>
          <w:smallCaps/>
          <w:sz w:val="16"/>
          <w:szCs w:val="16"/>
        </w:rPr>
        <w:t>epidemiológicos</w:t>
      </w:r>
      <w:r>
        <w:rPr>
          <w:b/>
          <w:bCs/>
          <w:smallCaps/>
          <w:sz w:val="20"/>
          <w:szCs w:val="20"/>
        </w:rPr>
        <w:t>:</w:t>
      </w:r>
      <w:r>
        <w:t xml:space="preserve"> Los seres humanos son la única fuente de infección. La rubéola posnatal se transmite más bien por contacto directo o gotículas de secreciones nasofaríngeas. La incidencia máxima de la infección se observa a finales del invierno y comienzos de la primavera. Se sabe que 25 a 50% de las infecciones son asintomáticas. La inmunidad con el virus natural o de la vacuna por lo regular es duradera, pero se ha demostrado en raras ocasiones reinfección y en contadas veces ha originado rubéola congénita. El periodo de máxima transmisibilidad va de días antes de comenzar la erupción a siete días después de que surge. Los estudios en voluntarios ha demostrado la presencia del virus de rubéola en secreciones nasofaríngeas de siete días antes de que comienza la erupción a 14 días después de que surgió. Un número pequeño de lactantes con rubéola congénita sigue “dispersando” el virus por las secreciones nasofaríngeas y la orina durante un año o más, y puede transmitir la infección a contactos susceptibles.</w:t>
      </w:r>
    </w:p>
    <w:p w14:paraId="2052F731" w14:textId="77777777" w:rsidR="00D03C17" w:rsidRDefault="00D03C17">
      <w:pPr>
        <w:pStyle w:val="BodyText"/>
        <w:ind w:firstLine="360"/>
      </w:pPr>
      <w:r>
        <w:t>Antes de que se usara de manera generalizada la vacuna contra rubéola, la enfermedad aparecía en epidemias, en ciclos de seis a nueve años y muy a menudo afectaba niños. La incidencia de la enfermedad en Estados Unidos ha disminuido en promedio 99%, en comparación con la que surgía antes de contar con la vacuna. El peligro de contagio de rubéola ha disminuido en todos los grupos de edad, incluidos adolescentes y adultos jóvenes. En la era de la vacuna, muchos de los casos han surgido en adultos jóvenes no vacunados, en brotes en instalaciones universitarias y en entornos ocupacionales. El número de personas susceptibles ha disminuido desde la introducción del uso generalizado de la vacuna de rubéola, pero encuestas serológicas recientes indican que en promedio 10% de los adultos jóvenes son susceptibles de mostrar la enfermedad. Puede ser mayor el porcentaje de personas susceptibles en algunos grupos poblacionales migrantes, en particular adolescentes y varones adultos de América Latina.</w:t>
      </w:r>
    </w:p>
    <w:p w14:paraId="29E1CB73" w14:textId="77777777" w:rsidR="00D03C17" w:rsidRDefault="00D03C17">
      <w:pPr>
        <w:pStyle w:val="BodyText"/>
        <w:ind w:firstLine="360"/>
      </w:pPr>
      <w:r>
        <w:t xml:space="preserve">El </w:t>
      </w:r>
      <w:r>
        <w:rPr>
          <w:b/>
          <w:bCs/>
        </w:rPr>
        <w:t xml:space="preserve">periodo de incubación </w:t>
      </w:r>
      <w:r>
        <w:t>de la rubéola posnatal varía de 14 a 23 días, y por lo común es de 16 a 18 días.</w:t>
      </w:r>
    </w:p>
    <w:p w14:paraId="5646BA8A" w14:textId="77777777" w:rsidR="00D03C17" w:rsidRDefault="00D03C17">
      <w:pPr>
        <w:pStyle w:val="BodyText"/>
        <w:ind w:firstLine="0"/>
      </w:pPr>
      <w:r>
        <w:rPr>
          <w:b/>
          <w:bCs/>
        </w:rPr>
        <w:t>M</w:t>
      </w:r>
      <w:r>
        <w:rPr>
          <w:b/>
          <w:bCs/>
          <w:sz w:val="13"/>
          <w:szCs w:val="13"/>
        </w:rPr>
        <w:t>ÉTODOS DIAGNÓSTICOS</w:t>
      </w:r>
      <w:r>
        <w:rPr>
          <w:b/>
          <w:bCs/>
        </w:rPr>
        <w:t xml:space="preserve">: </w:t>
      </w:r>
      <w:r>
        <w:t>La detección del anticuerpo IgM específico de rubéola suele denotar infección posnatal reciente o infección congénita en un neonato, aunque surgen a veces resultados positivos falsos. La infección congénita también puede corroborarse con las concentraciones séricas estables o crecientes del nivel de IgG específico de rubéola en el curso de meses. El virus de la rubéola se puede aislar más constantemente de muestras de secreciones nasales, por inoculación en cultivo celular apropiado. Es importante avisar al personal de laboratorio de que se sospecha la presencia de rubéola porque a veces se necesitan métodos adicionales para detectar el virus. El virus también se puede identificar en muestras de sangre, orina, líquido cefalorraquídeo y exudado faríngeo, particularmente en lactantes infectados en forma congénita. El incremento cuádruple o mayor en el título de anticuerpos o la seroconversión en los títulos en suero de fase aguda y convalecencia denota infección. Se harán todos los intentos para confirmar el diagnóstico de laboratorio cuando se sospeche la infección por rubéola en embarazadas o en neonatos. Es difícil el diagnóstico de infección congénita en niños mayores de un año de vida; los datos de métodos serológicos por lo común no confirman el diagnóstico, y el aislamiento del virus, aunque es un dato confirmatorio, es factible sólo en una pequeña proporción de niños con infección congénita, de dicha edad. El método de inhibición de hemaglutinación del anticuerpo contra rubéola, que era el procedimiento más usado de detección serológica, ha sido excluido por otros métodos de sensibilidad igual o mayor para identificar la inmunidad contra rubéola; incluyen estudios de inmunoanálisis enzimático, aglutinación de látex y técnicas de inmunofluorescencia. Algunos niños que no muestran anticuerpos con base en la prueba de inhibición de hemaglutinación resultaron ser inmunes cuando se estudiaron muestras de su suero por otras técnicas más sensibles.</w:t>
      </w:r>
    </w:p>
    <w:p w14:paraId="726F3013" w14:textId="77777777" w:rsidR="00D03C17" w:rsidRDefault="00D03C17">
      <w:pPr>
        <w:pStyle w:val="BodyText"/>
        <w:ind w:firstLine="0"/>
      </w:pPr>
      <w:r>
        <w:rPr>
          <w:b/>
          <w:bCs/>
        </w:rPr>
        <w:t>T</w:t>
      </w:r>
      <w:r>
        <w:rPr>
          <w:b/>
          <w:bCs/>
          <w:sz w:val="13"/>
          <w:szCs w:val="13"/>
        </w:rPr>
        <w:t>RATAMIENTO</w:t>
      </w:r>
      <w:r>
        <w:rPr>
          <w:b/>
          <w:bCs/>
        </w:rPr>
        <w:t xml:space="preserve">: </w:t>
      </w:r>
      <w:r>
        <w:t>Medidas de sostén.</w:t>
      </w:r>
    </w:p>
    <w:p w14:paraId="2E9430FB" w14:textId="77777777" w:rsidR="00D03C17" w:rsidRDefault="00D03C17">
      <w:pPr>
        <w:pStyle w:val="BodyText"/>
        <w:ind w:firstLine="0"/>
      </w:pPr>
      <w:r>
        <w:rPr>
          <w:b/>
          <w:bCs/>
        </w:rPr>
        <w:t>A</w:t>
      </w:r>
      <w:r>
        <w:rPr>
          <w:b/>
          <w:bCs/>
          <w:sz w:val="13"/>
          <w:szCs w:val="13"/>
        </w:rPr>
        <w:t>ISLAMIENTO DEL PACIENTE HOSPITALIZADO</w:t>
      </w:r>
      <w:r>
        <w:rPr>
          <w:b/>
          <w:bCs/>
        </w:rPr>
        <w:t xml:space="preserve">: </w:t>
      </w:r>
      <w:r>
        <w:t>Además de las precauciones estándar, en el caso de la rubéola posnatal se recomienda seguir las precauciones para evitar la transmisión por gotículas durante siete días después de haber comenzado la erupción. El aislamiento de contactos está indicado en el caso de niños con rubéola congénita diagnosticada o sospechada hasta que tengan como mínimo un año de vida, salvo que sean repetidamente negativos, es decir, sin virus de rubéola, los resultados del cultivo de material nasofaríngeo y de orina después de los tres meses de edad.</w:t>
      </w:r>
    </w:p>
    <w:p w14:paraId="0627CC34" w14:textId="77777777" w:rsidR="00D03C17" w:rsidRDefault="00D03C17">
      <w:pPr>
        <w:pStyle w:val="Other0"/>
        <w:spacing w:line="257" w:lineRule="auto"/>
        <w:ind w:firstLine="0"/>
        <w:rPr>
          <w:sz w:val="20"/>
          <w:szCs w:val="20"/>
        </w:rPr>
      </w:pPr>
      <w:r>
        <w:rPr>
          <w:b/>
          <w:bCs/>
          <w:smallCaps/>
          <w:sz w:val="20"/>
          <w:szCs w:val="20"/>
        </w:rPr>
        <w:t>M</w:t>
      </w:r>
      <w:r>
        <w:rPr>
          <w:b/>
          <w:bCs/>
          <w:smallCaps/>
          <w:sz w:val="16"/>
          <w:szCs w:val="16"/>
        </w:rPr>
        <w:t>edidas preventivas</w:t>
      </w:r>
      <w:r>
        <w:rPr>
          <w:b/>
          <w:bCs/>
          <w:smallCaps/>
          <w:sz w:val="20"/>
          <w:szCs w:val="20"/>
        </w:rPr>
        <w:t>:</w:t>
      </w:r>
    </w:p>
    <w:p w14:paraId="3FD19127" w14:textId="77777777" w:rsidR="00D03C17" w:rsidRDefault="00D03C17">
      <w:pPr>
        <w:pStyle w:val="BodyText"/>
        <w:spacing w:line="276" w:lineRule="auto"/>
        <w:ind w:firstLine="0"/>
      </w:pPr>
      <w:r>
        <w:rPr>
          <w:rFonts w:ascii="Arial" w:eastAsia="Arial" w:hAnsi="Arial" w:cs="Arial"/>
          <w:b/>
          <w:bCs/>
          <w:i/>
          <w:iCs/>
          <w:sz w:val="15"/>
          <w:szCs w:val="15"/>
        </w:rPr>
        <w:t>Escuelas y centros de atención pediátrica:</w:t>
      </w:r>
      <w:r>
        <w:t xml:space="preserve"> Los niños con rubéola posnatal deben ser excluidos de escuelas o centros de atención pediátrica durante siete días después de haber comenzado la erupción. Habrá que considerar como contagioso a todo menor con rubéola congénita hasta que tenga como mínimo un año de vida, salvo que en repetidas ocasiones los resultados de los cultivos de material nasofaríngeo y orina no señalen la presencia del virus. Es importante que los cuidadores de los niños sepan los peligros potenciales que constituyen los lactantes en cuestión a embarazadas susceptibles.</w:t>
      </w:r>
    </w:p>
    <w:p w14:paraId="65BA49BA" w14:textId="77777777" w:rsidR="00D03C17" w:rsidRDefault="00D03C17">
      <w:pPr>
        <w:pStyle w:val="BodyText"/>
        <w:spacing w:line="276" w:lineRule="auto"/>
        <w:ind w:firstLine="360"/>
      </w:pPr>
      <w:r>
        <w:rPr>
          <w:rFonts w:ascii="Arial" w:eastAsia="Arial" w:hAnsi="Arial" w:cs="Arial"/>
          <w:b/>
          <w:bCs/>
          <w:i/>
          <w:iCs/>
          <w:sz w:val="15"/>
          <w:szCs w:val="15"/>
        </w:rPr>
        <w:t>Cuidado de personas expuestas.</w:t>
      </w:r>
      <w:r>
        <w:t xml:space="preserve"> Si una embarazada se expone a la rubéola, habrá que obtener una muestra de sangre con la mayor rapidez posible para buscar anticuerpos de rubéola. Hay que almacenar una fracción del suero congelado para repetir las pruebas ulteriormente. La presencia de anticuerpo IgG específico de rubéola, después de un método realizado en forma precisa en el momento de la exposición, indica que muy probablemente la persona es inmune. Si no se detectan anticuerpos, habrá que obtener una segunda muestra de sangre dos a tres semanas después y estudiarla junto con la primera muestra. Si tampoco se detectan anticuerpos en la segunda muestra, habrá que obtener otra muestra de sangre seis semanas después de la exposición y también analizarla junto con la primera muestra; el resultado negativo en ambas muestras señala que no se ha producido la infección; la prueba positiva en la segunda y tercera muestras pero no en la primera (seroconversión) indica infección reciente.</w:t>
      </w:r>
    </w:p>
    <w:p w14:paraId="36AB4621" w14:textId="77777777" w:rsidR="00D03C17" w:rsidRDefault="00D03C17">
      <w:pPr>
        <w:pStyle w:val="BodyText"/>
        <w:spacing w:line="276" w:lineRule="auto"/>
        <w:ind w:firstLine="360"/>
      </w:pPr>
      <w:r>
        <w:rPr>
          <w:rFonts w:ascii="Arial" w:eastAsia="Arial" w:hAnsi="Arial" w:cs="Arial"/>
          <w:b/>
          <w:bCs/>
          <w:i/>
          <w:iCs/>
          <w:sz w:val="15"/>
          <w:szCs w:val="15"/>
        </w:rPr>
        <w:t>Concentrado inmunoglobulínico</w:t>
      </w:r>
      <w:r>
        <w:rPr>
          <w:i/>
          <w:iCs/>
        </w:rPr>
        <w:t>.</w:t>
      </w:r>
      <w:r>
        <w:t xml:space="preserve"> No se recomienda el uso habitual del concentrado inmunoglobulínico (IG) como profilaxia después de exposición en mujeres susceptibles a rubéola expuestas a la enfermedad en los comienzos del embarazo. Habrá que considerar la posibilidad de administrar el concentrado sólo si la terminación del embarazo no constituye una opción. Los datos escasos indican que el concentrado intramuscular en dosis de 0.55 ml/kg de peso puede disminuir la infección clínicamente manifiesta de 87 a 18% en personas susceptibles expuestas, en comparación con el placebo. Sin embargo, el hecho de que no surjan signos clínicos en una mujer que ha recibido el concentrado inmunoglobulínico intramuscular no garantiza que se ha evitado la infección del feto. Han nacido de madres que recibieron concentrado inmunoglobulínico poco después de exposición, lactantes con rubéola congénita.</w:t>
      </w:r>
    </w:p>
    <w:p w14:paraId="63AE267E" w14:textId="77777777" w:rsidR="00D03C17" w:rsidRDefault="00D03C17">
      <w:pPr>
        <w:pStyle w:val="BodyText"/>
        <w:spacing w:line="276" w:lineRule="auto"/>
        <w:ind w:firstLine="360"/>
      </w:pPr>
      <w:r>
        <w:rPr>
          <w:rFonts w:ascii="Arial" w:eastAsia="Arial" w:hAnsi="Arial" w:cs="Arial"/>
          <w:b/>
          <w:bCs/>
          <w:i/>
          <w:iCs/>
          <w:sz w:val="15"/>
          <w:szCs w:val="15"/>
        </w:rPr>
        <w:t>Vacuna.</w:t>
      </w:r>
      <w:r>
        <w:t xml:space="preserve"> No se ha demostrado que con la vacuna hecha de virus vivos de rubéola, aplicada después de la exposición, se evite la enfermedad, pero en teoría dicho producto biológico podría evitar el trastorno si se aplica en término de tres días de la exposición. Puede estar indicada la vacunación de mujeres no embarazadas expuestas, porque si la exposición no originó infección, la vacunación protegerá a estas personas en lo futuro. La vacunación de un individuo que incuba la rubéola natural o que ya está inmune no se acompaña de un mayor peligro de que surjan efectos adversos.</w:t>
      </w:r>
    </w:p>
    <w:p w14:paraId="2B07AD0E" w14:textId="77777777" w:rsidR="00D03C17" w:rsidRDefault="00D03C17">
      <w:pPr>
        <w:pStyle w:val="BodyText"/>
        <w:spacing w:line="276" w:lineRule="auto"/>
        <w:ind w:firstLine="360"/>
      </w:pPr>
      <w:r>
        <w:rPr>
          <w:rFonts w:ascii="Arial" w:eastAsia="Arial" w:hAnsi="Arial" w:cs="Arial"/>
          <w:b/>
          <w:bCs/>
          <w:i/>
          <w:iCs/>
          <w:sz w:val="15"/>
          <w:szCs w:val="15"/>
        </w:rPr>
        <w:t>Vacuna antirrubéola.</w:t>
      </w:r>
      <w:r>
        <w:t xml:space="preserve"> La vacuna hecha de virus vivos de rubéola distribuida en Estados Unidos es la cepa RA 27/3 cuya proliferación se hizo en cultivos de células diploides humanas. Se aplica por inyección subcutánea de 0.5 ml, sola o de preferencia en una presentación mixta que contiene otras vacunas como la de sarampión-parotiditis y rubéola </w:t>
      </w:r>
      <w:r>
        <w:rPr>
          <w:i/>
          <w:iCs/>
        </w:rPr>
        <w:t>(</w:t>
      </w:r>
      <w:r>
        <w:rPr>
          <w:rFonts w:ascii="Times New Roman" w:eastAsia="Times New Roman" w:hAnsi="Times New Roman" w:cs="Times New Roman"/>
          <w:i/>
          <w:iCs/>
          <w:sz w:val="16"/>
          <w:szCs w:val="16"/>
        </w:rPr>
        <w:t>measles-mumps-rubella</w:t>
      </w:r>
      <w:r>
        <w:rPr>
          <w:i/>
          <w:iCs/>
        </w:rPr>
        <w:t>,</w:t>
      </w:r>
      <w:r>
        <w:t xml:space="preserve"> MMR) (triple). La vacuna se puede aplicar simultáneamente con otras (véase “Administración simultánea de múltiples vacunas”, sección 1). El surgimiento de anticuerpos séricos contra la rubéola se induce en 95% o más de quienes reciben una sola dosis, a los 12 meses de vida o más. La eficacia clínica y los estudios de reinmunización han demostrado que una dosis confiere inmunidad a largo plazo y quizá permanente para infección clínica y asintomática en más de 90% de las personas vacunadas. Se ha sabido de casos de reinfección asintomática.</w:t>
      </w:r>
    </w:p>
    <w:p w14:paraId="6086C089" w14:textId="77777777" w:rsidR="00D03C17" w:rsidRDefault="00D03C17">
      <w:pPr>
        <w:pStyle w:val="BodyText"/>
        <w:ind w:firstLine="360"/>
      </w:pPr>
      <w:r>
        <w:t>Ante la recomendación de aplicar dos dosis de la vacuna contra el sarampión en la forma de vacuna triple, en la actualidad se aplican sistemáticamente dos dosis de vacuna antirrubéola; de este modo se logra protección adicional contra los casos de ineficacia primaria de la vacuna.</w:t>
      </w:r>
    </w:p>
    <w:p w14:paraId="2C95286E" w14:textId="77777777" w:rsidR="00D03C17" w:rsidRDefault="00D03C17">
      <w:pPr>
        <w:pStyle w:val="BodyText"/>
        <w:spacing w:line="276" w:lineRule="auto"/>
        <w:ind w:firstLine="360"/>
      </w:pPr>
      <w:r>
        <w:rPr>
          <w:rFonts w:ascii="Arial" w:eastAsia="Arial" w:hAnsi="Arial" w:cs="Arial"/>
          <w:b/>
          <w:bCs/>
          <w:i/>
          <w:iCs/>
          <w:sz w:val="15"/>
          <w:szCs w:val="15"/>
        </w:rPr>
        <w:t>Recomendaciones en la vacunación.</w:t>
      </w:r>
      <w:r>
        <w:t xml:space="preserve"> Se recomienda administrar la vacuna contra la rubéola en la presentación mixta que incluye las vacunas contra sarampión y parotiditis (MMR) o triple, cuando el niño tiene 12 a 15 meses de vida; se aplicará una segunda dosis cuando se incorpore a las actividades escolares entre los cuatro y seis años, según las recomendaciones de la vacunación regular contra el sarampión. Los niños que no han recibido la dosis correspondiente cuando ingresan a la escuela deben recibir la segunda dosis lo antes posible, pero en un lapso que no exceda a los 11 ó 12 años (véase “Sarampión”, en esta sección).</w:t>
      </w:r>
    </w:p>
    <w:p w14:paraId="713CC393" w14:textId="77777777" w:rsidR="00D03C17" w:rsidRDefault="00D03C17">
      <w:pPr>
        <w:pStyle w:val="BodyText"/>
        <w:ind w:firstLine="360"/>
      </w:pPr>
      <w:r>
        <w:t>Habrá que seguir concediendo importancia especial a la vacunación de varones y mujeres prepúberes en peligro, en particular estudiantes universitarios, reclutas militares, migrantes que en fecha reciente llegaron de su país de origen y profesionales asistenciales. Se considera que son susceptibles las personas nacidas en 1957 o después y que no recibieron como mínimo una dosis de la vacuna o que no muestran signos serológicos de inmunidad a la rubéola, y es necesario aplicarles la vacuna triple. El diagnóstico clínico de infección por lo común es confiable y no debe aceptarse como prueba de inmunidad. Habrá que informar a todas las mujeres el peligro teórico que tiene el feto si están embarazadas o se embarazan en término de 28 días de la vacunación (véase “Precauciones y contraindicaciones”, más adelante en este resumen, para comentarios más detallados). Se presentan algunas recomendaciones específicas:</w:t>
      </w:r>
    </w:p>
    <w:p w14:paraId="4327C069" w14:textId="77777777" w:rsidR="00D03C17" w:rsidRDefault="00D03C17">
      <w:pPr>
        <w:pStyle w:val="BodyText"/>
        <w:numPr>
          <w:ilvl w:val="0"/>
          <w:numId w:val="94"/>
        </w:numPr>
        <w:tabs>
          <w:tab w:val="left" w:pos="341"/>
        </w:tabs>
        <w:ind w:left="360" w:hanging="360"/>
      </w:pPr>
      <w:bookmarkStart w:id="256" w:name="bookmark1280"/>
      <w:bookmarkEnd w:id="256"/>
      <w:r>
        <w:t>Es importante vacunar a las mujeres pospúberes que no tienen corroboración estricta de pruebas de inmunidad contra la rubéola, salvo que se sepa que están embarazadas. Habrá que recomendar a toda mujer pospúber que no se embarace en término de 28 días de haber sido vacunada contra la rubéola.</w:t>
      </w:r>
    </w:p>
    <w:p w14:paraId="670D4619" w14:textId="77777777" w:rsidR="00D03C17" w:rsidRDefault="00D03C17">
      <w:pPr>
        <w:pStyle w:val="BodyText"/>
        <w:numPr>
          <w:ilvl w:val="0"/>
          <w:numId w:val="94"/>
        </w:numPr>
        <w:tabs>
          <w:tab w:val="left" w:pos="341"/>
        </w:tabs>
        <w:ind w:left="360" w:hanging="360"/>
      </w:pPr>
      <w:bookmarkStart w:id="257" w:name="bookmark1281"/>
      <w:bookmarkEnd w:id="257"/>
      <w:r>
        <w:t>Durante las revisiones anuales asistenciales, las visitas premaritales y de planificación natal y las visitas a clínicas de enfermedades de transmisión sexual, hay que estudiar a toda mujer pospúber en cuanto a su susceptibilidad a la rubéola, y si al parecer es susceptible, se le aplicará la vacuna triple (MMR). La detección serológica previa está indicada sólo si hay seguridad de vigilar a personas susceptibles.</w:t>
      </w:r>
    </w:p>
    <w:p w14:paraId="034711A4" w14:textId="77777777" w:rsidR="00D03C17" w:rsidRDefault="00D03C17">
      <w:pPr>
        <w:pStyle w:val="BodyText"/>
        <w:numPr>
          <w:ilvl w:val="0"/>
          <w:numId w:val="94"/>
        </w:numPr>
        <w:tabs>
          <w:tab w:val="left" w:pos="341"/>
        </w:tabs>
        <w:ind w:left="360" w:hanging="360"/>
      </w:pPr>
      <w:bookmarkStart w:id="258" w:name="bookmark1282"/>
      <w:bookmarkEnd w:id="258"/>
      <w:r>
        <w:t>Habrá que emprender medidas de detección sistemáticas en busca de inmunidad contra la rubéola en la fase prenatal. Si se advierte que la mujer es susceptible, se le aplicará la vacuna antirrubéola en el posparto inmediato, antes de regresar a su hogar. Los médicos pueden asegurar la vacunación de mujeres susceptibles si averiguan el estado de vacunación de las madres de sus pacientes durante visitas médicas en la atención de neonatos sanos.</w:t>
      </w:r>
    </w:p>
    <w:p w14:paraId="587C6AE9" w14:textId="77777777" w:rsidR="00D03C17" w:rsidRDefault="00D03C17">
      <w:pPr>
        <w:pStyle w:val="BodyText"/>
        <w:numPr>
          <w:ilvl w:val="0"/>
          <w:numId w:val="94"/>
        </w:numPr>
        <w:tabs>
          <w:tab w:val="left" w:pos="341"/>
        </w:tabs>
        <w:ind w:left="360" w:hanging="360"/>
      </w:pPr>
      <w:bookmarkStart w:id="259" w:name="bookmark1283"/>
      <w:bookmarkEnd w:id="259"/>
      <w:r>
        <w:t>La administración previa o simultánea de concentrado inmunoglobulínico (humano) o hemoderivados a veces obliga a nueva vacunación (véase “Precauciones y contraindicaciones”, más adelante en este resumen).</w:t>
      </w:r>
    </w:p>
    <w:p w14:paraId="381E5E8A" w14:textId="77777777" w:rsidR="00D03C17" w:rsidRDefault="00D03C17">
      <w:pPr>
        <w:pStyle w:val="BodyText"/>
        <w:numPr>
          <w:ilvl w:val="0"/>
          <w:numId w:val="94"/>
        </w:numPr>
        <w:tabs>
          <w:tab w:val="left" w:pos="341"/>
        </w:tabs>
        <w:ind w:left="360" w:hanging="360"/>
      </w:pPr>
      <w:bookmarkStart w:id="260" w:name="bookmark1284"/>
      <w:bookmarkEnd w:id="260"/>
      <w:r>
        <w:t>El amamantamiento no constituye contraindicación para vacunar después del parto a la madre (si se desea información adicional, véase “Leche materna”, sección 2). El virus de la vacuna ha sido transmitido por la leche al pequeño lactante, pero no ha generado síntomas.</w:t>
      </w:r>
    </w:p>
    <w:p w14:paraId="001DA236" w14:textId="77777777" w:rsidR="00D03C17" w:rsidRDefault="00D03C17">
      <w:pPr>
        <w:pStyle w:val="BodyText"/>
        <w:numPr>
          <w:ilvl w:val="0"/>
          <w:numId w:val="94"/>
        </w:numPr>
        <w:tabs>
          <w:tab w:val="left" w:pos="341"/>
        </w:tabs>
        <w:ind w:left="360" w:hanging="360"/>
      </w:pPr>
      <w:bookmarkStart w:id="261" w:name="bookmark1285"/>
      <w:bookmarkEnd w:id="261"/>
      <w:r>
        <w:t>Se emprenderán medidas especiales para que sean inmunes a la rubéola todas las personas que planean acudir (o que trabajan) en instituciones educativas, centros de atención pediátrica u otros sitios en que existe la posibilidad de exposición a la enfermedad o propagación de ella.</w:t>
      </w:r>
    </w:p>
    <w:p w14:paraId="0BE4AF70" w14:textId="77777777" w:rsidR="00D03C17" w:rsidRDefault="00D03C17">
      <w:pPr>
        <w:pStyle w:val="BodyText"/>
        <w:numPr>
          <w:ilvl w:val="0"/>
          <w:numId w:val="94"/>
        </w:numPr>
        <w:tabs>
          <w:tab w:val="left" w:pos="341"/>
        </w:tabs>
        <w:ind w:left="360" w:hanging="360"/>
      </w:pPr>
      <w:bookmarkStart w:id="262" w:name="bookmark1286"/>
      <w:bookmarkEnd w:id="262"/>
      <w:r>
        <w:t>Es necesario vacunar a todos los profesionales asistenciales susceptibles que pueden estar expuestos a personas con rubéola, para evitar la enfermedad o que se transmita a embarazadas, y también por su propia salud.</w:t>
      </w:r>
    </w:p>
    <w:p w14:paraId="5F2B098B" w14:textId="77777777" w:rsidR="00D03C17" w:rsidRDefault="00D03C17">
      <w:pPr>
        <w:pStyle w:val="Bodytext80"/>
        <w:rPr>
          <w:sz w:val="15"/>
          <w:szCs w:val="15"/>
        </w:rPr>
      </w:pPr>
      <w:r>
        <w:rPr>
          <w:b/>
          <w:bCs/>
          <w:i/>
          <w:iCs/>
          <w:sz w:val="15"/>
          <w:szCs w:val="15"/>
        </w:rPr>
        <w:t>Reacciones adversas</w:t>
      </w:r>
    </w:p>
    <w:p w14:paraId="111A0802" w14:textId="77777777" w:rsidR="00D03C17" w:rsidRDefault="00D03C17">
      <w:pPr>
        <w:pStyle w:val="BodyText"/>
        <w:numPr>
          <w:ilvl w:val="0"/>
          <w:numId w:val="94"/>
        </w:numPr>
        <w:tabs>
          <w:tab w:val="left" w:pos="341"/>
        </w:tabs>
        <w:ind w:left="360" w:hanging="360"/>
      </w:pPr>
      <w:bookmarkStart w:id="263" w:name="bookmark1287"/>
      <w:bookmarkEnd w:id="263"/>
      <w:r>
        <w:t>De los niños susceptibles a quienes se aplica la vacuna triple (MMR), surge fiebre en 5 a 15% de ellos, cinco a 12 días después de la vacunación. En 5% de los niños vacunados surge erupción y también aparece a menudo linfadenopatía leve.</w:t>
      </w:r>
    </w:p>
    <w:p w14:paraId="2EB1FC36" w14:textId="77777777" w:rsidR="00D03C17" w:rsidRDefault="00D03C17">
      <w:pPr>
        <w:pStyle w:val="BodyText"/>
        <w:numPr>
          <w:ilvl w:val="0"/>
          <w:numId w:val="94"/>
        </w:numPr>
        <w:tabs>
          <w:tab w:val="left" w:pos="341"/>
        </w:tabs>
        <w:ind w:left="360" w:hanging="360"/>
      </w:pPr>
      <w:bookmarkStart w:id="264" w:name="bookmark1288"/>
      <w:bookmarkEnd w:id="264"/>
      <w:r>
        <w:t>En cerca de 0.5% de los niños de corta edad se ha señalado la aparición de artralgias, por lo común en articulaciones periféricas pequeñas. Dicha molestia y la artritis transitoria tienden a ser más frecuentes en mujeres pospúberes susceptibles, y la cifra de frecuencia en ellas es de 25 y 10%, respectivamente, de las mujeres vacunadas. La afección de las articulaciones suele comenzarse de siete a 21 días después de la vacunación y por lo común es transitoria. Un grupo de investigadores de Canadá ha notificado la aparición de síntomas articulares persistentes o recurrentes, pero investigaciones ulteriores hechas en Estados Unidos y en Israel no han corroborado tal relación.</w:t>
      </w:r>
    </w:p>
    <w:p w14:paraId="7D256207" w14:textId="77777777" w:rsidR="00D03C17" w:rsidRDefault="00D03C17">
      <w:pPr>
        <w:pStyle w:val="BodyText"/>
        <w:numPr>
          <w:ilvl w:val="0"/>
          <w:numId w:val="94"/>
        </w:numPr>
        <w:tabs>
          <w:tab w:val="left" w:pos="336"/>
        </w:tabs>
        <w:ind w:left="340" w:hanging="340"/>
      </w:pPr>
      <w:bookmarkStart w:id="265" w:name="bookmark1289"/>
      <w:bookmarkEnd w:id="265"/>
      <w:r>
        <w:t>La incidencia de manifestaciones articulares después de la vacunación es menor que la surgida después de infección natural, según la edad correspondiente.</w:t>
      </w:r>
    </w:p>
    <w:p w14:paraId="1E2EB283" w14:textId="77777777" w:rsidR="00D03C17" w:rsidRDefault="00D03C17">
      <w:pPr>
        <w:pStyle w:val="BodyText"/>
        <w:numPr>
          <w:ilvl w:val="0"/>
          <w:numId w:val="94"/>
        </w:numPr>
        <w:tabs>
          <w:tab w:val="left" w:pos="336"/>
        </w:tabs>
        <w:ind w:left="340" w:hanging="340"/>
      </w:pPr>
      <w:bookmarkStart w:id="266" w:name="bookmark1290"/>
      <w:bookmarkEnd w:id="266"/>
      <w:r>
        <w:t>También se ha notificado la aparición de parestesias transitorias y dolor en las extremidades escapulares y pélvicas, aunque son manifestaciones poco comunes.</w:t>
      </w:r>
    </w:p>
    <w:p w14:paraId="00830AC2" w14:textId="77777777" w:rsidR="00D03C17" w:rsidRDefault="00D03C17">
      <w:pPr>
        <w:pStyle w:val="BodyText"/>
        <w:numPr>
          <w:ilvl w:val="0"/>
          <w:numId w:val="94"/>
        </w:numPr>
        <w:tabs>
          <w:tab w:val="left" w:pos="336"/>
        </w:tabs>
        <w:ind w:left="340" w:hanging="340"/>
      </w:pPr>
      <w:bookmarkStart w:id="267" w:name="bookmark1291"/>
      <w:bookmarkEnd w:id="267"/>
      <w:r>
        <w:t>Se han señalado manifestaciones del sistema nervioso central, pero no se ha definido una relación causal con la vacuna contra la rubéola.</w:t>
      </w:r>
    </w:p>
    <w:p w14:paraId="3E406CAC" w14:textId="77777777" w:rsidR="00D03C17" w:rsidRDefault="00D03C17">
      <w:pPr>
        <w:pStyle w:val="BodyText"/>
        <w:numPr>
          <w:ilvl w:val="0"/>
          <w:numId w:val="94"/>
        </w:numPr>
        <w:tabs>
          <w:tab w:val="left" w:pos="336"/>
        </w:tabs>
        <w:ind w:left="340" w:hanging="340"/>
      </w:pPr>
      <w:bookmarkStart w:id="268" w:name="bookmark1292"/>
      <w:bookmarkEnd w:id="268"/>
      <w:r>
        <w:t>Después de aplicar la vacuna triple (MMR) surge a veces trombocitopenia (véase “Sarampión”, en esta sección).</w:t>
      </w:r>
    </w:p>
    <w:p w14:paraId="4895E52A" w14:textId="77777777" w:rsidR="00D03C17" w:rsidRDefault="00D03C17">
      <w:pPr>
        <w:pStyle w:val="Bodytext80"/>
        <w:rPr>
          <w:sz w:val="15"/>
          <w:szCs w:val="15"/>
        </w:rPr>
      </w:pPr>
      <w:r>
        <w:rPr>
          <w:b/>
          <w:bCs/>
          <w:i/>
          <w:iCs/>
          <w:sz w:val="15"/>
          <w:szCs w:val="15"/>
        </w:rPr>
        <w:t>Precauciones y contraindicaciones</w:t>
      </w:r>
    </w:p>
    <w:p w14:paraId="39856A07" w14:textId="77777777" w:rsidR="00D03C17" w:rsidRDefault="00D03C17">
      <w:pPr>
        <w:pStyle w:val="BodyText"/>
        <w:numPr>
          <w:ilvl w:val="0"/>
          <w:numId w:val="94"/>
        </w:numPr>
        <w:tabs>
          <w:tab w:val="left" w:pos="336"/>
        </w:tabs>
        <w:ind w:left="340" w:hanging="340"/>
      </w:pPr>
      <w:bookmarkStart w:id="269" w:name="bookmark1293"/>
      <w:bookmarkEnd w:id="269"/>
      <w:r>
        <w:rPr>
          <w:rFonts w:ascii="Times New Roman" w:eastAsia="Times New Roman" w:hAnsi="Times New Roman" w:cs="Times New Roman"/>
          <w:b/>
          <w:bCs/>
          <w:i/>
          <w:iCs/>
          <w:sz w:val="16"/>
          <w:szCs w:val="16"/>
        </w:rPr>
        <w:t>Embarazo.</w:t>
      </w:r>
      <w:r>
        <w:t xml:space="preserve"> Es importante no aplicar la vacuna contra la rubéola a las embarazadas; si se aplica inadvertidamente o ella se embaraza en término de 28 días de la vacunación, habrá que señalarle los riesgos teóricos a los que está expuesto el feto. De los productos de la concepción en tales casos, 2% han tenido infección asintomática, pero ninguno, defectos congénitos. Ante las observaciones mencionadas, recibir la vacuna de rubéola durante el embarazo no constituye indicación para terminar la gestación.</w:t>
      </w:r>
    </w:p>
    <w:p w14:paraId="4E416C5A" w14:textId="77777777" w:rsidR="00D03C17" w:rsidRDefault="00D03C17">
      <w:pPr>
        <w:pStyle w:val="BodyText"/>
        <w:ind w:left="340" w:firstLine="380"/>
      </w:pPr>
      <w:r>
        <w:t>No es necesario someter sistemáticamente a pruebas serológicas a las mujeres pospúberes, antes de vacunarlas. Las pruebas mencionadas constituyen un impedimento posible para la protección contra la rubéola porque obliga a la mujer a acudir a dos visitas, una para identificar a las personas susceptibles y otra para aplicar la vacuna. Sin embargo, es posible obtener una muestra de sangre antes de la vacunación y almacenarla durante 28 días, como mínimo. Si la paciente se embaraza en el mes ulterior a la vacunación pueden practicarse los métodos mencionados en la muestra obtenida antes de aplicarle la vacuna. La demostración en dicha muestra de anticuerpos contra rubéola denota inmunidad y elimina la posible ansiedad de que surja lesión del feto por el virus de la vacuna. No entraña peligro vacunar a niños susceptibles cuya madre u otra mujer del círculo familiar se embarazó. Casi todas las personas inmunizadas “secretan” intermitentemente cantidades pequeñas de virus desde la faringe, siete a 28 días después de la vacunación, pero no se ha observado en estudios de más de 1 200 mujeres que son contactos susceptibles dentro del círculo familiar, signos de transmisión del virus de la vacuna proveniente de los niños vacunados.</w:t>
      </w:r>
    </w:p>
    <w:p w14:paraId="3EE6A26B" w14:textId="77777777" w:rsidR="00D03C17" w:rsidRDefault="00D03C17">
      <w:pPr>
        <w:pStyle w:val="BodyText"/>
        <w:numPr>
          <w:ilvl w:val="0"/>
          <w:numId w:val="94"/>
        </w:numPr>
        <w:tabs>
          <w:tab w:val="left" w:pos="336"/>
        </w:tabs>
        <w:ind w:left="340" w:hanging="340"/>
      </w:pPr>
      <w:bookmarkStart w:id="270" w:name="bookmark1294"/>
      <w:bookmarkEnd w:id="270"/>
      <w:r>
        <w:rPr>
          <w:rFonts w:ascii="Times New Roman" w:eastAsia="Times New Roman" w:hAnsi="Times New Roman" w:cs="Times New Roman"/>
          <w:b/>
          <w:bCs/>
          <w:i/>
          <w:iCs/>
          <w:sz w:val="16"/>
          <w:szCs w:val="16"/>
        </w:rPr>
        <w:t>Cuadros febriles.</w:t>
      </w:r>
      <w:r>
        <w:t xml:space="preserve"> Los niños con cuadros de poca intensidad, como serían infecciones de las vías respiratorias altas, pueden ser vacunados (véase “Seguridad y contraindicaciones de las vacunas”, sección 1). La fiebre no constituye contraindicación para la vacunación; sin embargo, si otras manifestaciones además de ellas sugieren un cuadro más grave, no se vacunará al niño hasta que se haya restablecido.</w:t>
      </w:r>
    </w:p>
    <w:p w14:paraId="30F1C807" w14:textId="77777777" w:rsidR="00D03C17" w:rsidRDefault="00D03C17">
      <w:pPr>
        <w:pStyle w:val="BodyText"/>
        <w:numPr>
          <w:ilvl w:val="0"/>
          <w:numId w:val="94"/>
        </w:numPr>
        <w:tabs>
          <w:tab w:val="left" w:pos="336"/>
        </w:tabs>
        <w:ind w:left="340" w:hanging="340"/>
        <w:sectPr w:rsidR="00D03C17" w:rsidSect="00D03C17">
          <w:headerReference w:type="even" r:id="rId315"/>
          <w:headerReference w:type="default" r:id="rId316"/>
          <w:footerReference w:type="even" r:id="rId317"/>
          <w:footerReference w:type="default" r:id="rId318"/>
          <w:footnotePr>
            <w:numFmt w:val="chicago"/>
          </w:footnotePr>
          <w:type w:val="continuous"/>
          <w:pgSz w:w="8501" w:h="13022"/>
          <w:pgMar w:top="898" w:right="798" w:bottom="504" w:left="816" w:header="0" w:footer="3" w:gutter="0"/>
          <w:cols w:space="720"/>
          <w:noEndnote/>
          <w:docGrid w:linePitch="360"/>
          <w15:footnoteColumns w:val="1"/>
        </w:sectPr>
      </w:pPr>
      <w:bookmarkStart w:id="271" w:name="bookmark1295"/>
      <w:bookmarkEnd w:id="271"/>
      <w:r>
        <w:rPr>
          <w:rFonts w:ascii="Times New Roman" w:eastAsia="Times New Roman" w:hAnsi="Times New Roman" w:cs="Times New Roman"/>
          <w:b/>
          <w:bCs/>
          <w:i/>
          <w:iCs/>
          <w:sz w:val="16"/>
          <w:szCs w:val="16"/>
        </w:rPr>
        <w:t>Administración reciente de concentrado IG.</w:t>
      </w:r>
      <w:r>
        <w:t xml:space="preserve"> Los concentrados inmunoglobulínicos pueden interferir en la respuesta serológica a la vacuna contra la rubéola (sección 1). Dicha vacuna puede aplicarse a mujeres en el posparto, al mismo tiempo que el concentrado inmunoglobulínico contra Rho (D) (Human; RhoGAM [Ortho-Clinical Diagnostics, Raritan, NJ]) o después de aplicar hemoderivados, pero es necesario practicar pruebas en tales personas después de ocho semanas o más, para saber si han presentado la respuesta de anticuerpos.</w:t>
      </w:r>
    </w:p>
    <w:p w14:paraId="46937043" w14:textId="77777777" w:rsidR="00D03C17" w:rsidRDefault="00D03C17">
      <w:pPr>
        <w:pStyle w:val="BodyText"/>
        <w:tabs>
          <w:tab w:val="left" w:pos="283"/>
        </w:tabs>
        <w:ind w:firstLine="0"/>
      </w:pPr>
      <w:r>
        <w:t>•</w:t>
      </w:r>
      <w:r>
        <w:tab/>
      </w:r>
      <w:r>
        <w:rPr>
          <w:rFonts w:ascii="Times New Roman" w:eastAsia="Times New Roman" w:hAnsi="Times New Roman" w:cs="Times New Roman"/>
          <w:b/>
          <w:bCs/>
          <w:i/>
          <w:iCs/>
          <w:sz w:val="16"/>
          <w:szCs w:val="16"/>
        </w:rPr>
        <w:t>Alteración de la inmunidad.</w:t>
      </w:r>
      <w:r>
        <w:t xml:space="preserve"> Las personas inmunodeficientes con trastornos que</w:t>
      </w:r>
    </w:p>
    <w:p w14:paraId="21468B44" w14:textId="77777777" w:rsidR="00D03C17" w:rsidRDefault="00D03C17">
      <w:pPr>
        <w:pStyle w:val="BodyText"/>
        <w:ind w:left="360" w:firstLine="0"/>
      </w:pPr>
      <w:r>
        <w:t>se acompañan de una mayor intensidad de las infecciones víricas no deben recibir la vacuna hecha de virus vivos de rubéola (véase “Niños inmunodeficientes”, sección 1). Las excepciones serían las personas con infección por virus de inmunodeficiencia humana que no muestran una deficiencia inmunológica muy profunda, y ellas pueden recibir la vacuna contra la rubéola, en la forma de la vacuna triple (véase “Humana, infección por virus de inmunodeficiencia [VIH]”, en esta sección). Puede disminuir el peligro de exposición a la rubéola en el caso de pacientes con alteraciones inmunitarias, si se vacuna a sus contactos susceptibles más cercanos.</w:t>
      </w:r>
    </w:p>
    <w:p w14:paraId="2A5969C6" w14:textId="77777777" w:rsidR="00D03C17" w:rsidRDefault="00D03C17">
      <w:pPr>
        <w:pStyle w:val="BodyText"/>
        <w:ind w:firstLine="360"/>
      </w:pPr>
      <w:r>
        <w:rPr>
          <w:rFonts w:ascii="Arial" w:eastAsia="Arial" w:hAnsi="Arial" w:cs="Arial"/>
          <w:b/>
          <w:bCs/>
          <w:i/>
          <w:iCs/>
          <w:sz w:val="15"/>
          <w:szCs w:val="15"/>
        </w:rPr>
        <w:t>Corticosteroides.</w:t>
      </w:r>
      <w:r>
        <w:t xml:space="preserve"> En el caso de personas que han recibido dosis altas de corticosteroides durante 14 días o más y que por lo demás no muestran inmunodeficiencia, el intervalo recomendado antes de la vacunación es de un mes, como mínimo (véase “Niños inmunodeficientes”, sección 1) después de haber interrumpido la corticoterapia.</w:t>
      </w:r>
    </w:p>
    <w:p w14:paraId="433BA201" w14:textId="77777777" w:rsidR="00D03C17" w:rsidRDefault="00D03C17">
      <w:pPr>
        <w:pStyle w:val="BodyText"/>
        <w:spacing w:after="100" w:line="276" w:lineRule="auto"/>
        <w:ind w:firstLine="360"/>
      </w:pPr>
      <w:r>
        <w:rPr>
          <w:rFonts w:ascii="Arial" w:eastAsia="Arial" w:hAnsi="Arial" w:cs="Arial"/>
          <w:b/>
          <w:bCs/>
          <w:i/>
          <w:iCs/>
          <w:sz w:val="15"/>
          <w:szCs w:val="15"/>
        </w:rPr>
        <w:t>Vigilancia en busca de infecciones congénitas.</w:t>
      </w:r>
      <w:r>
        <w:t xml:space="preserve"> Al valorar el control de la rubéola asume enorme importancia el diagnóstico exacto y la notificación del síndrome de rubéola congénita. Hay que investigar con gran detalle y notificar a los </w:t>
      </w:r>
      <w:r>
        <w:rPr>
          <w:rFonts w:ascii="Times New Roman" w:eastAsia="Times New Roman" w:hAnsi="Times New Roman" w:cs="Times New Roman"/>
          <w:i/>
          <w:iCs/>
          <w:sz w:val="16"/>
          <w:szCs w:val="16"/>
        </w:rPr>
        <w:t>Centers for Disease Control and Prevention</w:t>
      </w:r>
      <w:r>
        <w:t xml:space="preserve"> a través de los departamentos sanitarios locales y estatales todos los defectos congénitos que se sospeche que provinieron de una infección por rubéola.</w:t>
      </w:r>
    </w:p>
    <w:p w14:paraId="61C2C85E" w14:textId="77777777" w:rsidR="00D03C17" w:rsidRDefault="00D03C17">
      <w:pPr>
        <w:pStyle w:val="Bodytext70"/>
        <w:spacing w:after="0"/>
      </w:pPr>
      <w:r>
        <w:rPr>
          <w:i/>
          <w:iCs/>
        </w:rPr>
        <w:t>Salmonella</w:t>
      </w:r>
      <w:r>
        <w:rPr>
          <w:i/>
          <w:iCs/>
          <w:w w:val="100"/>
        </w:rPr>
        <w:t>,</w:t>
      </w:r>
      <w:r>
        <w:t xml:space="preserve"> infecciones</w:t>
      </w:r>
    </w:p>
    <w:p w14:paraId="088DAD59" w14:textId="77777777" w:rsidR="00D03C17" w:rsidRDefault="00D03C17">
      <w:pPr>
        <w:pStyle w:val="BodyText"/>
        <w:spacing w:line="266" w:lineRule="auto"/>
        <w:ind w:firstLine="0"/>
        <w:rPr>
          <w:sz w:val="16"/>
          <w:szCs w:val="16"/>
        </w:rPr>
      </w:pPr>
      <w:r>
        <w:rPr>
          <w:rFonts w:ascii="Arial" w:eastAsia="Arial" w:hAnsi="Arial" w:cs="Arial"/>
          <w:b/>
          <w:bCs/>
          <w:w w:val="70"/>
          <w:sz w:val="20"/>
          <w:szCs w:val="20"/>
        </w:rPr>
        <w:t xml:space="preserve">(Salmonelosis) </w:t>
      </w:r>
      <w:r>
        <w:rPr>
          <w:b/>
          <w:bCs/>
          <w:smallCaps/>
          <w:sz w:val="20"/>
          <w:szCs w:val="20"/>
        </w:rPr>
        <w:t>M</w:t>
      </w:r>
      <w:r>
        <w:rPr>
          <w:b/>
          <w:bCs/>
          <w:smallCaps/>
          <w:sz w:val="16"/>
          <w:szCs w:val="16"/>
        </w:rPr>
        <w:t>anifestaciones clínicas</w:t>
      </w:r>
      <w:r>
        <w:rPr>
          <w:b/>
          <w:bCs/>
          <w:smallCaps/>
          <w:sz w:val="20"/>
          <w:szCs w:val="20"/>
        </w:rPr>
        <w:t>:</w:t>
      </w:r>
      <w:r>
        <w:t xml:space="preserve"> Los microorganismos del género </w:t>
      </w:r>
      <w:r>
        <w:rPr>
          <w:rFonts w:ascii="Times New Roman" w:eastAsia="Times New Roman" w:hAnsi="Times New Roman" w:cs="Times New Roman"/>
          <w:i/>
          <w:iCs/>
          <w:sz w:val="16"/>
          <w:szCs w:val="16"/>
        </w:rPr>
        <w:t>Salmonella</w:t>
      </w:r>
      <w:r>
        <w:t xml:space="preserve"> no tifoídicos ocasionan el estado de portador asintomático, gastroenteritis, bacteriemia e infecciones focales (como meningitis y osteomielitis). Las categorías patológicas mencionadas no son mutuamente excluyentes, sino que representan todo un espectro de enfermedades. El cuadro más común que acompaña a la infección por </w:t>
      </w:r>
      <w:r>
        <w:rPr>
          <w:rFonts w:ascii="Times New Roman" w:eastAsia="Times New Roman" w:hAnsi="Times New Roman" w:cs="Times New Roman"/>
          <w:i/>
          <w:iCs/>
          <w:sz w:val="16"/>
          <w:szCs w:val="16"/>
        </w:rPr>
        <w:t>Salmonella</w:t>
      </w:r>
      <w:r>
        <w:t xml:space="preserve"> no tifoídica es la gastroenteritis en que las manifestaciones más frecuentes son diarrea, cólicos abdominales y dolor a la palpación en el vientre y fiebre. El sitio de infección por lo regular es el intestino delgado, aunque puede haber colitis. Surge a veces bacteriemia sostenida o intermitente y se identifican infecciones focales incluso en l0% de sujetos con bacteriemia proveniente de la infección por </w:t>
      </w:r>
      <w:r>
        <w:rPr>
          <w:rFonts w:ascii="Times New Roman" w:eastAsia="Times New Roman" w:hAnsi="Times New Roman" w:cs="Times New Roman"/>
          <w:i/>
          <w:iCs/>
          <w:sz w:val="16"/>
          <w:szCs w:val="16"/>
        </w:rPr>
        <w:t>Salmonella.</w:t>
      </w:r>
    </w:p>
    <w:p w14:paraId="3E3FD1B9" w14:textId="77777777" w:rsidR="00D03C17" w:rsidRDefault="00D03C17">
      <w:pPr>
        <w:pStyle w:val="BodyText"/>
        <w:ind w:firstLine="360"/>
        <w:sectPr w:rsidR="00D03C17" w:rsidSect="00D03C17">
          <w:headerReference w:type="even" r:id="rId319"/>
          <w:headerReference w:type="default" r:id="rId320"/>
          <w:footerReference w:type="even" r:id="rId321"/>
          <w:footerReference w:type="default" r:id="rId322"/>
          <w:footnotePr>
            <w:numFmt w:val="chicago"/>
          </w:footnotePr>
          <w:type w:val="continuous"/>
          <w:pgSz w:w="8501" w:h="13022"/>
          <w:pgMar w:top="898" w:right="798" w:bottom="504" w:left="816" w:header="0" w:footer="76" w:gutter="0"/>
          <w:cols w:space="720"/>
          <w:noEndnote/>
          <w:docGrid w:linePitch="360"/>
          <w15:footnoteColumns w:val="1"/>
        </w:sectPr>
      </w:pPr>
      <w:r>
        <w:t xml:space="preserve">En la </w:t>
      </w:r>
      <w:r>
        <w:rPr>
          <w:rFonts w:ascii="Times New Roman" w:eastAsia="Times New Roman" w:hAnsi="Times New Roman" w:cs="Times New Roman"/>
          <w:i/>
          <w:iCs/>
          <w:sz w:val="16"/>
          <w:szCs w:val="16"/>
        </w:rPr>
        <w:t>Salmonella</w:t>
      </w:r>
      <w:r>
        <w:t xml:space="preserve"> serotipo Typhi y otros serotipos de este microorganismo pueden causar un cuadro bacteriémico tardío y de duración larga que se conoce como fiebre intestinal o tifoidea. El cuadro comienza de manera gradual, con manifestaciones como fiebre, síntomas generalizados (cefalea, malestar general, anorexia y letargia), dolor espontáneo y a la palpación en el vientre, hepatomegalia y esplenomegalia, “manchas color de rosa” y cambios en el estado psíquico. La fiebre intestinal puede ser un cuadro febril leve impreciso en niños de corta edad en que a veces hay bacteriemia sostenida o intermitente. El estreñimiento puede ser una de las primeras manifestaciones. En los niños a menudo surge diarrea. La bacteriemia recurrente por </w:t>
      </w:r>
      <w:r>
        <w:rPr>
          <w:rFonts w:ascii="Times New Roman" w:eastAsia="Times New Roman" w:hAnsi="Times New Roman" w:cs="Times New Roman"/>
          <w:i/>
          <w:iCs/>
          <w:sz w:val="16"/>
          <w:szCs w:val="16"/>
        </w:rPr>
        <w:t>Salmonella</w:t>
      </w:r>
      <w:r>
        <w:t xml:space="preserve"> es un cuadro definitorio del síndrome de inmunodeficiencia adquirida (SIDA) en adolescentes y adultos infectados por el virus de inmunodeficiencia humana (VIH). </w:t>
      </w:r>
      <w:r>
        <w:rPr>
          <w:b/>
          <w:bCs/>
        </w:rPr>
        <w:t>C</w:t>
      </w:r>
      <w:r>
        <w:rPr>
          <w:b/>
          <w:bCs/>
          <w:sz w:val="13"/>
          <w:szCs w:val="13"/>
        </w:rPr>
        <w:t>AUSAS</w:t>
      </w:r>
      <w:r>
        <w:rPr>
          <w:b/>
          <w:bCs/>
        </w:rPr>
        <w:t xml:space="preserve">: </w:t>
      </w:r>
      <w:r>
        <w:t xml:space="preserve">Las salmonelas son bacilos gramnegativos que pertenecen a la familia Enterobacteriaceae. En la actualidad se conocen más de 2 460 serotipos; muchos de los que son patógenos para el ser humano se dividen en los grupos antigénicos O, que van de la A a </w:t>
      </w:r>
      <w:r>
        <w:rPr>
          <w:rFonts w:ascii="Times New Roman" w:eastAsia="Times New Roman" w:hAnsi="Times New Roman" w:cs="Times New Roman"/>
          <w:i/>
          <w:iCs/>
          <w:sz w:val="16"/>
          <w:szCs w:val="16"/>
        </w:rPr>
        <w:t>E. Salmonella</w:t>
      </w:r>
      <w:r>
        <w:t xml:space="preserve"> serotipo Typhi se clasifica en el serogrupo D. En el año 2000, los microorganismos aislados con mayor frecuencia y señalados en los seres humanos de Estados Unidos fueron </w:t>
      </w:r>
      <w:r>
        <w:rPr>
          <w:rFonts w:ascii="Times New Roman" w:eastAsia="Times New Roman" w:hAnsi="Times New Roman" w:cs="Times New Roman"/>
          <w:i/>
          <w:iCs/>
          <w:sz w:val="16"/>
          <w:szCs w:val="16"/>
        </w:rPr>
        <w:t>Salmonella</w:t>
      </w:r>
      <w:r>
        <w:rPr>
          <w:i/>
          <w:iCs/>
        </w:rPr>
        <w:t>,</w:t>
      </w:r>
      <w:r>
        <w:t xml:space="preserve"> serotipos Typhimurium (serogrupo B), Enteritidis</w:t>
      </w:r>
    </w:p>
    <w:p w14:paraId="315D8E5C" w14:textId="77777777" w:rsidR="00D03C17" w:rsidRDefault="00D03C17">
      <w:pPr>
        <w:pStyle w:val="BodyText"/>
        <w:tabs>
          <w:tab w:val="left" w:pos="283"/>
        </w:tabs>
        <w:ind w:firstLine="0"/>
      </w:pPr>
      <w:r>
        <w:t>•</w:t>
      </w:r>
      <w:r>
        <w:tab/>
      </w:r>
      <w:r>
        <w:rPr>
          <w:rFonts w:ascii="Times New Roman" w:eastAsia="Times New Roman" w:hAnsi="Times New Roman" w:cs="Times New Roman"/>
          <w:b/>
          <w:bCs/>
          <w:i/>
          <w:iCs/>
          <w:sz w:val="16"/>
          <w:szCs w:val="16"/>
        </w:rPr>
        <w:t>Alteración de la inmunidad.</w:t>
      </w:r>
      <w:r>
        <w:t xml:space="preserve"> Las personas inmunodeficientes con trastornos que</w:t>
      </w:r>
    </w:p>
    <w:p w14:paraId="6D2B2554" w14:textId="77777777" w:rsidR="00D03C17" w:rsidRDefault="00D03C17">
      <w:pPr>
        <w:pStyle w:val="BodyText"/>
        <w:ind w:left="360" w:firstLine="0"/>
      </w:pPr>
      <w:r>
        <w:t>se acompañan de una mayor intensidad de las infecciones víricas no deben recibir la vacuna hecha de virus vivos de rubéola (véase “Niños inmunodeficientes”, sección 1). Las excepciones serían las personas con infección por virus de inmunodeficiencia humana que no muestran una deficiencia inmunológica muy profunda, y ellas pueden recibir la vacuna contra la rubéola, en la forma de la vacuna triple (véase “Humana, infección por virus de inmunodeficiencia [VIH]”, en esta sección). Puede disminuir el peligro de exposición a la rubéola en el caso de pacientes con alteraciones inmunitarias, si se vacuna a sus contactos susceptibles más cercanos.</w:t>
      </w:r>
    </w:p>
    <w:p w14:paraId="2B43F36A" w14:textId="77777777" w:rsidR="00D03C17" w:rsidRDefault="00D03C17">
      <w:pPr>
        <w:pStyle w:val="BodyText"/>
        <w:ind w:firstLine="360"/>
      </w:pPr>
      <w:r>
        <w:rPr>
          <w:rFonts w:ascii="Arial" w:eastAsia="Arial" w:hAnsi="Arial" w:cs="Arial"/>
          <w:b/>
          <w:bCs/>
          <w:i/>
          <w:iCs/>
          <w:sz w:val="15"/>
          <w:szCs w:val="15"/>
        </w:rPr>
        <w:t>Corticosteroides.</w:t>
      </w:r>
      <w:r>
        <w:t xml:space="preserve"> En el caso de personas que han recibido dosis altas de corticosteroides durante 14 días o más y que por lo demás no muestran inmunodeficiencia, el intervalo recomendado antes de la vacunación es de un mes, como mínimo (véase “Niños inmunodeficientes”, sección 1) después de haber interrumpido la corticoterapia.</w:t>
      </w:r>
    </w:p>
    <w:p w14:paraId="68DDF290" w14:textId="77777777" w:rsidR="00D03C17" w:rsidRDefault="00D03C17">
      <w:pPr>
        <w:pStyle w:val="BodyText"/>
        <w:spacing w:after="100" w:line="276" w:lineRule="auto"/>
        <w:ind w:firstLine="360"/>
      </w:pPr>
      <w:r>
        <w:rPr>
          <w:rFonts w:ascii="Arial" w:eastAsia="Arial" w:hAnsi="Arial" w:cs="Arial"/>
          <w:b/>
          <w:bCs/>
          <w:i/>
          <w:iCs/>
          <w:sz w:val="15"/>
          <w:szCs w:val="15"/>
        </w:rPr>
        <w:t>Vigilancia en busca de infecciones congénitas.</w:t>
      </w:r>
      <w:r>
        <w:t xml:space="preserve"> Al valorar el control de la rubéola asume enorme importancia el diagnóstico exacto y la notificación del síndrome de rubéola congénita. Hay que investigar con gran detalle y notificar a los </w:t>
      </w:r>
      <w:r>
        <w:rPr>
          <w:rFonts w:ascii="Times New Roman" w:eastAsia="Times New Roman" w:hAnsi="Times New Roman" w:cs="Times New Roman"/>
          <w:i/>
          <w:iCs/>
          <w:sz w:val="16"/>
          <w:szCs w:val="16"/>
        </w:rPr>
        <w:t>Centers for Disease Control and Prevention</w:t>
      </w:r>
      <w:r>
        <w:t xml:space="preserve"> a través de los departamentos sanitarios locales y estatales todos los defectos congénitos que se sospeche que provinieron de una infección por rubéola.</w:t>
      </w:r>
    </w:p>
    <w:p w14:paraId="25AF5BFA" w14:textId="77777777" w:rsidR="00D03C17" w:rsidRDefault="00D03C17">
      <w:pPr>
        <w:pStyle w:val="Bodytext70"/>
        <w:spacing w:after="0"/>
      </w:pPr>
      <w:r>
        <w:rPr>
          <w:i/>
          <w:iCs/>
        </w:rPr>
        <w:t>Salmonella</w:t>
      </w:r>
      <w:r>
        <w:rPr>
          <w:i/>
          <w:iCs/>
          <w:w w:val="100"/>
        </w:rPr>
        <w:t>,</w:t>
      </w:r>
      <w:r>
        <w:t xml:space="preserve"> infecciones</w:t>
      </w:r>
    </w:p>
    <w:p w14:paraId="53683B3E" w14:textId="77777777" w:rsidR="00D03C17" w:rsidRDefault="00D03C17">
      <w:pPr>
        <w:pStyle w:val="BodyText"/>
        <w:spacing w:line="266" w:lineRule="auto"/>
        <w:ind w:firstLine="0"/>
        <w:rPr>
          <w:sz w:val="16"/>
          <w:szCs w:val="16"/>
        </w:rPr>
      </w:pPr>
      <w:r>
        <w:rPr>
          <w:rFonts w:ascii="Arial" w:eastAsia="Arial" w:hAnsi="Arial" w:cs="Arial"/>
          <w:b/>
          <w:bCs/>
          <w:w w:val="70"/>
          <w:sz w:val="20"/>
          <w:szCs w:val="20"/>
        </w:rPr>
        <w:t xml:space="preserve">(Salmonelosis) </w:t>
      </w:r>
      <w:r>
        <w:rPr>
          <w:b/>
          <w:bCs/>
          <w:smallCaps/>
          <w:sz w:val="20"/>
          <w:szCs w:val="20"/>
        </w:rPr>
        <w:t>M</w:t>
      </w:r>
      <w:r>
        <w:rPr>
          <w:b/>
          <w:bCs/>
          <w:smallCaps/>
          <w:sz w:val="16"/>
          <w:szCs w:val="16"/>
        </w:rPr>
        <w:t>anifestaciones clínicas</w:t>
      </w:r>
      <w:r>
        <w:rPr>
          <w:b/>
          <w:bCs/>
          <w:smallCaps/>
          <w:sz w:val="20"/>
          <w:szCs w:val="20"/>
        </w:rPr>
        <w:t>:</w:t>
      </w:r>
      <w:r>
        <w:t xml:space="preserve"> Los microorganismos del género </w:t>
      </w:r>
      <w:r>
        <w:rPr>
          <w:rFonts w:ascii="Times New Roman" w:eastAsia="Times New Roman" w:hAnsi="Times New Roman" w:cs="Times New Roman"/>
          <w:i/>
          <w:iCs/>
          <w:sz w:val="16"/>
          <w:szCs w:val="16"/>
        </w:rPr>
        <w:t>Salmonella</w:t>
      </w:r>
      <w:r>
        <w:t xml:space="preserve"> no tifoídicos ocasionan el estado de portador asintomático, gastroenteritis, bacteriemia e infecciones focales (como meningitis y osteomielitis). Las categorías patológicas mencionadas no son mutuamente excluyentes, sino que representan todo un espectro de enfermedades. El cuadro más común que acompaña a la infección por </w:t>
      </w:r>
      <w:r>
        <w:rPr>
          <w:rFonts w:ascii="Times New Roman" w:eastAsia="Times New Roman" w:hAnsi="Times New Roman" w:cs="Times New Roman"/>
          <w:i/>
          <w:iCs/>
          <w:sz w:val="16"/>
          <w:szCs w:val="16"/>
        </w:rPr>
        <w:t>Salmonella</w:t>
      </w:r>
      <w:r>
        <w:t xml:space="preserve"> no tifoídica es la gastroenteritis en que las manifestaciones más frecuentes son diarrea, cólicos abdominales y dolor a la palpación en el vientre y fiebre. El sitio de infección por lo regular es el intestino delgado, aunque puede haber colitis. Surge a veces bacteriemia sostenida o intermitente y se identifican infecciones focales incluso en l0% de sujetos con bacteriemia proveniente de la infección por </w:t>
      </w:r>
      <w:r>
        <w:rPr>
          <w:rFonts w:ascii="Times New Roman" w:eastAsia="Times New Roman" w:hAnsi="Times New Roman" w:cs="Times New Roman"/>
          <w:i/>
          <w:iCs/>
          <w:sz w:val="16"/>
          <w:szCs w:val="16"/>
        </w:rPr>
        <w:t>Salmonella.</w:t>
      </w:r>
    </w:p>
    <w:p w14:paraId="60B5A6EB" w14:textId="77777777" w:rsidR="00D03C17" w:rsidRDefault="00D03C17">
      <w:pPr>
        <w:pStyle w:val="BodyText"/>
        <w:ind w:firstLine="360"/>
      </w:pPr>
      <w:r>
        <w:t xml:space="preserve">En la </w:t>
      </w:r>
      <w:r>
        <w:rPr>
          <w:rFonts w:ascii="Times New Roman" w:eastAsia="Times New Roman" w:hAnsi="Times New Roman" w:cs="Times New Roman"/>
          <w:i/>
          <w:iCs/>
          <w:sz w:val="16"/>
          <w:szCs w:val="16"/>
        </w:rPr>
        <w:t>Salmonella</w:t>
      </w:r>
      <w:r>
        <w:t xml:space="preserve"> serotipo Typhi y otros serotipos de este microorganismo pueden causar un cuadro bacteriémico tardío y de duración larga que se conoce como fiebre intestinal o tifoidea. El cuadro comienza de manera gradual, con manifestaciones como fiebre, síntomas generalizados (cefalea, malestar general, anorexia y letargia), dolor espontáneo y a la palpación en el vientre, hepatomegalia y esplenomegalia, “manchas color de rosa” y cambios en el estado psíquico. La fiebre intestinal puede ser un cuadro febril leve impreciso en niños de corta edad en que a veces hay bacteriemia sostenida o intermitente. El estreñimiento puede ser una de las primeras manifestaciones. En los niños a menudo surge diarrea. La bacteriemia recurrente por </w:t>
      </w:r>
      <w:r>
        <w:rPr>
          <w:rFonts w:ascii="Times New Roman" w:eastAsia="Times New Roman" w:hAnsi="Times New Roman" w:cs="Times New Roman"/>
          <w:i/>
          <w:iCs/>
          <w:sz w:val="16"/>
          <w:szCs w:val="16"/>
        </w:rPr>
        <w:t>Salmonella</w:t>
      </w:r>
      <w:r>
        <w:t xml:space="preserve"> es un cuadro definitorio del síndrome de inmunodeficiencia adquirida (SIDA) en adolescentes y adultos infectados por el virus de inmunodeficiencia humana (VIH). </w:t>
      </w:r>
      <w:r>
        <w:rPr>
          <w:b/>
          <w:bCs/>
        </w:rPr>
        <w:t>C</w:t>
      </w:r>
      <w:r>
        <w:rPr>
          <w:b/>
          <w:bCs/>
          <w:sz w:val="13"/>
          <w:szCs w:val="13"/>
        </w:rPr>
        <w:t>AUSAS</w:t>
      </w:r>
      <w:r>
        <w:rPr>
          <w:b/>
          <w:bCs/>
        </w:rPr>
        <w:t xml:space="preserve">: </w:t>
      </w:r>
      <w:r>
        <w:t xml:space="preserve">Las salmonelas son bacilos gramnegativos que pertenecen a la familia Enterobacteriaceae. En la actualidad se conocen más de 2 460 serotipos; muchos de los que son patógenos para el ser humano se dividen en los grupos antigénicos O, que van de la A a </w:t>
      </w:r>
      <w:r>
        <w:rPr>
          <w:rFonts w:ascii="Times New Roman" w:eastAsia="Times New Roman" w:hAnsi="Times New Roman" w:cs="Times New Roman"/>
          <w:i/>
          <w:iCs/>
          <w:sz w:val="16"/>
          <w:szCs w:val="16"/>
        </w:rPr>
        <w:t>E. Salmonella</w:t>
      </w:r>
      <w:r>
        <w:t xml:space="preserve"> serotipo Typhi se clasifica en el serogrupo D. En el año 2000, los microorganismos aislados con mayor frecuencia y señalados en los seres humanos de Estados Unidos fueron </w:t>
      </w:r>
      <w:r>
        <w:rPr>
          <w:rFonts w:ascii="Times New Roman" w:eastAsia="Times New Roman" w:hAnsi="Times New Roman" w:cs="Times New Roman"/>
          <w:i/>
          <w:iCs/>
          <w:sz w:val="16"/>
          <w:szCs w:val="16"/>
        </w:rPr>
        <w:t>Salmonella</w:t>
      </w:r>
      <w:r>
        <w:rPr>
          <w:i/>
          <w:iCs/>
        </w:rPr>
        <w:t>,</w:t>
      </w:r>
      <w:r>
        <w:t xml:space="preserve"> serotipos Typhimurium (serogrupo B), Enteritidis</w:t>
      </w:r>
      <w:r>
        <w:br w:type="page"/>
      </w:r>
    </w:p>
    <w:p w14:paraId="33D166B4" w14:textId="77777777" w:rsidR="00D03C17" w:rsidRDefault="00D03C17">
      <w:pPr>
        <w:pStyle w:val="BodyText"/>
        <w:spacing w:after="220"/>
        <w:ind w:firstLine="0"/>
      </w:pPr>
      <w:r>
        <w:t xml:space="preserve">(D), Newport (C2), Heidelberg (B), Javiana (D), Montevideo (C1), Muenchen (D) e Infantis (C1). En fecha reciente se ha cambiado la nomenclatura de </w:t>
      </w:r>
      <w:r>
        <w:rPr>
          <w:rFonts w:ascii="Times New Roman" w:eastAsia="Times New Roman" w:hAnsi="Times New Roman" w:cs="Times New Roman"/>
          <w:i/>
          <w:iCs/>
          <w:sz w:val="16"/>
          <w:szCs w:val="16"/>
        </w:rPr>
        <w:t>Salmonella</w:t>
      </w:r>
      <w:r>
        <w:t xml:space="preserve"> (véase cuadro 3-60).</w:t>
      </w:r>
    </w:p>
    <w:p w14:paraId="035DDF5C" w14:textId="77777777" w:rsidR="00D03C17" w:rsidRDefault="00D03C17">
      <w:pPr>
        <w:pStyle w:val="BodyText"/>
        <w:ind w:firstLine="0"/>
      </w:pPr>
      <w:r>
        <w:rPr>
          <w:b/>
          <w:bCs/>
        </w:rPr>
        <w:t>A</w:t>
      </w:r>
      <w:r>
        <w:rPr>
          <w:b/>
          <w:bCs/>
          <w:sz w:val="13"/>
          <w:szCs w:val="13"/>
        </w:rPr>
        <w:t>SPECTOS EPIDEMIOLÓGICOS</w:t>
      </w:r>
      <w:r>
        <w:rPr>
          <w:b/>
          <w:bCs/>
        </w:rPr>
        <w:t xml:space="preserve">: </w:t>
      </w:r>
      <w:r>
        <w:t xml:space="preserve">Los reservorios principales de las salmonelas no tifoídicas son animales que incluyen aves de corral, ganado, reptiles y mascotas. los vehículos principales de la transmisión son alimentos de origen animal, como la carne de aves de corral, reces, pescados, huevos y productos lácteos. Se ha dicho que en algunos brotes intervienen otros alimentos como frutas, verduras y productos de panadería; los alimentos en cuestión por lo común quedaron contaminados por contacto con un producto animal, o a veces por un ser humano infectado. Otros mecanismos de transmisión han incluido la ingestión de agua contaminada; el contacto con reptiles infectados (como tortuguitas, iguanas, lagartijas, serpientes) y la exposición a medicamentos contaminados, colorantes e instrumentos médicos. A diferencia de los serotipos no tifoídicos, </w:t>
      </w:r>
      <w:r>
        <w:rPr>
          <w:rFonts w:ascii="Times New Roman" w:eastAsia="Times New Roman" w:hAnsi="Times New Roman" w:cs="Times New Roman"/>
          <w:i/>
          <w:iCs/>
          <w:sz w:val="16"/>
          <w:szCs w:val="16"/>
        </w:rPr>
        <w:t>S</w:t>
      </w:r>
      <w:r>
        <w:t xml:space="preserve">. serotipo </w:t>
      </w:r>
      <w:r>
        <w:rPr>
          <w:rFonts w:ascii="Times New Roman" w:eastAsia="Times New Roman" w:hAnsi="Times New Roman" w:cs="Times New Roman"/>
          <w:i/>
          <w:iCs/>
          <w:sz w:val="16"/>
          <w:szCs w:val="16"/>
        </w:rPr>
        <w:t xml:space="preserve">Typhi </w:t>
      </w:r>
      <w:r>
        <w:t>aparece sólo en seres humanos y su presencia denota contacto directo con una persona infectada o con un objeto contaminado por un portador. La fiebre tifoidea, a pesar de que es poco común en Estados Unidos (unos 400 casos al año) es endémica en muchos países. En consecuencia, las infecciones de ese tipo en dicho país por lo común fueron producto de contagio durante viajes a otras naciones.</w:t>
      </w:r>
    </w:p>
    <w:p w14:paraId="434E8957" w14:textId="77777777" w:rsidR="00D03C17" w:rsidRDefault="00D03C17">
      <w:pPr>
        <w:pStyle w:val="BodyText"/>
        <w:spacing w:after="480"/>
        <w:ind w:firstLine="360"/>
      </w:pPr>
      <w:r>
        <w:t xml:space="preserve">Las cifras de ataque de infección por </w:t>
      </w:r>
      <w:r>
        <w:rPr>
          <w:rFonts w:ascii="Times New Roman" w:eastAsia="Times New Roman" w:hAnsi="Times New Roman" w:cs="Times New Roman"/>
          <w:i/>
          <w:iCs/>
          <w:sz w:val="16"/>
          <w:szCs w:val="16"/>
        </w:rPr>
        <w:t>Salmonella</w:t>
      </w:r>
      <w:r>
        <w:t>, específica de cada grupo de edad, alcanzan su máximo en personas menores de cuatro años, con una máxima o pico en los primeros meses de vida. La frecuencia de infecciones invasoras y muertes es mayor en lactantes, ancianos y sujetos con cuadros inmunosupresores, hemoglobinopatía (incluida enfermedad drepanocítica), cánceres y SIDA. Casi todos los casos publicados son esporádicos, pero se ha sabido de brotes generalizados que incluyen los ocurridos en nosocomios, instituciones de cuidado a largo plazo y salas de cuna. De 1996 a 2000 la frecuencia de ataque por salmonelas ocupó el segundo lugar después del ataque por Campylobacter como causa de casos de enfermedad intestinal confirmada por datos de</w:t>
      </w:r>
    </w:p>
    <w:p w14:paraId="36F79BEF" w14:textId="77777777" w:rsidR="00D03C17" w:rsidRDefault="00D03C17">
      <w:pPr>
        <w:pStyle w:val="Heading31"/>
        <w:keepNext/>
        <w:keepLines/>
        <w:jc w:val="center"/>
      </w:pPr>
      <w:bookmarkStart w:id="272" w:name="bookmark1296"/>
      <w:bookmarkStart w:id="273" w:name="bookmark1297"/>
      <w:bookmarkStart w:id="274" w:name="bookmark1298"/>
      <w:r>
        <w:rPr>
          <w:b w:val="0"/>
          <w:bCs w:val="0"/>
        </w:rPr>
        <w:t xml:space="preserve">Cuadro3-60. </w:t>
      </w:r>
      <w:r>
        <w:t xml:space="preserve">Nomenclatura del género </w:t>
      </w:r>
      <w:r>
        <w:rPr>
          <w:i/>
          <w:iCs/>
        </w:rPr>
        <w:t>Salmonella</w:t>
      </w:r>
      <w:bookmarkEnd w:id="272"/>
      <w:bookmarkEnd w:id="273"/>
      <w:bookmarkEnd w:id="274"/>
    </w:p>
    <w:p w14:paraId="5425E4AF" w14:textId="77777777" w:rsidR="00D03C17" w:rsidRDefault="00D03C17">
      <w:pPr>
        <w:spacing w:line="1" w:lineRule="exact"/>
      </w:pPr>
      <w:r>
        <w:rPr>
          <w:noProof/>
        </w:rPr>
        <mc:AlternateContent>
          <mc:Choice Requires="wps">
            <w:drawing>
              <wp:anchor distT="3175" distB="149225" distL="0" distR="0" simplePos="0" relativeHeight="251677696" behindDoc="0" locked="0" layoutInCell="1" allowOverlap="1" wp14:anchorId="17FA25C1" wp14:editId="72872ABC">
                <wp:simplePos x="0" y="0"/>
                <wp:positionH relativeFrom="page">
                  <wp:posOffset>568325</wp:posOffset>
                </wp:positionH>
                <wp:positionV relativeFrom="paragraph">
                  <wp:posOffset>3175</wp:posOffset>
                </wp:positionV>
                <wp:extent cx="938530" cy="189230"/>
                <wp:effectExtent l="0" t="0" r="0" b="0"/>
                <wp:wrapTopAndBottom/>
                <wp:docPr id="1700" name="Shape 1700"/>
                <wp:cNvGraphicFramePr/>
                <a:graphic xmlns:a="http://schemas.openxmlformats.org/drawingml/2006/main">
                  <a:graphicData uri="http://schemas.microsoft.com/office/word/2010/wordprocessingShape">
                    <wps:wsp>
                      <wps:cNvSpPr txBox="1"/>
                      <wps:spPr>
                        <a:xfrm>
                          <a:off x="0" y="0"/>
                          <a:ext cx="938530" cy="189230"/>
                        </a:xfrm>
                        <a:prstGeom prst="rect">
                          <a:avLst/>
                        </a:prstGeom>
                        <a:noFill/>
                      </wps:spPr>
                      <wps:txbx>
                        <w:txbxContent>
                          <w:p w14:paraId="4A80D895" w14:textId="77777777" w:rsidR="00D03C17" w:rsidRDefault="00D03C17">
                            <w:pPr>
                              <w:pStyle w:val="Heading41"/>
                              <w:keepNext/>
                              <w:keepLines/>
                              <w:pBdr>
                                <w:top w:val="single" w:sz="0" w:space="0" w:color="231F20"/>
                                <w:left w:val="single" w:sz="0" w:space="0" w:color="231F20"/>
                                <w:bottom w:val="single" w:sz="0" w:space="0" w:color="231F20"/>
                                <w:right w:val="single" w:sz="0" w:space="0" w:color="231F20"/>
                              </w:pBdr>
                              <w:shd w:val="clear" w:color="auto" w:fill="231F20"/>
                              <w:jc w:val="center"/>
                            </w:pPr>
                            <w:bookmarkStart w:id="275" w:name="bookmark1239"/>
                            <w:bookmarkStart w:id="276" w:name="bookmark1240"/>
                            <w:bookmarkStart w:id="277" w:name="bookmark1241"/>
                            <w:r>
                              <w:rPr>
                                <w:color w:val="FFFFFF"/>
                              </w:rPr>
                              <w:t>Nombre completo</w:t>
                            </w:r>
                            <w:bookmarkEnd w:id="275"/>
                            <w:bookmarkEnd w:id="276"/>
                            <w:bookmarkEnd w:id="277"/>
                          </w:p>
                        </w:txbxContent>
                      </wps:txbx>
                      <wps:bodyPr wrap="none" lIns="0" tIns="0" rIns="0" bIns="0"/>
                    </wps:wsp>
                  </a:graphicData>
                </a:graphic>
              </wp:anchor>
            </w:drawing>
          </mc:Choice>
          <mc:Fallback>
            <w:pict>
              <v:shape w14:anchorId="17FA25C1" id="Shape 1700" o:spid="_x0000_s1044" type="#_x0000_t202" style="position:absolute;margin-left:44.75pt;margin-top:.25pt;width:73.9pt;height:14.9pt;z-index:251677696;visibility:visible;mso-wrap-style:none;mso-wrap-distance-left:0;mso-wrap-distance-top:.25pt;mso-wrap-distance-right:0;mso-wrap-distance-bottom:11.7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" filled="f" stroked="f">
                <v:textbox inset="0,0,0,0">
                  <w:txbxContent>
                    <w:p w14:paraId="4A80D895" w14:textId="77777777" w:rsidR="00D03C17" w:rsidRDefault="00D03C17">
                      <w:pPr>
                        <w:pStyle w:val="Heading41"/>
                        <w:keepNext/>
                        <w:keepLines/>
                        <w:pBdr>
                          <w:top w:val="single" w:sz="0" w:space="0" w:color="231F20"/>
                          <w:left w:val="single" w:sz="0" w:space="0" w:color="231F20"/>
                          <w:bottom w:val="single" w:sz="0" w:space="0" w:color="231F20"/>
                          <w:right w:val="single" w:sz="0" w:space="0" w:color="231F20"/>
                        </w:pBdr>
                        <w:shd w:val="clear" w:color="auto" w:fill="231F20"/>
                        <w:jc w:val="center"/>
                      </w:pPr>
                      <w:bookmarkStart w:id="278" w:name="bookmark1239"/>
                      <w:bookmarkStart w:id="279" w:name="bookmark1240"/>
                      <w:bookmarkStart w:id="280" w:name="bookmark1241"/>
                      <w:r>
                        <w:rPr>
                          <w:color w:val="FFFFFF"/>
                        </w:rPr>
                        <w:t>Nombre completo</w:t>
                      </w:r>
                      <w:bookmarkEnd w:id="278"/>
                      <w:bookmarkEnd w:id="279"/>
                      <w:bookmarkEnd w:id="280"/>
                    </w:p>
                  </w:txbxContent>
                </v:textbox>
                <w10:wrap type="topAndBottom" anchorx="page"/>
              </v:shape>
            </w:pict>
          </mc:Fallback>
        </mc:AlternateContent>
      </w:r>
      <w:r>
        <w:rPr>
          <w:noProof/>
        </w:rPr>
        <mc:AlternateContent>
          <mc:Choice Requires="wps">
            <w:drawing>
              <wp:anchor distT="18415" distB="0" distL="0" distR="0" simplePos="0" relativeHeight="251678720" behindDoc="0" locked="0" layoutInCell="1" allowOverlap="1" wp14:anchorId="467F7564" wp14:editId="22C76A5A">
                <wp:simplePos x="0" y="0"/>
                <wp:positionH relativeFrom="page">
                  <wp:posOffset>2000885</wp:posOffset>
                </wp:positionH>
                <wp:positionV relativeFrom="paragraph">
                  <wp:posOffset>18415</wp:posOffset>
                </wp:positionV>
                <wp:extent cx="981710" cy="323215"/>
                <wp:effectExtent l="0" t="0" r="0" b="0"/>
                <wp:wrapTopAndBottom/>
                <wp:docPr id="1702" name="Shape 1702"/>
                <wp:cNvGraphicFramePr/>
                <a:graphic xmlns:a="http://schemas.openxmlformats.org/drawingml/2006/main">
                  <a:graphicData uri="http://schemas.microsoft.com/office/word/2010/wordprocessingShape">
                    <wps:wsp>
                      <wps:cNvSpPr txBox="1"/>
                      <wps:spPr>
                        <a:xfrm>
                          <a:off x="0" y="0"/>
                          <a:ext cx="981710" cy="323215"/>
                        </a:xfrm>
                        <a:prstGeom prst="rect">
                          <a:avLst/>
                        </a:prstGeom>
                        <a:noFill/>
                      </wps:spPr>
                      <wps:txbx>
                        <w:txbxContent>
                          <w:p w14:paraId="745A8302" w14:textId="77777777" w:rsidR="00D03C17" w:rsidRDefault="00D03C17">
                            <w:pPr>
                              <w:pStyle w:val="Heading41"/>
                              <w:keepNext/>
                              <w:keepLines/>
                              <w:pBdr>
                                <w:top w:val="single" w:sz="0" w:space="0" w:color="231F20"/>
                                <w:left w:val="single" w:sz="0" w:space="0" w:color="231F20"/>
                                <w:bottom w:val="single" w:sz="0" w:space="0" w:color="231F20"/>
                                <w:right w:val="single" w:sz="0" w:space="0" w:color="231F20"/>
                              </w:pBdr>
                              <w:shd w:val="clear" w:color="auto" w:fill="231F20"/>
                              <w:spacing w:line="204" w:lineRule="auto"/>
                            </w:pPr>
                            <w:bookmarkStart w:id="281" w:name="bookmark1242"/>
                            <w:bookmarkStart w:id="282" w:name="bookmark1243"/>
                            <w:bookmarkStart w:id="283" w:name="bookmark1244"/>
                            <w:r>
                              <w:rPr>
                                <w:color w:val="FFFFFF"/>
                              </w:rPr>
                              <w:t>Nombre propuesto por CDC</w:t>
                            </w:r>
                            <w:bookmarkEnd w:id="281"/>
                            <w:bookmarkEnd w:id="282"/>
                            <w:bookmarkEnd w:id="283"/>
                          </w:p>
                        </w:txbxContent>
                      </wps:txbx>
                      <wps:bodyPr lIns="0" tIns="0" rIns="0" bIns="0"/>
                    </wps:wsp>
                  </a:graphicData>
                </a:graphic>
              </wp:anchor>
            </w:drawing>
          </mc:Choice>
          <mc:Fallback>
            <w:pict>
              <v:shape w14:anchorId="467F7564" id="Shape 1702" o:spid="_x0000_s1045" type="#_x0000_t202" style="position:absolute;margin-left:157.55pt;margin-top:1.45pt;width:77.3pt;height:25.45pt;z-index:251678720;visibility:visible;mso-wrap-style:square;mso-wrap-distance-left:0;mso-wrap-distance-top:1.45pt;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" filled="f" stroked="f">
                <v:textbox inset="0,0,0,0">
                  <w:txbxContent>
                    <w:p w14:paraId="745A8302" w14:textId="77777777" w:rsidR="00D03C17" w:rsidRDefault="00D03C17">
                      <w:pPr>
                        <w:pStyle w:val="Heading41"/>
                        <w:keepNext/>
                        <w:keepLines/>
                        <w:pBdr>
                          <w:top w:val="single" w:sz="0" w:space="0" w:color="231F20"/>
                          <w:left w:val="single" w:sz="0" w:space="0" w:color="231F20"/>
                          <w:bottom w:val="single" w:sz="0" w:space="0" w:color="231F20"/>
                          <w:right w:val="single" w:sz="0" w:space="0" w:color="231F20"/>
                        </w:pBdr>
                        <w:shd w:val="clear" w:color="auto" w:fill="231F20"/>
                        <w:spacing w:line="204" w:lineRule="auto"/>
                      </w:pPr>
                      <w:bookmarkStart w:id="284" w:name="bookmark1242"/>
                      <w:bookmarkStart w:id="285" w:name="bookmark1243"/>
                      <w:bookmarkStart w:id="286" w:name="bookmark1244"/>
                      <w:r>
                        <w:rPr>
                          <w:color w:val="FFFFFF"/>
                        </w:rPr>
                        <w:t>Nombre propuesto por CDC</w:t>
                      </w:r>
                      <w:bookmarkEnd w:id="284"/>
                      <w:bookmarkEnd w:id="285"/>
                      <w:bookmarkEnd w:id="286"/>
                    </w:p>
                  </w:txbxContent>
                </v:textbox>
                <w10:wrap type="topAndBottom" anchorx="page"/>
              </v:shape>
            </w:pict>
          </mc:Fallback>
        </mc:AlternateContent>
      </w:r>
      <w:r>
        <w:rPr>
          <w:noProof/>
        </w:rPr>
        <mc:AlternateContent>
          <mc:Choice Requires="wps">
            <w:drawing>
              <wp:anchor distT="0" distB="152400" distL="0" distR="0" simplePos="0" relativeHeight="251679744" behindDoc="0" locked="0" layoutInCell="1" allowOverlap="1" wp14:anchorId="5747BD2F" wp14:editId="7631A0A4">
                <wp:simplePos x="0" y="0"/>
                <wp:positionH relativeFrom="page">
                  <wp:posOffset>3436620</wp:posOffset>
                </wp:positionH>
                <wp:positionV relativeFrom="paragraph">
                  <wp:posOffset>0</wp:posOffset>
                </wp:positionV>
                <wp:extent cx="1191895" cy="189230"/>
                <wp:effectExtent l="0" t="0" r="0" b="0"/>
                <wp:wrapTopAndBottom/>
                <wp:docPr id="1704" name="Shape 1704"/>
                <wp:cNvGraphicFramePr/>
                <a:graphic xmlns:a="http://schemas.openxmlformats.org/drawingml/2006/main">
                  <a:graphicData uri="http://schemas.microsoft.com/office/word/2010/wordprocessingShape">
                    <wps:wsp>
                      <wps:cNvSpPr txBox="1"/>
                      <wps:spPr>
                        <a:xfrm>
                          <a:off x="0" y="0"/>
                          <a:ext cx="1191895" cy="189230"/>
                        </a:xfrm>
                        <a:prstGeom prst="rect">
                          <a:avLst/>
                        </a:prstGeom>
                        <a:noFill/>
                      </wps:spPr>
                      <wps:txbx>
                        <w:txbxContent>
                          <w:p w14:paraId="500156A4" w14:textId="77777777" w:rsidR="00D03C17" w:rsidRDefault="00D03C17">
                            <w:pPr>
                              <w:pStyle w:val="Heading41"/>
                              <w:keepNext/>
                              <w:keepLines/>
                              <w:pBdr>
                                <w:top w:val="single" w:sz="0" w:space="0" w:color="231F20"/>
                                <w:left w:val="single" w:sz="0" w:space="0" w:color="231F20"/>
                                <w:bottom w:val="single" w:sz="0" w:space="0" w:color="231F20"/>
                                <w:right w:val="single" w:sz="0" w:space="0" w:color="231F20"/>
                              </w:pBdr>
                              <w:shd w:val="clear" w:color="auto" w:fill="231F20"/>
                              <w:jc w:val="center"/>
                            </w:pPr>
                            <w:bookmarkStart w:id="287" w:name="bookmark1245"/>
                            <w:bookmarkStart w:id="288" w:name="bookmark1246"/>
                            <w:bookmarkStart w:id="289" w:name="bookmark1247"/>
                            <w:r>
                              <w:rPr>
                                <w:color w:val="FFFFFF"/>
                              </w:rPr>
                              <w:t>Nombre de uso común</w:t>
                            </w:r>
                            <w:bookmarkEnd w:id="287"/>
                            <w:bookmarkEnd w:id="288"/>
                            <w:bookmarkEnd w:id="289"/>
                          </w:p>
                        </w:txbxContent>
                      </wps:txbx>
                      <wps:bodyPr wrap="none" lIns="0" tIns="0" rIns="0" bIns="0"/>
                    </wps:wsp>
                  </a:graphicData>
                </a:graphic>
              </wp:anchor>
            </w:drawing>
          </mc:Choice>
          <mc:Fallback>
            <w:pict>
              <v:shape w14:anchorId="5747BD2F" id="Shape 1704" o:spid="_x0000_s1046" type="#_x0000_t202" style="position:absolute;margin-left:270.6pt;margin-top:0;width:93.85pt;height:14.9pt;z-index:251679744;visibility:visible;mso-wrap-style:none;mso-wrap-distance-left:0;mso-wrap-distance-top:0;mso-wrap-distance-right:0;mso-wrap-distance-bottom:12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" filled="f" stroked="f">
                <v:textbox inset="0,0,0,0">
                  <w:txbxContent>
                    <w:p w14:paraId="500156A4" w14:textId="77777777" w:rsidR="00D03C17" w:rsidRDefault="00D03C17">
                      <w:pPr>
                        <w:pStyle w:val="Heading41"/>
                        <w:keepNext/>
                        <w:keepLines/>
                        <w:pBdr>
                          <w:top w:val="single" w:sz="0" w:space="0" w:color="231F20"/>
                          <w:left w:val="single" w:sz="0" w:space="0" w:color="231F20"/>
                          <w:bottom w:val="single" w:sz="0" w:space="0" w:color="231F20"/>
                          <w:right w:val="single" w:sz="0" w:space="0" w:color="231F20"/>
                        </w:pBdr>
                        <w:shd w:val="clear" w:color="auto" w:fill="231F20"/>
                        <w:jc w:val="center"/>
                      </w:pPr>
                      <w:bookmarkStart w:id="290" w:name="bookmark1245"/>
                      <w:bookmarkStart w:id="291" w:name="bookmark1246"/>
                      <w:bookmarkStart w:id="292" w:name="bookmark1247"/>
                      <w:r>
                        <w:rPr>
                          <w:color w:val="FFFFFF"/>
                        </w:rPr>
                        <w:t>Nombre de uso común</w:t>
                      </w:r>
                      <w:bookmarkEnd w:id="290"/>
                      <w:bookmarkEnd w:id="291"/>
                      <w:bookmarkEnd w:id="292"/>
                    </w:p>
                  </w:txbxContent>
                </v:textbox>
                <w10:wrap type="topAndBottom" anchorx="page"/>
              </v:shape>
            </w:pict>
          </mc:Fallback>
        </mc:AlternateContent>
      </w:r>
    </w:p>
    <w:tbl>
      <w:tblPr>
        <w:tblOverlap w:val="never"/>
        <w:tblW w:w="0" w:type="auto"/>
        <w:jc w:val="center"/>
        <w:tblLayout w:type="fixed"/>
        <w:tblCellMar>
          <w:left w:w="10" w:type="dxa"/>
          <w:right w:w="10" w:type="dxa"/>
        </w:tblCellMar>
        <w:tblLook w:val="04A0" w:firstRow="1" w:lastRow="0" w:firstColumn="1" w:lastColumn="0" w:noHBand="0" w:noVBand="1"/>
      </w:tblPr>
      <w:tblGrid>
        <w:gridCol w:w="2222"/>
        <w:gridCol w:w="4546"/>
      </w:tblGrid>
      <w:tr w:rsidR="00D03C17" w14:paraId="1B5C92E1" w14:textId="77777777">
        <w:tblPrEx>
          <w:tblCellMar>
            <w:top w:w="0" w:type="dxa"/>
            <w:bottom w:w="0" w:type="dxa"/>
          </w:tblCellMar>
        </w:tblPrEx>
        <w:trPr>
          <w:trHeight w:hRule="exact" w:val="1987"/>
          <w:jc w:val="center"/>
        </w:trPr>
        <w:tc>
          <w:tcPr>
            <w:tcW w:w="2222" w:type="dxa"/>
            <w:shd w:val="clear" w:color="auto" w:fill="FFFFFF"/>
          </w:tcPr>
          <w:p w14:paraId="4CC2E4A4" w14:textId="77777777" w:rsidR="00D03C17" w:rsidRDefault="00D03C17">
            <w:pPr>
              <w:pStyle w:val="Other0"/>
              <w:spacing w:line="283" w:lineRule="auto"/>
              <w:ind w:firstLine="0"/>
              <w:rPr>
                <w:sz w:val="16"/>
                <w:szCs w:val="16"/>
              </w:rPr>
            </w:pPr>
            <w:r>
              <w:rPr>
                <w:rFonts w:ascii="Times New Roman" w:eastAsia="Times New Roman" w:hAnsi="Times New Roman" w:cs="Times New Roman"/>
                <w:i/>
                <w:iCs/>
                <w:sz w:val="16"/>
                <w:szCs w:val="16"/>
              </w:rPr>
              <w:t>S. enterica</w:t>
            </w:r>
            <w:r>
              <w:rPr>
                <w:rFonts w:ascii="Times New Roman" w:eastAsia="Times New Roman" w:hAnsi="Times New Roman" w:cs="Times New Roman"/>
                <w:i/>
                <w:iCs/>
                <w:sz w:val="16"/>
                <w:szCs w:val="16"/>
                <w:vertAlign w:val="superscript"/>
              </w:rPr>
              <w:t>1</w:t>
            </w:r>
            <w:r>
              <w:rPr>
                <w:rFonts w:ascii="Times New Roman" w:eastAsia="Times New Roman" w:hAnsi="Times New Roman" w:cs="Times New Roman"/>
                <w:sz w:val="16"/>
                <w:szCs w:val="16"/>
              </w:rPr>
              <w:t xml:space="preserve"> subespecie </w:t>
            </w:r>
            <w:r>
              <w:rPr>
                <w:rFonts w:ascii="Times New Roman" w:eastAsia="Times New Roman" w:hAnsi="Times New Roman" w:cs="Times New Roman"/>
                <w:i/>
                <w:iCs/>
                <w:sz w:val="16"/>
                <w:szCs w:val="16"/>
              </w:rPr>
              <w:t>enterica</w:t>
            </w:r>
            <w:r>
              <w:rPr>
                <w:rFonts w:ascii="Times New Roman" w:eastAsia="Times New Roman" w:hAnsi="Times New Roman" w:cs="Times New Roman"/>
                <w:sz w:val="16"/>
                <w:szCs w:val="16"/>
              </w:rPr>
              <w:t xml:space="preserve"> serotipo Typhi</w:t>
            </w:r>
          </w:p>
          <w:p w14:paraId="6BCA43F6" w14:textId="77777777" w:rsidR="00D03C17" w:rsidRDefault="00D03C17">
            <w:pPr>
              <w:pStyle w:val="Other0"/>
              <w:spacing w:line="283" w:lineRule="auto"/>
              <w:ind w:firstLine="0"/>
              <w:rPr>
                <w:sz w:val="16"/>
                <w:szCs w:val="16"/>
              </w:rPr>
            </w:pPr>
            <w:r>
              <w:rPr>
                <w:rFonts w:ascii="Times New Roman" w:eastAsia="Times New Roman" w:hAnsi="Times New Roman" w:cs="Times New Roman"/>
                <w:i/>
                <w:iCs/>
                <w:sz w:val="16"/>
                <w:szCs w:val="16"/>
              </w:rPr>
              <w:t>S. enterica</w:t>
            </w:r>
            <w:r>
              <w:rPr>
                <w:rFonts w:ascii="Times New Roman" w:eastAsia="Times New Roman" w:hAnsi="Times New Roman" w:cs="Times New Roman"/>
                <w:sz w:val="16"/>
                <w:szCs w:val="16"/>
              </w:rPr>
              <w:t xml:space="preserve"> subespecie </w:t>
            </w:r>
            <w:r>
              <w:rPr>
                <w:rFonts w:ascii="Times New Roman" w:eastAsia="Times New Roman" w:hAnsi="Times New Roman" w:cs="Times New Roman"/>
                <w:i/>
                <w:iCs/>
                <w:sz w:val="16"/>
                <w:szCs w:val="16"/>
              </w:rPr>
              <w:t xml:space="preserve">enterica </w:t>
            </w:r>
            <w:r>
              <w:rPr>
                <w:rFonts w:ascii="Times New Roman" w:eastAsia="Times New Roman" w:hAnsi="Times New Roman" w:cs="Times New Roman"/>
                <w:sz w:val="16"/>
                <w:szCs w:val="16"/>
              </w:rPr>
              <w:t>serotipo Typhimurium</w:t>
            </w:r>
          </w:p>
          <w:p w14:paraId="499E3325" w14:textId="77777777" w:rsidR="00D03C17" w:rsidRDefault="00D03C17">
            <w:pPr>
              <w:pStyle w:val="Other0"/>
              <w:spacing w:line="283" w:lineRule="auto"/>
              <w:ind w:firstLine="0"/>
              <w:rPr>
                <w:sz w:val="16"/>
                <w:szCs w:val="16"/>
              </w:rPr>
            </w:pPr>
            <w:r>
              <w:rPr>
                <w:rFonts w:ascii="Times New Roman" w:eastAsia="Times New Roman" w:hAnsi="Times New Roman" w:cs="Times New Roman"/>
                <w:i/>
                <w:iCs/>
                <w:sz w:val="16"/>
                <w:szCs w:val="16"/>
              </w:rPr>
              <w:t>S</w:t>
            </w:r>
            <w:r>
              <w:rPr>
                <w:rFonts w:ascii="Times New Roman" w:eastAsia="Times New Roman" w:hAnsi="Times New Roman" w:cs="Times New Roman"/>
                <w:sz w:val="16"/>
                <w:szCs w:val="16"/>
              </w:rPr>
              <w:t xml:space="preserve">. </w:t>
            </w:r>
            <w:r>
              <w:rPr>
                <w:rFonts w:ascii="Times New Roman" w:eastAsia="Times New Roman" w:hAnsi="Times New Roman" w:cs="Times New Roman"/>
                <w:i/>
                <w:iCs/>
                <w:sz w:val="16"/>
                <w:szCs w:val="16"/>
              </w:rPr>
              <w:t>enterica</w:t>
            </w:r>
            <w:r>
              <w:rPr>
                <w:rFonts w:ascii="Times New Roman" w:eastAsia="Times New Roman" w:hAnsi="Times New Roman" w:cs="Times New Roman"/>
                <w:sz w:val="16"/>
                <w:szCs w:val="16"/>
              </w:rPr>
              <w:t xml:space="preserve"> subespecie </w:t>
            </w:r>
            <w:r>
              <w:rPr>
                <w:rFonts w:ascii="Times New Roman" w:eastAsia="Times New Roman" w:hAnsi="Times New Roman" w:cs="Times New Roman"/>
                <w:i/>
                <w:iCs/>
                <w:sz w:val="16"/>
                <w:szCs w:val="16"/>
              </w:rPr>
              <w:t xml:space="preserve">enterica </w:t>
            </w:r>
            <w:r>
              <w:rPr>
                <w:rFonts w:ascii="Times New Roman" w:eastAsia="Times New Roman" w:hAnsi="Times New Roman" w:cs="Times New Roman"/>
                <w:sz w:val="16"/>
                <w:szCs w:val="16"/>
              </w:rPr>
              <w:t>serotipo Newport</w:t>
            </w:r>
          </w:p>
          <w:p w14:paraId="551CF92B" w14:textId="77777777" w:rsidR="00D03C17" w:rsidRDefault="00D03C17">
            <w:pPr>
              <w:pStyle w:val="Other0"/>
              <w:spacing w:line="283" w:lineRule="auto"/>
              <w:ind w:firstLine="0"/>
              <w:rPr>
                <w:sz w:val="16"/>
                <w:szCs w:val="16"/>
              </w:rPr>
            </w:pPr>
            <w:r>
              <w:rPr>
                <w:rFonts w:ascii="Times New Roman" w:eastAsia="Times New Roman" w:hAnsi="Times New Roman" w:cs="Times New Roman"/>
                <w:i/>
                <w:iCs/>
                <w:sz w:val="16"/>
                <w:szCs w:val="16"/>
              </w:rPr>
              <w:t>S. enterica</w:t>
            </w:r>
            <w:r>
              <w:rPr>
                <w:rFonts w:ascii="Times New Roman" w:eastAsia="Times New Roman" w:hAnsi="Times New Roman" w:cs="Times New Roman"/>
                <w:sz w:val="16"/>
                <w:szCs w:val="16"/>
              </w:rPr>
              <w:t xml:space="preserve"> subespecie </w:t>
            </w:r>
            <w:r>
              <w:rPr>
                <w:rFonts w:ascii="Times New Roman" w:eastAsia="Times New Roman" w:hAnsi="Times New Roman" w:cs="Times New Roman"/>
                <w:i/>
                <w:iCs/>
                <w:sz w:val="16"/>
                <w:szCs w:val="16"/>
              </w:rPr>
              <w:t xml:space="preserve">enterica </w:t>
            </w:r>
            <w:r>
              <w:rPr>
                <w:rFonts w:ascii="Times New Roman" w:eastAsia="Times New Roman" w:hAnsi="Times New Roman" w:cs="Times New Roman"/>
                <w:sz w:val="16"/>
                <w:szCs w:val="16"/>
              </w:rPr>
              <w:t>serotipo Choleraesuis</w:t>
            </w:r>
          </w:p>
          <w:p w14:paraId="538FC195" w14:textId="77777777" w:rsidR="00D03C17" w:rsidRDefault="00D03C17">
            <w:pPr>
              <w:pStyle w:val="Other0"/>
              <w:spacing w:line="283" w:lineRule="auto"/>
              <w:ind w:firstLine="0"/>
              <w:rPr>
                <w:sz w:val="16"/>
                <w:szCs w:val="16"/>
              </w:rPr>
            </w:pPr>
            <w:r>
              <w:rPr>
                <w:rFonts w:ascii="Times New Roman" w:eastAsia="Times New Roman" w:hAnsi="Times New Roman" w:cs="Times New Roman"/>
                <w:i/>
                <w:iCs/>
                <w:sz w:val="16"/>
                <w:szCs w:val="16"/>
              </w:rPr>
              <w:t>S</w:t>
            </w:r>
            <w:r>
              <w:rPr>
                <w:rFonts w:ascii="Times New Roman" w:eastAsia="Times New Roman" w:hAnsi="Times New Roman" w:cs="Times New Roman"/>
                <w:sz w:val="16"/>
                <w:szCs w:val="16"/>
              </w:rPr>
              <w:t xml:space="preserve">. </w:t>
            </w:r>
            <w:r>
              <w:rPr>
                <w:rFonts w:ascii="Times New Roman" w:eastAsia="Times New Roman" w:hAnsi="Times New Roman" w:cs="Times New Roman"/>
                <w:i/>
                <w:iCs/>
                <w:sz w:val="16"/>
                <w:szCs w:val="16"/>
              </w:rPr>
              <w:t>enterica</w:t>
            </w:r>
            <w:r>
              <w:rPr>
                <w:rFonts w:ascii="Times New Roman" w:eastAsia="Times New Roman" w:hAnsi="Times New Roman" w:cs="Times New Roman"/>
                <w:sz w:val="16"/>
                <w:szCs w:val="16"/>
              </w:rPr>
              <w:t xml:space="preserve"> subespecie arizona</w:t>
            </w:r>
          </w:p>
        </w:tc>
        <w:tc>
          <w:tcPr>
            <w:tcW w:w="4546" w:type="dxa"/>
            <w:shd w:val="clear" w:color="auto" w:fill="FFFFFF"/>
          </w:tcPr>
          <w:p w14:paraId="4D025E99" w14:textId="77777777" w:rsidR="00D03C17" w:rsidRDefault="00D03C17">
            <w:pPr>
              <w:pStyle w:val="Other0"/>
              <w:tabs>
                <w:tab w:val="left" w:pos="2213"/>
              </w:tabs>
              <w:spacing w:after="220" w:line="240" w:lineRule="auto"/>
              <w:ind w:firstLine="0"/>
              <w:rPr>
                <w:sz w:val="16"/>
                <w:szCs w:val="16"/>
              </w:rPr>
            </w:pPr>
            <w:r>
              <w:rPr>
                <w:rFonts w:ascii="Times New Roman" w:eastAsia="Times New Roman" w:hAnsi="Times New Roman" w:cs="Times New Roman"/>
                <w:i/>
                <w:iCs/>
                <w:sz w:val="16"/>
                <w:szCs w:val="16"/>
              </w:rPr>
              <w:t>S</w:t>
            </w:r>
            <w:r>
              <w:rPr>
                <w:rFonts w:ascii="Times New Roman" w:eastAsia="Times New Roman" w:hAnsi="Times New Roman" w:cs="Times New Roman"/>
                <w:sz w:val="16"/>
                <w:szCs w:val="16"/>
              </w:rPr>
              <w:t>. ser. Typhi</w:t>
            </w:r>
            <w:r>
              <w:rPr>
                <w:rFonts w:ascii="Times New Roman" w:eastAsia="Times New Roman" w:hAnsi="Times New Roman" w:cs="Times New Roman"/>
                <w:sz w:val="16"/>
                <w:szCs w:val="16"/>
              </w:rPr>
              <w:tab/>
            </w:r>
            <w:r>
              <w:rPr>
                <w:rFonts w:ascii="Times New Roman" w:eastAsia="Times New Roman" w:hAnsi="Times New Roman" w:cs="Times New Roman"/>
                <w:i/>
                <w:iCs/>
                <w:sz w:val="16"/>
                <w:szCs w:val="16"/>
              </w:rPr>
              <w:t>S</w:t>
            </w:r>
            <w:r>
              <w:rPr>
                <w:rFonts w:ascii="Times New Roman" w:eastAsia="Times New Roman" w:hAnsi="Times New Roman" w:cs="Times New Roman"/>
                <w:sz w:val="16"/>
                <w:szCs w:val="16"/>
              </w:rPr>
              <w:t xml:space="preserve">. </w:t>
            </w:r>
            <w:r>
              <w:rPr>
                <w:rFonts w:ascii="Times New Roman" w:eastAsia="Times New Roman" w:hAnsi="Times New Roman" w:cs="Times New Roman"/>
                <w:i/>
                <w:iCs/>
                <w:sz w:val="16"/>
                <w:szCs w:val="16"/>
              </w:rPr>
              <w:t>typhi</w:t>
            </w:r>
          </w:p>
          <w:p w14:paraId="6EF3FBE1" w14:textId="77777777" w:rsidR="00D03C17" w:rsidRDefault="00D03C17">
            <w:pPr>
              <w:pStyle w:val="Other0"/>
              <w:tabs>
                <w:tab w:val="left" w:pos="2213"/>
              </w:tabs>
              <w:spacing w:after="220" w:line="240" w:lineRule="auto"/>
              <w:ind w:firstLine="0"/>
              <w:rPr>
                <w:sz w:val="16"/>
                <w:szCs w:val="16"/>
              </w:rPr>
            </w:pPr>
            <w:r>
              <w:rPr>
                <w:rFonts w:ascii="Times New Roman" w:eastAsia="Times New Roman" w:hAnsi="Times New Roman" w:cs="Times New Roman"/>
                <w:i/>
                <w:iCs/>
                <w:sz w:val="16"/>
                <w:szCs w:val="16"/>
              </w:rPr>
              <w:t>S</w:t>
            </w:r>
            <w:r>
              <w:rPr>
                <w:rFonts w:ascii="Times New Roman" w:eastAsia="Times New Roman" w:hAnsi="Times New Roman" w:cs="Times New Roman"/>
                <w:i/>
                <w:iCs/>
                <w:sz w:val="15"/>
                <w:szCs w:val="15"/>
              </w:rPr>
              <w:t>.</w:t>
            </w:r>
            <w:r>
              <w:rPr>
                <w:rFonts w:ascii="Times New Roman" w:eastAsia="Times New Roman" w:hAnsi="Times New Roman" w:cs="Times New Roman"/>
                <w:sz w:val="16"/>
                <w:szCs w:val="16"/>
              </w:rPr>
              <w:t xml:space="preserve"> ser. Typhimurium</w:t>
            </w:r>
            <w:r>
              <w:rPr>
                <w:rFonts w:ascii="Times New Roman" w:eastAsia="Times New Roman" w:hAnsi="Times New Roman" w:cs="Times New Roman"/>
                <w:sz w:val="16"/>
                <w:szCs w:val="16"/>
              </w:rPr>
              <w:tab/>
            </w:r>
            <w:r>
              <w:rPr>
                <w:rFonts w:ascii="Times New Roman" w:eastAsia="Times New Roman" w:hAnsi="Times New Roman" w:cs="Times New Roman"/>
                <w:i/>
                <w:iCs/>
                <w:sz w:val="16"/>
                <w:szCs w:val="16"/>
              </w:rPr>
              <w:t>S</w:t>
            </w:r>
            <w:r>
              <w:rPr>
                <w:rFonts w:ascii="Times New Roman" w:eastAsia="Times New Roman" w:hAnsi="Times New Roman" w:cs="Times New Roman"/>
                <w:sz w:val="16"/>
                <w:szCs w:val="16"/>
              </w:rPr>
              <w:t xml:space="preserve">. </w:t>
            </w:r>
            <w:r>
              <w:rPr>
                <w:rFonts w:ascii="Times New Roman" w:eastAsia="Times New Roman" w:hAnsi="Times New Roman" w:cs="Times New Roman"/>
                <w:i/>
                <w:iCs/>
                <w:sz w:val="16"/>
                <w:szCs w:val="16"/>
              </w:rPr>
              <w:t>typhimurium</w:t>
            </w:r>
          </w:p>
          <w:p w14:paraId="2112E0F3" w14:textId="77777777" w:rsidR="00D03C17" w:rsidRDefault="00D03C17">
            <w:pPr>
              <w:pStyle w:val="Other0"/>
              <w:tabs>
                <w:tab w:val="left" w:pos="2213"/>
              </w:tabs>
              <w:spacing w:after="220" w:line="240" w:lineRule="auto"/>
              <w:ind w:firstLine="0"/>
              <w:rPr>
                <w:sz w:val="16"/>
                <w:szCs w:val="16"/>
              </w:rPr>
            </w:pPr>
            <w:r>
              <w:rPr>
                <w:rFonts w:ascii="Times New Roman" w:eastAsia="Times New Roman" w:hAnsi="Times New Roman" w:cs="Times New Roman"/>
                <w:i/>
                <w:iCs/>
                <w:sz w:val="16"/>
                <w:szCs w:val="16"/>
              </w:rPr>
              <w:t>S</w:t>
            </w:r>
            <w:r>
              <w:rPr>
                <w:rFonts w:ascii="Times New Roman" w:eastAsia="Times New Roman" w:hAnsi="Times New Roman" w:cs="Times New Roman"/>
                <w:sz w:val="16"/>
                <w:szCs w:val="16"/>
              </w:rPr>
              <w:t>. ser.Newport</w:t>
            </w:r>
            <w:r>
              <w:rPr>
                <w:rFonts w:ascii="Times New Roman" w:eastAsia="Times New Roman" w:hAnsi="Times New Roman" w:cs="Times New Roman"/>
                <w:sz w:val="16"/>
                <w:szCs w:val="16"/>
              </w:rPr>
              <w:tab/>
            </w:r>
            <w:r>
              <w:rPr>
                <w:rFonts w:ascii="Times New Roman" w:eastAsia="Times New Roman" w:hAnsi="Times New Roman" w:cs="Times New Roman"/>
                <w:i/>
                <w:iCs/>
                <w:sz w:val="16"/>
                <w:szCs w:val="16"/>
              </w:rPr>
              <w:t>S</w:t>
            </w:r>
            <w:r>
              <w:rPr>
                <w:rFonts w:ascii="Times New Roman" w:eastAsia="Times New Roman" w:hAnsi="Times New Roman" w:cs="Times New Roman"/>
                <w:sz w:val="16"/>
                <w:szCs w:val="16"/>
              </w:rPr>
              <w:t xml:space="preserve">. </w:t>
            </w:r>
            <w:r>
              <w:rPr>
                <w:rFonts w:ascii="Times New Roman" w:eastAsia="Times New Roman" w:hAnsi="Times New Roman" w:cs="Times New Roman"/>
                <w:i/>
                <w:iCs/>
                <w:sz w:val="16"/>
                <w:szCs w:val="16"/>
              </w:rPr>
              <w:t>newport</w:t>
            </w:r>
          </w:p>
          <w:p w14:paraId="6C4C87A4" w14:textId="77777777" w:rsidR="00D03C17" w:rsidRDefault="00D03C17">
            <w:pPr>
              <w:pStyle w:val="Other0"/>
              <w:tabs>
                <w:tab w:val="left" w:pos="2213"/>
              </w:tabs>
              <w:spacing w:after="220" w:line="240" w:lineRule="auto"/>
              <w:ind w:firstLine="0"/>
              <w:rPr>
                <w:sz w:val="16"/>
                <w:szCs w:val="16"/>
              </w:rPr>
            </w:pPr>
            <w:r>
              <w:rPr>
                <w:rFonts w:ascii="Times New Roman" w:eastAsia="Times New Roman" w:hAnsi="Times New Roman" w:cs="Times New Roman"/>
                <w:i/>
                <w:iCs/>
                <w:sz w:val="16"/>
                <w:szCs w:val="16"/>
              </w:rPr>
              <w:t>S</w:t>
            </w:r>
            <w:r>
              <w:rPr>
                <w:rFonts w:ascii="Times New Roman" w:eastAsia="Times New Roman" w:hAnsi="Times New Roman" w:cs="Times New Roman"/>
                <w:sz w:val="16"/>
                <w:szCs w:val="16"/>
              </w:rPr>
              <w:t>. ser. Choleraesuis</w:t>
            </w:r>
            <w:r>
              <w:rPr>
                <w:rFonts w:ascii="Times New Roman" w:eastAsia="Times New Roman" w:hAnsi="Times New Roman" w:cs="Times New Roman"/>
                <w:sz w:val="16"/>
                <w:szCs w:val="16"/>
              </w:rPr>
              <w:tab/>
            </w:r>
            <w:r>
              <w:rPr>
                <w:rFonts w:ascii="Times New Roman" w:eastAsia="Times New Roman" w:hAnsi="Times New Roman" w:cs="Times New Roman"/>
                <w:i/>
                <w:iCs/>
                <w:sz w:val="16"/>
                <w:szCs w:val="16"/>
              </w:rPr>
              <w:t>S</w:t>
            </w:r>
            <w:r>
              <w:rPr>
                <w:rFonts w:ascii="Times New Roman" w:eastAsia="Times New Roman" w:hAnsi="Times New Roman" w:cs="Times New Roman"/>
                <w:sz w:val="16"/>
                <w:szCs w:val="16"/>
              </w:rPr>
              <w:t xml:space="preserve">. </w:t>
            </w:r>
            <w:r>
              <w:rPr>
                <w:rFonts w:ascii="Times New Roman" w:eastAsia="Times New Roman" w:hAnsi="Times New Roman" w:cs="Times New Roman"/>
                <w:i/>
                <w:iCs/>
                <w:sz w:val="16"/>
                <w:szCs w:val="16"/>
              </w:rPr>
              <w:t>choleraesuis</w:t>
            </w:r>
          </w:p>
          <w:p w14:paraId="4EFC95B7" w14:textId="77777777" w:rsidR="00D03C17" w:rsidRDefault="00D03C17">
            <w:pPr>
              <w:pStyle w:val="Other0"/>
              <w:tabs>
                <w:tab w:val="left" w:pos="2246"/>
              </w:tabs>
              <w:spacing w:line="240" w:lineRule="auto"/>
              <w:ind w:firstLine="0"/>
              <w:rPr>
                <w:sz w:val="16"/>
                <w:szCs w:val="16"/>
              </w:rPr>
            </w:pPr>
            <w:r>
              <w:rPr>
                <w:rFonts w:ascii="Times New Roman" w:eastAsia="Times New Roman" w:hAnsi="Times New Roman" w:cs="Times New Roman"/>
                <w:i/>
                <w:iCs/>
                <w:sz w:val="16"/>
                <w:szCs w:val="16"/>
              </w:rPr>
              <w:t>S</w:t>
            </w:r>
            <w:r>
              <w:rPr>
                <w:rFonts w:ascii="Times New Roman" w:eastAsia="Times New Roman" w:hAnsi="Times New Roman" w:cs="Times New Roman"/>
                <w:sz w:val="16"/>
                <w:szCs w:val="16"/>
              </w:rPr>
              <w:t>. ser. 18:z ,z :-</w:t>
            </w:r>
            <w:r>
              <w:rPr>
                <w:rFonts w:ascii="Times New Roman" w:eastAsia="Times New Roman" w:hAnsi="Times New Roman" w:cs="Times New Roman"/>
                <w:sz w:val="16"/>
                <w:szCs w:val="16"/>
              </w:rPr>
              <w:tab/>
            </w:r>
            <w:r>
              <w:rPr>
                <w:rFonts w:ascii="Times New Roman" w:eastAsia="Times New Roman" w:hAnsi="Times New Roman" w:cs="Times New Roman"/>
                <w:i/>
                <w:iCs/>
                <w:sz w:val="16"/>
                <w:szCs w:val="16"/>
              </w:rPr>
              <w:t>Arizona hinshawii</w:t>
            </w:r>
          </w:p>
          <w:p w14:paraId="4B086020" w14:textId="77777777" w:rsidR="00D03C17" w:rsidRDefault="00D03C17">
            <w:pPr>
              <w:pStyle w:val="Other0"/>
              <w:spacing w:after="220" w:line="180" w:lineRule="auto"/>
              <w:ind w:firstLine="820"/>
              <w:rPr>
                <w:sz w:val="10"/>
                <w:szCs w:val="10"/>
              </w:rPr>
            </w:pPr>
            <w:r>
              <w:rPr>
                <w:rFonts w:ascii="Times New Roman" w:eastAsia="Times New Roman" w:hAnsi="Times New Roman" w:cs="Times New Roman"/>
                <w:sz w:val="10"/>
                <w:szCs w:val="10"/>
              </w:rPr>
              <w:t>4 23</w:t>
            </w:r>
          </w:p>
        </w:tc>
      </w:tr>
    </w:tbl>
    <w:p w14:paraId="497B80C1" w14:textId="77777777" w:rsidR="00D03C17" w:rsidRDefault="00D03C17">
      <w:pPr>
        <w:pStyle w:val="Tablecaption0"/>
        <w:spacing w:line="240" w:lineRule="auto"/>
        <w:ind w:left="106"/>
        <w:rPr>
          <w:sz w:val="10"/>
          <w:szCs w:val="10"/>
        </w:rPr>
      </w:pPr>
      <w:r>
        <w:rPr>
          <w:sz w:val="16"/>
          <w:szCs w:val="16"/>
        </w:rPr>
        <w:t>serotipo 18:z</w:t>
      </w:r>
      <w:r>
        <w:rPr>
          <w:rFonts w:ascii="Garamond" w:eastAsia="Garamond" w:hAnsi="Garamond" w:cs="Garamond"/>
          <w:sz w:val="19"/>
          <w:szCs w:val="19"/>
          <w:vertAlign w:val="subscript"/>
        </w:rPr>
        <w:t>4</w:t>
      </w:r>
      <w:r>
        <w:rPr>
          <w:sz w:val="16"/>
          <w:szCs w:val="16"/>
        </w:rPr>
        <w:t>,z</w:t>
      </w:r>
      <w:r>
        <w:rPr>
          <w:sz w:val="10"/>
          <w:szCs w:val="10"/>
        </w:rPr>
        <w:t>23&gt;</w:t>
      </w:r>
    </w:p>
    <w:p w14:paraId="22073CBD" w14:textId="77777777" w:rsidR="00D03C17" w:rsidRDefault="00D03C17">
      <w:pPr>
        <w:spacing w:line="1" w:lineRule="exact"/>
      </w:pPr>
    </w:p>
    <w:tbl>
      <w:tblPr>
        <w:tblOverlap w:val="never"/>
        <w:tblW w:w="0" w:type="auto"/>
        <w:jc w:val="center"/>
        <w:tblLayout w:type="fixed"/>
        <w:tblCellMar>
          <w:left w:w="10" w:type="dxa"/>
          <w:right w:w="10" w:type="dxa"/>
        </w:tblCellMar>
        <w:tblLook w:val="04A0" w:firstRow="1" w:lastRow="0" w:firstColumn="1" w:lastColumn="0" w:noHBand="0" w:noVBand="1"/>
      </w:tblPr>
      <w:tblGrid>
        <w:gridCol w:w="2222"/>
        <w:gridCol w:w="4546"/>
      </w:tblGrid>
      <w:tr w:rsidR="00D03C17" w14:paraId="3169B06D" w14:textId="77777777">
        <w:tblPrEx>
          <w:tblCellMar>
            <w:top w:w="0" w:type="dxa"/>
            <w:bottom w:w="0" w:type="dxa"/>
          </w:tblCellMar>
        </w:tblPrEx>
        <w:trPr>
          <w:trHeight w:hRule="exact" w:val="566"/>
          <w:jc w:val="center"/>
        </w:trPr>
        <w:tc>
          <w:tcPr>
            <w:tcW w:w="2222" w:type="dxa"/>
            <w:tcBorders>
              <w:bottom w:val="single" w:sz="4" w:space="0" w:color="auto"/>
            </w:tcBorders>
            <w:shd w:val="clear" w:color="auto" w:fill="FFFFFF"/>
          </w:tcPr>
          <w:p w14:paraId="0AB1E339" w14:textId="77777777" w:rsidR="00D03C17" w:rsidRDefault="00D03C17">
            <w:pPr>
              <w:pStyle w:val="Other0"/>
              <w:spacing w:line="283" w:lineRule="auto"/>
              <w:ind w:firstLine="0"/>
              <w:rPr>
                <w:sz w:val="16"/>
                <w:szCs w:val="16"/>
              </w:rPr>
            </w:pPr>
            <w:r>
              <w:rPr>
                <w:rFonts w:ascii="Times New Roman" w:eastAsia="Times New Roman" w:hAnsi="Times New Roman" w:cs="Times New Roman"/>
                <w:i/>
                <w:iCs/>
                <w:sz w:val="16"/>
                <w:szCs w:val="16"/>
              </w:rPr>
              <w:t>S</w:t>
            </w:r>
            <w:r>
              <w:rPr>
                <w:rFonts w:ascii="Times New Roman" w:eastAsia="Times New Roman" w:hAnsi="Times New Roman" w:cs="Times New Roman"/>
                <w:sz w:val="16"/>
                <w:szCs w:val="16"/>
              </w:rPr>
              <w:t xml:space="preserve">. </w:t>
            </w:r>
            <w:r>
              <w:rPr>
                <w:rFonts w:ascii="Times New Roman" w:eastAsia="Times New Roman" w:hAnsi="Times New Roman" w:cs="Times New Roman"/>
                <w:i/>
                <w:iCs/>
                <w:sz w:val="16"/>
                <w:szCs w:val="16"/>
              </w:rPr>
              <w:t>enterica</w:t>
            </w:r>
            <w:r>
              <w:rPr>
                <w:rFonts w:ascii="Times New Roman" w:eastAsia="Times New Roman" w:hAnsi="Times New Roman" w:cs="Times New Roman"/>
                <w:sz w:val="16"/>
                <w:szCs w:val="16"/>
              </w:rPr>
              <w:t xml:space="preserve"> subespecie </w:t>
            </w:r>
            <w:r>
              <w:rPr>
                <w:rFonts w:ascii="Times New Roman" w:eastAsia="Times New Roman" w:hAnsi="Times New Roman" w:cs="Times New Roman"/>
                <w:i/>
                <w:iCs/>
                <w:sz w:val="16"/>
                <w:szCs w:val="16"/>
              </w:rPr>
              <w:t xml:space="preserve">houtenae </w:t>
            </w:r>
            <w:r>
              <w:rPr>
                <w:rFonts w:ascii="Times New Roman" w:eastAsia="Times New Roman" w:hAnsi="Times New Roman" w:cs="Times New Roman"/>
                <w:sz w:val="16"/>
                <w:szCs w:val="16"/>
              </w:rPr>
              <w:t>serotipo Marina</w:t>
            </w:r>
          </w:p>
        </w:tc>
        <w:tc>
          <w:tcPr>
            <w:tcW w:w="4546" w:type="dxa"/>
            <w:tcBorders>
              <w:bottom w:val="single" w:sz="4" w:space="0" w:color="auto"/>
            </w:tcBorders>
            <w:shd w:val="clear" w:color="auto" w:fill="FFFFFF"/>
          </w:tcPr>
          <w:p w14:paraId="6566BCE6" w14:textId="77777777" w:rsidR="00D03C17" w:rsidRDefault="00D03C17">
            <w:pPr>
              <w:pStyle w:val="Other0"/>
              <w:tabs>
                <w:tab w:val="left" w:pos="2261"/>
              </w:tabs>
              <w:spacing w:line="240" w:lineRule="auto"/>
              <w:ind w:firstLine="0"/>
              <w:rPr>
                <w:sz w:val="16"/>
                <w:szCs w:val="16"/>
              </w:rPr>
            </w:pPr>
            <w:r>
              <w:rPr>
                <w:rFonts w:ascii="Times New Roman" w:eastAsia="Times New Roman" w:hAnsi="Times New Roman" w:cs="Times New Roman"/>
                <w:i/>
                <w:iCs/>
                <w:sz w:val="16"/>
                <w:szCs w:val="16"/>
              </w:rPr>
              <w:t>S</w:t>
            </w:r>
            <w:r>
              <w:rPr>
                <w:rFonts w:ascii="Times New Roman" w:eastAsia="Times New Roman" w:hAnsi="Times New Roman" w:cs="Times New Roman"/>
                <w:sz w:val="16"/>
                <w:szCs w:val="16"/>
              </w:rPr>
              <w:t>. ser. Marina</w:t>
            </w:r>
            <w:r>
              <w:rPr>
                <w:rFonts w:ascii="Times New Roman" w:eastAsia="Times New Roman" w:hAnsi="Times New Roman" w:cs="Times New Roman"/>
                <w:sz w:val="16"/>
                <w:szCs w:val="16"/>
              </w:rPr>
              <w:tab/>
            </w:r>
            <w:r>
              <w:rPr>
                <w:rFonts w:ascii="Times New Roman" w:eastAsia="Times New Roman" w:hAnsi="Times New Roman" w:cs="Times New Roman"/>
                <w:i/>
                <w:iCs/>
                <w:sz w:val="16"/>
                <w:szCs w:val="16"/>
              </w:rPr>
              <w:t>S. marina</w:t>
            </w:r>
          </w:p>
        </w:tc>
      </w:tr>
    </w:tbl>
    <w:p w14:paraId="3EA21C84" w14:textId="77777777" w:rsidR="00D03C17" w:rsidRDefault="00D03C17">
      <w:pPr>
        <w:pStyle w:val="Tablecaption0"/>
        <w:spacing w:line="240" w:lineRule="auto"/>
        <w:ind w:left="10"/>
      </w:pPr>
      <w:r>
        <w:t xml:space="preserve">CDC, </w:t>
      </w:r>
      <w:r>
        <w:rPr>
          <w:i/>
          <w:iCs/>
        </w:rPr>
        <w:t>Centers por Disease Control and Prevention.</w:t>
      </w:r>
    </w:p>
    <w:p w14:paraId="6C2CC267" w14:textId="77777777" w:rsidR="00D03C17" w:rsidRDefault="00D03C17">
      <w:pPr>
        <w:pStyle w:val="Tablecaption0"/>
        <w:spacing w:line="240" w:lineRule="auto"/>
        <w:ind w:left="10"/>
      </w:pPr>
      <w:r>
        <w:rPr>
          <w:sz w:val="8"/>
          <w:szCs w:val="8"/>
          <w:vertAlign w:val="superscript"/>
        </w:rPr>
        <w:t>1</w:t>
      </w:r>
      <w:r>
        <w:rPr>
          <w:sz w:val="8"/>
          <w:szCs w:val="8"/>
        </w:rPr>
        <w:t xml:space="preserve"> </w:t>
      </w:r>
      <w:r>
        <w:t xml:space="preserve">Algunos especialistas usan </w:t>
      </w:r>
      <w:r>
        <w:rPr>
          <w:i/>
          <w:iCs/>
        </w:rPr>
        <w:t>choleraesuis</w:t>
      </w:r>
      <w:r>
        <w:t xml:space="preserve"> y </w:t>
      </w:r>
      <w:r>
        <w:rPr>
          <w:i/>
          <w:iCs/>
        </w:rPr>
        <w:t>enteritidis</w:t>
      </w:r>
      <w:r>
        <w:t xml:space="preserve"> como nombre de la especie.</w:t>
      </w:r>
    </w:p>
    <w:p w14:paraId="0C2ACA14" w14:textId="77777777" w:rsidR="00D03C17" w:rsidRDefault="00D03C17">
      <w:pPr>
        <w:pStyle w:val="BodyText"/>
        <w:ind w:firstLine="0"/>
      </w:pPr>
      <w:r>
        <w:t xml:space="preserve">laboratorio de acuerdo con lo notificado a la </w:t>
      </w:r>
      <w:r>
        <w:rPr>
          <w:rFonts w:ascii="Times New Roman" w:eastAsia="Times New Roman" w:hAnsi="Times New Roman" w:cs="Times New Roman"/>
          <w:i/>
          <w:iCs/>
          <w:sz w:val="16"/>
          <w:szCs w:val="16"/>
        </w:rPr>
        <w:t>Foodborne Diseases Active Surveillance Network (FoodNet).</w:t>
      </w:r>
      <w:r>
        <w:t xml:space="preserve"> En tres de ocho páginas o sitios estatales, se observó que las especies de </w:t>
      </w:r>
      <w:r>
        <w:rPr>
          <w:rFonts w:ascii="Times New Roman" w:eastAsia="Times New Roman" w:hAnsi="Times New Roman" w:cs="Times New Roman"/>
          <w:i/>
          <w:iCs/>
          <w:sz w:val="16"/>
          <w:szCs w:val="16"/>
        </w:rPr>
        <w:t>Salmonella</w:t>
      </w:r>
      <w:r>
        <w:t xml:space="preserve"> eran los patógenos intestinales notificados con más frecuencia.</w:t>
      </w:r>
    </w:p>
    <w:p w14:paraId="60972107" w14:textId="77777777" w:rsidR="00D03C17" w:rsidRDefault="00D03C17">
      <w:pPr>
        <w:pStyle w:val="BodyText"/>
        <w:ind w:firstLine="360"/>
      </w:pPr>
      <w:r>
        <w:t>El peligro de transmisión persiste durante todo el tiempo que dure la excreción de los microorganismos por las heces. Doce semanas después de la infección, 45% de los niños menores de cinco años excretan salmonelas en comparación con 5% de niños de mayor edad y adultos; la administración de antimicrobianos puede prolongar la excreción. En promedio, 1% de los pacientes sigue excretando salmonelas por más de un año (portadores crónicos).</w:t>
      </w:r>
    </w:p>
    <w:p w14:paraId="20DAF97D" w14:textId="77777777" w:rsidR="00D03C17" w:rsidRDefault="00D03C17">
      <w:pPr>
        <w:pStyle w:val="BodyText"/>
        <w:ind w:firstLine="360"/>
      </w:pPr>
      <w:r>
        <w:t xml:space="preserve">El </w:t>
      </w:r>
      <w:r>
        <w:rPr>
          <w:b/>
          <w:bCs/>
        </w:rPr>
        <w:t xml:space="preserve">periodo de incubación </w:t>
      </w:r>
      <w:r>
        <w:t xml:space="preserve">de la gastroenteritis es de 6 a 48 h. En el caso de la fiebre intestinal, el periodo de incubación es de tres a 60 días (por lo común siete a 14 días). </w:t>
      </w:r>
      <w:r>
        <w:rPr>
          <w:b/>
          <w:bCs/>
        </w:rPr>
        <w:t>M</w:t>
      </w:r>
      <w:r>
        <w:rPr>
          <w:b/>
          <w:bCs/>
          <w:sz w:val="13"/>
          <w:szCs w:val="13"/>
        </w:rPr>
        <w:t>ÉTODOS DIAGNÓSTICOS</w:t>
      </w:r>
      <w:r>
        <w:rPr>
          <w:b/>
          <w:bCs/>
        </w:rPr>
        <w:t xml:space="preserve">: </w:t>
      </w:r>
      <w:r>
        <w:t xml:space="preserve">La identificación de salmonelas en cultivos de excrementos, sangre, orina y material obtenido de focos de infección refuerza el diagnóstico. La gastroenteritis se diagnostica por medio del cultivo de excrementos. Se cuenta con métodos rápidos que utilizan inmunoanálisis enzimáticos, aglutinación de látex, sondas de DNA y anticuerpos monoclonales, y se utilizan en algunos laboratorios. No se recomienda aplicar métodos serológicos en busca de aglutininas de </w:t>
      </w:r>
      <w:r>
        <w:rPr>
          <w:rFonts w:ascii="Times New Roman" w:eastAsia="Times New Roman" w:hAnsi="Times New Roman" w:cs="Times New Roman"/>
          <w:i/>
          <w:iCs/>
          <w:sz w:val="16"/>
          <w:szCs w:val="16"/>
        </w:rPr>
        <w:t>Salmonella</w:t>
      </w:r>
      <w:r>
        <w:t xml:space="preserve"> (“pruebas febriles” [o prueba de Widal]).</w:t>
      </w:r>
    </w:p>
    <w:p w14:paraId="0BA1F220" w14:textId="77777777" w:rsidR="00D03C17" w:rsidRDefault="00D03C17">
      <w:pPr>
        <w:pStyle w:val="Other0"/>
        <w:spacing w:line="257" w:lineRule="auto"/>
        <w:ind w:firstLine="0"/>
        <w:rPr>
          <w:sz w:val="20"/>
          <w:szCs w:val="20"/>
        </w:rPr>
      </w:pPr>
      <w:r>
        <w:rPr>
          <w:b/>
          <w:bCs/>
          <w:smallCaps/>
          <w:sz w:val="20"/>
          <w:szCs w:val="20"/>
        </w:rPr>
        <w:t>T</w:t>
      </w:r>
      <w:r>
        <w:rPr>
          <w:b/>
          <w:bCs/>
          <w:smallCaps/>
          <w:sz w:val="16"/>
          <w:szCs w:val="16"/>
        </w:rPr>
        <w:t>ratamiento</w:t>
      </w:r>
      <w:r>
        <w:rPr>
          <w:b/>
          <w:bCs/>
          <w:smallCaps/>
          <w:sz w:val="20"/>
          <w:szCs w:val="20"/>
        </w:rPr>
        <w:t>:</w:t>
      </w:r>
    </w:p>
    <w:p w14:paraId="5ED27490" w14:textId="77777777" w:rsidR="00D03C17" w:rsidRDefault="00D03C17">
      <w:pPr>
        <w:pStyle w:val="BodyText"/>
        <w:numPr>
          <w:ilvl w:val="0"/>
          <w:numId w:val="94"/>
        </w:numPr>
        <w:tabs>
          <w:tab w:val="left" w:pos="341"/>
        </w:tabs>
        <w:ind w:left="360" w:hanging="360"/>
      </w:pPr>
      <w:bookmarkStart w:id="293" w:name="bookmark1299"/>
      <w:bookmarkEnd w:id="293"/>
      <w:r>
        <w:t xml:space="preserve">La administración de antimicrobianos no está indicada en niños con gastroenteritis no complicada (no invasora) causada por especies no tifoídicas de </w:t>
      </w:r>
      <w:r>
        <w:rPr>
          <w:rFonts w:ascii="Times New Roman" w:eastAsia="Times New Roman" w:hAnsi="Times New Roman" w:cs="Times New Roman"/>
          <w:i/>
          <w:iCs/>
          <w:sz w:val="16"/>
          <w:szCs w:val="16"/>
        </w:rPr>
        <w:t xml:space="preserve">Salmonella </w:t>
      </w:r>
      <w:r>
        <w:t>porque dicha terapia no acorta el lapso que dura la enfermedad y puede prolongar el tiempo de portador. A pesar de los beneficios no probados se recomienda administrar antimicrobianos en gastroenteritis causadas por especies de salmonelas en personas con un mayor peligro de mostrar enfermedad invasora, que incluyen lactantes menores de tres meses y niños con enfermedad crónica de vías gastrointestinales, cánceres, hemoglobinopatías, infección por VIH y otros cuadros o terapias inmunosupresoras o colitis intensa.</w:t>
      </w:r>
    </w:p>
    <w:p w14:paraId="4ACEA854" w14:textId="77777777" w:rsidR="00D03C17" w:rsidRDefault="00D03C17">
      <w:pPr>
        <w:pStyle w:val="BodyText"/>
        <w:numPr>
          <w:ilvl w:val="0"/>
          <w:numId w:val="94"/>
        </w:numPr>
        <w:tabs>
          <w:tab w:val="left" w:pos="341"/>
        </w:tabs>
        <w:ind w:left="360" w:hanging="360"/>
      </w:pPr>
      <w:bookmarkStart w:id="294" w:name="bookmark1300"/>
      <w:bookmarkEnd w:id="294"/>
      <w:r>
        <w:t xml:space="preserve">En el caso de ataque por cepas susceptibles en niños en quienes está indicado el tratamiento, se recomienda usar ampicilina, amoxicilina, trimetoprim- sulfametoxazol, cefotaxima o ceftriaxona sódicas. Las cepas provenientes de países en desarrollo suelen mostrar resistencia a muchos antimicrobianos, pero suelen ser susceptibles a la ceftriaxona o la cefotaxima y a las fluoroquinolonas (como la ciprofloxacina o la ofloxacina). Sin embargo, no se recomienda administrar fluoroquinolonas en niños menores de 18 años, salvo que los beneficios de su empleo superen los posibles riesgos con el uso de dichos fármacos (véase “Antimicrobianos y fármacos similares”, sección 4). Se ha observado una frecuencia cada vez mayor de farmacorresistencia de </w:t>
      </w:r>
      <w:r>
        <w:rPr>
          <w:rFonts w:ascii="Times New Roman" w:eastAsia="Times New Roman" w:hAnsi="Times New Roman" w:cs="Times New Roman"/>
          <w:i/>
          <w:iCs/>
          <w:sz w:val="16"/>
          <w:szCs w:val="16"/>
        </w:rPr>
        <w:t>S</w:t>
      </w:r>
      <w:r>
        <w:t xml:space="preserve">. serotipo Typhimurium y </w:t>
      </w:r>
      <w:r>
        <w:rPr>
          <w:rFonts w:ascii="Times New Roman" w:eastAsia="Times New Roman" w:hAnsi="Times New Roman" w:cs="Times New Roman"/>
          <w:i/>
          <w:iCs/>
          <w:sz w:val="16"/>
          <w:szCs w:val="16"/>
        </w:rPr>
        <w:t>S.</w:t>
      </w:r>
      <w:r>
        <w:t xml:space="preserve"> serotipo Newport, en infecciones surgidas por contacto intrahogareño, y en promedio 33% de salmonelas del serotipo Typhimurium son resistentes a la ampicilina, el cloranfenicol, el sulfato de estreptomicina, las sulfonamidas y la tetraciclina, y en promedio 11% de salmonelas del serotipo Newport son resistentes a la ceftriaxona.</w:t>
      </w:r>
    </w:p>
    <w:p w14:paraId="751C8D8E" w14:textId="77777777" w:rsidR="00D03C17" w:rsidRDefault="00D03C17">
      <w:pPr>
        <w:pStyle w:val="BodyText"/>
        <w:numPr>
          <w:ilvl w:val="0"/>
          <w:numId w:val="94"/>
        </w:numPr>
        <w:tabs>
          <w:tab w:val="left" w:pos="341"/>
        </w:tabs>
        <w:ind w:left="360" w:hanging="360"/>
      </w:pPr>
      <w:bookmarkStart w:id="295" w:name="bookmark1301"/>
      <w:bookmarkEnd w:id="295"/>
      <w:r>
        <w:t xml:space="preserve">En el caso de enfermedad invasora atribuida a especies de </w:t>
      </w:r>
      <w:r>
        <w:rPr>
          <w:rFonts w:ascii="Times New Roman" w:eastAsia="Times New Roman" w:hAnsi="Times New Roman" w:cs="Times New Roman"/>
          <w:i/>
          <w:iCs/>
          <w:sz w:val="16"/>
          <w:szCs w:val="16"/>
        </w:rPr>
        <w:t>Salmonella</w:t>
      </w:r>
      <w:r>
        <w:t xml:space="preserve"> (como una cepa tifoídica que cause bacteriemia no provocada por el serotipo Typhi u osteomielitis), entre los medicamentos adecuados están ampicilina, amoxicilina, cefotaxima, ceftriaxona, cloranfenicol, trimetoprim-sulfametoxazol o fluoroquinolona (véase “Antimicrobianos y fármacos similares”, sección 4). El fármaco más indicado, su vía de administración y duración de la terapia se basan en la susceptibilidad del microorganismo, sitio de infección, hospedador y respuesta clínica. Si la </w:t>
      </w:r>
      <w:r>
        <w:rPr>
          <w:rFonts w:ascii="Times New Roman" w:eastAsia="Times New Roman" w:hAnsi="Times New Roman" w:cs="Times New Roman"/>
          <w:i/>
          <w:iCs/>
          <w:sz w:val="16"/>
          <w:szCs w:val="16"/>
        </w:rPr>
        <w:t>Salmonella</w:t>
      </w:r>
      <w:r>
        <w:t xml:space="preserve"> del serotipo Typhi es susceptible, es adecuado administrar durante 14 días ampicilina, cloranfenicol o trimetoprim-sulfametoxazol. En niños en muy grave estado conviene la administración parenteral. En el caso de fiebre tifoidea atribuible a cepas resistentes a múltiples antimicrobianos (ampicilina, cloranfenicol, trimetoprim-sulfametoxazol), como las adquiridas sistemáticamente en la India, Pakistán y Egipto, entre las opciones terapéuticas están administrar durante siete a 10 días ceftriaxona o durante cinco a siete días ofloxacina o ciprofloxacina. Algunos pacientes necesitan tratamiento más duradero. La recaída es frecuente una vez terminado el tratamiento y en estos casos conviene repetirlo. Hay que interpretar con gran cuidado la susceptibilidad de la especie; se ha señalado ineficacia clínica en sujetos con fiebre tifoidea tratados con cefalexina, aminoglucósidos, furazolidona y cefalosporinas de la segunda generación, a pesar de que el microorganismo </w:t>
      </w:r>
      <w:r>
        <w:rPr>
          <w:rFonts w:ascii="Times New Roman" w:eastAsia="Times New Roman" w:hAnsi="Times New Roman" w:cs="Times New Roman"/>
          <w:i/>
          <w:iCs/>
          <w:sz w:val="16"/>
          <w:szCs w:val="16"/>
        </w:rPr>
        <w:t>in vitro</w:t>
      </w:r>
      <w:r>
        <w:t xml:space="preserve"> mostró susceptibilidad. En el caso de infecciones no localizadas invasoras, como la bacteriemia o la fiebre intestinal causada por especies no tifoídicas en hospedadores inmunocompetentes, sin localización, el tratamiento deberá abarcar 14 días; los niños con infección localizada, como serían osteomielitis o absceso, y pacientes que también tienen bacteriemia e infección por VIH, deben recibir tratamiento durante cuatro a seis semanas para evitar recaídas. En el caso de meningitis atribuible a especies de </w:t>
      </w:r>
      <w:r>
        <w:rPr>
          <w:rFonts w:ascii="Times New Roman" w:eastAsia="Times New Roman" w:hAnsi="Times New Roman" w:cs="Times New Roman"/>
          <w:i/>
          <w:iCs/>
          <w:sz w:val="16"/>
          <w:szCs w:val="16"/>
        </w:rPr>
        <w:t>Salmonella</w:t>
      </w:r>
      <w:r>
        <w:t xml:space="preserve"> se recomienda administrar ceftriaxona o cefotaxima durante cuatro semanas, como mínimo.</w:t>
      </w:r>
    </w:p>
    <w:p w14:paraId="636F8821" w14:textId="77777777" w:rsidR="00D03C17" w:rsidRDefault="00D03C17">
      <w:pPr>
        <w:pStyle w:val="BodyText"/>
        <w:numPr>
          <w:ilvl w:val="0"/>
          <w:numId w:val="94"/>
        </w:numPr>
        <w:tabs>
          <w:tab w:val="left" w:pos="341"/>
        </w:tabs>
        <w:ind w:left="360" w:hanging="360"/>
      </w:pPr>
      <w:bookmarkStart w:id="296" w:name="bookmark1302"/>
      <w:bookmarkEnd w:id="296"/>
      <w:r>
        <w:t xml:space="preserve">El estado de portador crónico de </w:t>
      </w:r>
      <w:r>
        <w:rPr>
          <w:rFonts w:ascii="Times New Roman" w:eastAsia="Times New Roman" w:hAnsi="Times New Roman" w:cs="Times New Roman"/>
          <w:i/>
          <w:iCs/>
          <w:sz w:val="16"/>
          <w:szCs w:val="16"/>
        </w:rPr>
        <w:t>S</w:t>
      </w:r>
      <w:r>
        <w:t xml:space="preserve">. serotipo Typhi (por un año o más) puede erradicarse en algunos niños por medio de dosis altas de ampicilina parenteral o de amoxicilina ingerible combinada con probenecid (véase “Antimicrobianos y fármacos similares”, sección 4). La ciprofloxacina es el medicamento más indicado para eliminar microorganismos de portadores adultos de </w:t>
      </w:r>
      <w:r>
        <w:rPr>
          <w:rFonts w:ascii="Times New Roman" w:eastAsia="Times New Roman" w:hAnsi="Times New Roman" w:cs="Times New Roman"/>
          <w:i/>
          <w:iCs/>
          <w:sz w:val="16"/>
          <w:szCs w:val="16"/>
        </w:rPr>
        <w:t>S</w:t>
      </w:r>
      <w:r>
        <w:t>. serotipo Typhi. La colecistectomía puede estar indicada en algunos casos en los que los cálculos vesiculares son un nido de gérmenes resistentes a tratamiento médico.</w:t>
      </w:r>
    </w:p>
    <w:p w14:paraId="48C64A75" w14:textId="77777777" w:rsidR="00D03C17" w:rsidRDefault="00D03C17">
      <w:pPr>
        <w:pStyle w:val="BodyText"/>
        <w:numPr>
          <w:ilvl w:val="0"/>
          <w:numId w:val="94"/>
        </w:numPr>
        <w:tabs>
          <w:tab w:val="left" w:pos="341"/>
        </w:tabs>
        <w:ind w:left="360" w:hanging="360"/>
      </w:pPr>
      <w:bookmarkStart w:id="297" w:name="bookmark1303"/>
      <w:bookmarkEnd w:id="297"/>
      <w:r>
        <w:t>Los corticosteroides pueden ser beneficiosos en niños con fiebre intestinal grave, que se caracteriza por delirio, hiporreflexia, estupor, coma o choque. Sin embargo, habrá que reservar tales preparados para niños en estado crítico en quienes aplacar las manifestaciones de la toxemia puede salvar la vida. El régimen usual incluye dosis altas de dexametasona intravenosa con una dosis inicial de 3 mg/kg de peso seguida de 1 mg/kg de peso cada 6 h durante un lapso total de 48 horas.</w:t>
      </w:r>
    </w:p>
    <w:p w14:paraId="7A2336A1" w14:textId="77777777" w:rsidR="00D03C17" w:rsidRDefault="00D03C17">
      <w:pPr>
        <w:pStyle w:val="BodyText"/>
        <w:ind w:firstLine="0"/>
      </w:pPr>
      <w:r>
        <w:rPr>
          <w:b/>
          <w:bCs/>
        </w:rPr>
        <w:t>A</w:t>
      </w:r>
      <w:r>
        <w:rPr>
          <w:b/>
          <w:bCs/>
          <w:sz w:val="13"/>
          <w:szCs w:val="13"/>
        </w:rPr>
        <w:t xml:space="preserve">ISLAMIENTO </w:t>
      </w:r>
      <w:r>
        <w:rPr>
          <w:b/>
          <w:bCs/>
          <w:smallCaps/>
          <w:sz w:val="16"/>
          <w:szCs w:val="16"/>
        </w:rPr>
        <w:t>del</w:t>
      </w:r>
      <w:r>
        <w:rPr>
          <w:b/>
          <w:bCs/>
          <w:sz w:val="13"/>
          <w:szCs w:val="13"/>
        </w:rPr>
        <w:t xml:space="preserve"> PACIENTE HOSPITALIZADO</w:t>
      </w:r>
      <w:r>
        <w:rPr>
          <w:b/>
          <w:bCs/>
        </w:rPr>
        <w:t xml:space="preserve">: </w:t>
      </w:r>
      <w:r>
        <w:t>Además de las precauciones estándar habrá que recurrir a las que se siguen para evitar la transmisión por contacto en el caso de niños con pañales e incontinentes durante todo el tiempo que dure la enfermedad. En menores con fiebre tifoidea habrá que continuar las precauciones hasta que los resultados de cultivos de tres muestras consecutivas de excremento obtenidas como mínimo 48 h después de interrumpir el tratamiento antimicrobiano, sean negativas, es decir, no haya gérmenes.</w:t>
      </w:r>
    </w:p>
    <w:p w14:paraId="33F3AD4F" w14:textId="77777777" w:rsidR="00D03C17" w:rsidRDefault="00D03C17">
      <w:pPr>
        <w:pStyle w:val="BodyText"/>
        <w:ind w:firstLine="0"/>
      </w:pPr>
      <w:r>
        <w:rPr>
          <w:b/>
          <w:bCs/>
        </w:rPr>
        <w:t>M</w:t>
      </w:r>
      <w:r>
        <w:rPr>
          <w:b/>
          <w:bCs/>
          <w:sz w:val="13"/>
          <w:szCs w:val="13"/>
        </w:rPr>
        <w:t>EDIDAS PREVENTIVAS</w:t>
      </w:r>
      <w:r>
        <w:rPr>
          <w:b/>
          <w:bCs/>
        </w:rPr>
        <w:t xml:space="preserve">: </w:t>
      </w:r>
      <w:r>
        <w:t>Entre las medidas importantes están los métodos de sanidad e higiene adecuados para la preparación de alimentos, los abastos sanitarios de agua, la higiene apropiada de las manos, la eliminación higiénica de aguas de desecho o servidas, la exclusión de personas infectadas de modo que no manejen alimentos ni se encarguen de la atención de la salud, prohibición de la venta de tortuguitas de mascotas y limitación de la de otros reptiles con ese fin, notificación de los casos a las autoridades sanitarias apropiadas e investigación de los brotes. Es importante cocer lo mejor posible los huevos y otros alimentos de origen animal. Será mejor no consumir huevos crudos ni alimentos que los contengan. Otras medidas importantes para detección e investigación de brotes son la notificación a las autoridades sanitarias públicas y la identificación del serotipo.</w:t>
      </w:r>
    </w:p>
    <w:p w14:paraId="264C7C0E" w14:textId="77777777" w:rsidR="00D03C17" w:rsidRDefault="00D03C17">
      <w:pPr>
        <w:pStyle w:val="BodyText"/>
        <w:spacing w:line="276" w:lineRule="auto"/>
        <w:ind w:firstLine="360"/>
      </w:pPr>
      <w:r>
        <w:rPr>
          <w:rFonts w:ascii="Arial" w:eastAsia="Arial" w:hAnsi="Arial" w:cs="Arial"/>
          <w:b/>
          <w:bCs/>
          <w:i/>
          <w:iCs/>
          <w:sz w:val="15"/>
          <w:szCs w:val="15"/>
        </w:rPr>
        <w:t>Cuidado del niño</w:t>
      </w:r>
      <w:r>
        <w:rPr>
          <w:i/>
          <w:iCs/>
        </w:rPr>
        <w:t>.</w:t>
      </w:r>
      <w:r>
        <w:t xml:space="preserve"> Son raros los brotes de infección por salmonelas, pero se han identificado en programas de atención infantil. Las estrategias específicas para desterrar infecciones en las unidades de cuidados extrahogareños incluyen cumplir las prácticas higiénicas, entre ellas la higiene meticulosa de las manos (véase “Niños en el sistema asistencial extrahogareño”, sección 2).</w:t>
      </w:r>
    </w:p>
    <w:p w14:paraId="5F3FDC15" w14:textId="77777777" w:rsidR="00D03C17" w:rsidRDefault="00D03C17">
      <w:pPr>
        <w:pStyle w:val="BodyText"/>
        <w:ind w:firstLine="360"/>
      </w:pPr>
      <w:r>
        <w:t xml:space="preserve">Si en un niño sintomático que acude a una unidad de atención infantil o en un miembro del personal que en ella labora se identifica una infección por </w:t>
      </w:r>
      <w:r>
        <w:rPr>
          <w:rFonts w:ascii="Times New Roman" w:eastAsia="Times New Roman" w:hAnsi="Times New Roman" w:cs="Times New Roman"/>
          <w:i/>
          <w:iCs/>
          <w:sz w:val="16"/>
          <w:szCs w:val="16"/>
        </w:rPr>
        <w:t>5</w:t>
      </w:r>
      <w:r>
        <w:t>. serotipo Typhi, habrá que hacer cultivo de excremento de los demás niños y miembros del personal y excluir a todas las personas infectadas. La duración de la exclusión recomendada varía con la edad del paciente; en niños menores de cinco años se recomienda para reintegrar al pequeño a la unidad, que tres muestras de excremento sean negativas. En los que tienen cinco años o más, se recomienda que hayan transcurrido 24 h sin diarrea antes de reincorporarse a los grupos de atención.</w:t>
      </w:r>
    </w:p>
    <w:p w14:paraId="2FEAF7E8" w14:textId="77777777" w:rsidR="00D03C17" w:rsidRDefault="00D03C17">
      <w:pPr>
        <w:pStyle w:val="BodyText"/>
        <w:ind w:firstLine="360"/>
      </w:pPr>
      <w:r>
        <w:t xml:space="preserve">Cuando se identifican serotipos diferentes de </w:t>
      </w:r>
      <w:r>
        <w:rPr>
          <w:rFonts w:ascii="Times New Roman" w:eastAsia="Times New Roman" w:hAnsi="Times New Roman" w:cs="Times New Roman"/>
          <w:i/>
          <w:iCs/>
          <w:sz w:val="16"/>
          <w:szCs w:val="16"/>
        </w:rPr>
        <w:t>5</w:t>
      </w:r>
      <w:r>
        <w:t>. serotipo Typhi en niños sintomáticos atendidos en unidades de asistencia infantiles o en miembros del personal que tienen enterocolitis, no es necesario excluir a los niños de mayor edad y el resto del personal salvo que muestren síntomas. No se impone la práctica de cultivos de excremento en los contactos asintomáticos. Tampoco se recomienda administrar antimicrobianos en personas con infección asintomática o diarrea no complicada o en niños que son contactos de una persona infectada.</w:t>
      </w:r>
    </w:p>
    <w:p w14:paraId="643556CC" w14:textId="77777777" w:rsidR="00D03C17" w:rsidRDefault="00D03C17">
      <w:pPr>
        <w:pStyle w:val="BodyText"/>
        <w:spacing w:line="283" w:lineRule="auto"/>
        <w:ind w:firstLine="360"/>
      </w:pPr>
      <w:r>
        <w:rPr>
          <w:rFonts w:ascii="Arial" w:eastAsia="Arial" w:hAnsi="Arial" w:cs="Arial"/>
          <w:b/>
          <w:bCs/>
          <w:i/>
          <w:iCs/>
          <w:sz w:val="15"/>
          <w:szCs w:val="15"/>
        </w:rPr>
        <w:t>Vacuna contra la tifoidea.</w:t>
      </w:r>
      <w:r>
        <w:t xml:space="preserve"> La resistencia a la infección por </w:t>
      </w:r>
      <w:r>
        <w:rPr>
          <w:rFonts w:ascii="Times New Roman" w:eastAsia="Times New Roman" w:hAnsi="Times New Roman" w:cs="Times New Roman"/>
          <w:i/>
          <w:iCs/>
          <w:sz w:val="16"/>
          <w:szCs w:val="16"/>
        </w:rPr>
        <w:t>5</w:t>
      </w:r>
      <w:r>
        <w:t>. serotipo Typhi se intensifica gracias a la vacunación contra la tifoidea, pero es escaso el grado de protección que se obtiene con las vacunas disponibles en la actualidad. En Estados Unidos se han aprobado dos vacunas contra dicha enfermedad (véase cuadro 3-61).</w:t>
      </w:r>
    </w:p>
    <w:p w14:paraId="6D4FAFF1" w14:textId="77777777" w:rsidR="00D03C17" w:rsidRDefault="00D03C17">
      <w:pPr>
        <w:pStyle w:val="BodyText"/>
        <w:spacing w:after="100"/>
        <w:ind w:firstLine="360"/>
      </w:pPr>
      <w:r>
        <w:t>La eficacia demostrada de las dos vacunas aprobadas varía de 50 a 80%. La vacuna se escoge con base en la edad del niño, la necesidad de dosis de refuerzo y las contraindicaciones y reacciones posibles (véase “Precauciones y contraindicaciones” y “Reacciones adversas”, más adelante en este resumen).</w:t>
      </w:r>
    </w:p>
    <w:p w14:paraId="251D969B" w14:textId="77777777" w:rsidR="00D03C17" w:rsidRDefault="00D03C17">
      <w:pPr>
        <w:pStyle w:val="Heading31"/>
        <w:keepNext/>
        <w:keepLines/>
        <w:spacing w:after="100" w:line="211" w:lineRule="auto"/>
        <w:jc w:val="center"/>
      </w:pPr>
      <w:bookmarkStart w:id="298" w:name="bookmark1304"/>
      <w:bookmarkStart w:id="299" w:name="bookmark1305"/>
      <w:bookmarkStart w:id="300" w:name="bookmark1306"/>
      <w:r>
        <w:rPr>
          <w:b w:val="0"/>
          <w:bCs w:val="0"/>
        </w:rPr>
        <w:t xml:space="preserve">Cuadro 3-61. </w:t>
      </w:r>
      <w:r>
        <w:t>Vacunas contra la tifoidea que pueden obtenerse</w:t>
      </w:r>
      <w:r>
        <w:br/>
        <w:t>en Estados Unidos</w:t>
      </w:r>
      <w:bookmarkEnd w:id="298"/>
      <w:bookmarkEnd w:id="299"/>
      <w:bookmarkEnd w:id="300"/>
    </w:p>
    <w:tbl>
      <w:tblPr>
        <w:tblOverlap w:val="never"/>
        <w:tblW w:w="0" w:type="auto"/>
        <w:jc w:val="center"/>
        <w:tblLayout w:type="fixed"/>
        <w:tblCellMar>
          <w:left w:w="10" w:type="dxa"/>
          <w:right w:w="10" w:type="dxa"/>
        </w:tblCellMar>
        <w:tblLook w:val="04A0" w:firstRow="1" w:lastRow="0" w:firstColumn="1" w:lastColumn="0" w:noHBand="0" w:noVBand="1"/>
      </w:tblPr>
      <w:tblGrid>
        <w:gridCol w:w="883"/>
        <w:gridCol w:w="989"/>
        <w:gridCol w:w="1046"/>
        <w:gridCol w:w="830"/>
        <w:gridCol w:w="653"/>
        <w:gridCol w:w="1272"/>
        <w:gridCol w:w="1186"/>
      </w:tblGrid>
      <w:tr w:rsidR="00D03C17" w14:paraId="037FC7EA" w14:textId="77777777">
        <w:tblPrEx>
          <w:tblCellMar>
            <w:top w:w="0" w:type="dxa"/>
            <w:bottom w:w="0" w:type="dxa"/>
          </w:tblCellMar>
        </w:tblPrEx>
        <w:trPr>
          <w:trHeight w:hRule="exact" w:val="1373"/>
          <w:jc w:val="center"/>
        </w:trPr>
        <w:tc>
          <w:tcPr>
            <w:tcW w:w="883" w:type="dxa"/>
            <w:shd w:val="clear" w:color="auto" w:fill="231F20"/>
          </w:tcPr>
          <w:p w14:paraId="7B277B11" w14:textId="77777777" w:rsidR="00D03C17" w:rsidRDefault="00D03C17">
            <w:pPr>
              <w:pStyle w:val="Other0"/>
              <w:pBdr>
                <w:top w:val="single" w:sz="0" w:space="0" w:color="231F20"/>
                <w:left w:val="single" w:sz="0" w:space="0" w:color="231F20"/>
                <w:bottom w:val="single" w:sz="0" w:space="0" w:color="231F20"/>
                <w:right w:val="single" w:sz="0" w:space="0" w:color="231F20"/>
              </w:pBdr>
              <w:shd w:val="clear" w:color="auto" w:fill="231F20"/>
              <w:spacing w:line="211" w:lineRule="auto"/>
              <w:ind w:firstLine="0"/>
              <w:rPr>
                <w:sz w:val="24"/>
                <w:szCs w:val="24"/>
              </w:rPr>
            </w:pPr>
            <w:r>
              <w:rPr>
                <w:rFonts w:ascii="Arial" w:eastAsia="Arial" w:hAnsi="Arial" w:cs="Arial"/>
                <w:b/>
                <w:bCs/>
                <w:color w:val="FFFFFF"/>
                <w:w w:val="70"/>
                <w:sz w:val="24"/>
                <w:szCs w:val="24"/>
              </w:rPr>
              <w:t>Vacuna contra la tifoidea</w:t>
            </w:r>
          </w:p>
        </w:tc>
        <w:tc>
          <w:tcPr>
            <w:tcW w:w="989" w:type="dxa"/>
            <w:shd w:val="clear" w:color="auto" w:fill="231F20"/>
          </w:tcPr>
          <w:p w14:paraId="34A9354F" w14:textId="77777777" w:rsidR="00D03C17" w:rsidRDefault="00D03C17">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Tipo</w:t>
            </w:r>
          </w:p>
        </w:tc>
        <w:tc>
          <w:tcPr>
            <w:tcW w:w="1046" w:type="dxa"/>
            <w:shd w:val="clear" w:color="auto" w:fill="231F20"/>
          </w:tcPr>
          <w:p w14:paraId="5A6EF489" w14:textId="77777777" w:rsidR="00D03C17" w:rsidRDefault="00D03C17">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Vía</w:t>
            </w:r>
          </w:p>
        </w:tc>
        <w:tc>
          <w:tcPr>
            <w:tcW w:w="830" w:type="dxa"/>
            <w:shd w:val="clear" w:color="auto" w:fill="231F20"/>
          </w:tcPr>
          <w:p w14:paraId="6DA807A1" w14:textId="77777777" w:rsidR="00D03C17" w:rsidRDefault="00D03C17">
            <w:pPr>
              <w:pStyle w:val="Other0"/>
              <w:pBdr>
                <w:top w:val="single" w:sz="0" w:space="0" w:color="231F20"/>
                <w:left w:val="single" w:sz="0" w:space="0" w:color="231F20"/>
                <w:bottom w:val="single" w:sz="0" w:space="0" w:color="231F20"/>
                <w:right w:val="single" w:sz="0" w:space="0" w:color="231F20"/>
              </w:pBdr>
              <w:shd w:val="clear" w:color="auto" w:fill="231F20"/>
              <w:spacing w:line="209" w:lineRule="auto"/>
              <w:ind w:firstLine="0"/>
              <w:rPr>
                <w:sz w:val="24"/>
                <w:szCs w:val="24"/>
              </w:rPr>
            </w:pPr>
            <w:r>
              <w:rPr>
                <w:rFonts w:ascii="Arial" w:eastAsia="Arial" w:hAnsi="Arial" w:cs="Arial"/>
                <w:b/>
                <w:bCs/>
                <w:color w:val="FFFFFF"/>
                <w:w w:val="70"/>
                <w:sz w:val="24"/>
                <w:szCs w:val="24"/>
              </w:rPr>
              <w:t>Edad mínima en años para aplicarla</w:t>
            </w:r>
          </w:p>
        </w:tc>
        <w:tc>
          <w:tcPr>
            <w:tcW w:w="653" w:type="dxa"/>
            <w:shd w:val="clear" w:color="auto" w:fill="231F20"/>
          </w:tcPr>
          <w:p w14:paraId="62399FDA" w14:textId="77777777" w:rsidR="00D03C17" w:rsidRDefault="00D03C17">
            <w:pPr>
              <w:pStyle w:val="Other0"/>
              <w:pBdr>
                <w:top w:val="single" w:sz="0" w:space="0" w:color="231F20"/>
                <w:left w:val="single" w:sz="0" w:space="0" w:color="231F20"/>
                <w:bottom w:val="single" w:sz="0" w:space="0" w:color="231F20"/>
                <w:right w:val="single" w:sz="0" w:space="0" w:color="231F20"/>
              </w:pBdr>
              <w:shd w:val="clear" w:color="auto" w:fill="231F20"/>
              <w:spacing w:line="218" w:lineRule="auto"/>
              <w:ind w:firstLine="0"/>
              <w:rPr>
                <w:sz w:val="8"/>
                <w:szCs w:val="8"/>
              </w:rPr>
            </w:pPr>
            <w:r>
              <w:rPr>
                <w:rFonts w:ascii="Arial" w:eastAsia="Arial" w:hAnsi="Arial" w:cs="Arial"/>
                <w:b/>
                <w:bCs/>
                <w:color w:val="FFFFFF"/>
                <w:w w:val="70"/>
                <w:sz w:val="24"/>
                <w:szCs w:val="24"/>
              </w:rPr>
              <w:t>No. de dosis</w:t>
            </w:r>
            <w:r>
              <w:rPr>
                <w:rFonts w:ascii="Times New Roman" w:eastAsia="Times New Roman" w:hAnsi="Times New Roman" w:cs="Times New Roman"/>
                <w:color w:val="FFFFFF"/>
                <w:sz w:val="8"/>
                <w:szCs w:val="8"/>
                <w:vertAlign w:val="superscript"/>
              </w:rPr>
              <w:t>1</w:t>
            </w:r>
          </w:p>
        </w:tc>
        <w:tc>
          <w:tcPr>
            <w:tcW w:w="1272" w:type="dxa"/>
            <w:shd w:val="clear" w:color="auto" w:fill="231F20"/>
          </w:tcPr>
          <w:p w14:paraId="57B64B7B" w14:textId="77777777" w:rsidR="00D03C17" w:rsidRDefault="00D03C17">
            <w:pPr>
              <w:pStyle w:val="Other0"/>
              <w:pBdr>
                <w:top w:val="single" w:sz="0" w:space="0" w:color="231F20"/>
                <w:left w:val="single" w:sz="0" w:space="0" w:color="231F20"/>
                <w:bottom w:val="single" w:sz="0" w:space="0" w:color="231F20"/>
                <w:right w:val="single" w:sz="0" w:space="0" w:color="231F20"/>
              </w:pBdr>
              <w:shd w:val="clear" w:color="auto" w:fill="231F20"/>
              <w:spacing w:line="211" w:lineRule="auto"/>
              <w:ind w:firstLine="0"/>
              <w:rPr>
                <w:sz w:val="24"/>
                <w:szCs w:val="24"/>
              </w:rPr>
            </w:pPr>
            <w:r>
              <w:rPr>
                <w:rFonts w:ascii="Arial" w:eastAsia="Arial" w:hAnsi="Arial" w:cs="Arial"/>
                <w:b/>
                <w:bCs/>
                <w:color w:val="FFFFFF"/>
                <w:w w:val="70"/>
                <w:sz w:val="24"/>
                <w:szCs w:val="24"/>
              </w:rPr>
              <w:t>Frecuencia de aplicación de dosis de refuerzo en años</w:t>
            </w:r>
          </w:p>
        </w:tc>
        <w:tc>
          <w:tcPr>
            <w:tcW w:w="1186" w:type="dxa"/>
            <w:shd w:val="clear" w:color="auto" w:fill="231F20"/>
          </w:tcPr>
          <w:p w14:paraId="077A8CFF" w14:textId="77777777" w:rsidR="00D03C17" w:rsidRDefault="00D03C17">
            <w:pPr>
              <w:pStyle w:val="Other0"/>
              <w:pBdr>
                <w:top w:val="single" w:sz="0" w:space="0" w:color="231F20"/>
                <w:left w:val="single" w:sz="0" w:space="0" w:color="231F20"/>
                <w:bottom w:val="single" w:sz="0" w:space="0" w:color="231F20"/>
                <w:right w:val="single" w:sz="0" w:space="0" w:color="231F20"/>
              </w:pBdr>
              <w:shd w:val="clear" w:color="auto" w:fill="231F20"/>
              <w:spacing w:line="223" w:lineRule="auto"/>
              <w:ind w:firstLine="0"/>
              <w:rPr>
                <w:sz w:val="24"/>
                <w:szCs w:val="24"/>
              </w:rPr>
            </w:pPr>
            <w:r>
              <w:rPr>
                <w:rFonts w:ascii="Arial" w:eastAsia="Arial" w:hAnsi="Arial" w:cs="Arial"/>
                <w:b/>
                <w:bCs/>
                <w:color w:val="FFFFFF"/>
                <w:w w:val="70"/>
                <w:sz w:val="24"/>
                <w:szCs w:val="24"/>
              </w:rPr>
              <w:t>Efectos adversos (incidencia, %)</w:t>
            </w:r>
          </w:p>
        </w:tc>
      </w:tr>
      <w:tr w:rsidR="00D03C17" w14:paraId="1C595FD0" w14:textId="77777777">
        <w:tblPrEx>
          <w:tblCellMar>
            <w:top w:w="0" w:type="dxa"/>
            <w:bottom w:w="0" w:type="dxa"/>
          </w:tblCellMar>
        </w:tblPrEx>
        <w:trPr>
          <w:trHeight w:hRule="exact" w:val="917"/>
          <w:jc w:val="center"/>
        </w:trPr>
        <w:tc>
          <w:tcPr>
            <w:tcW w:w="883" w:type="dxa"/>
            <w:shd w:val="clear" w:color="auto" w:fill="FFFFFF"/>
          </w:tcPr>
          <w:p w14:paraId="5825151A"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Ty21a</w:t>
            </w:r>
          </w:p>
        </w:tc>
        <w:tc>
          <w:tcPr>
            <w:tcW w:w="989" w:type="dxa"/>
            <w:shd w:val="clear" w:color="auto" w:fill="FFFFFF"/>
            <w:vAlign w:val="bottom"/>
          </w:tcPr>
          <w:p w14:paraId="21A77005" w14:textId="77777777" w:rsidR="00D03C17" w:rsidRDefault="00D03C17">
            <w:pPr>
              <w:pStyle w:val="Other0"/>
              <w:spacing w:line="283" w:lineRule="auto"/>
              <w:ind w:left="140" w:hanging="140"/>
              <w:rPr>
                <w:sz w:val="16"/>
                <w:szCs w:val="16"/>
              </w:rPr>
            </w:pPr>
            <w:r>
              <w:rPr>
                <w:rFonts w:ascii="Times New Roman" w:eastAsia="Times New Roman" w:hAnsi="Times New Roman" w:cs="Times New Roman"/>
                <w:sz w:val="16"/>
                <w:szCs w:val="16"/>
              </w:rPr>
              <w:t>Microorga</w:t>
            </w:r>
            <w:r>
              <w:rPr>
                <w:rFonts w:ascii="Times New Roman" w:eastAsia="Times New Roman" w:hAnsi="Times New Roman" w:cs="Times New Roman"/>
                <w:sz w:val="16"/>
                <w:szCs w:val="16"/>
              </w:rPr>
              <w:softHyphen/>
              <w:t>nismos vivos atenuados</w:t>
            </w:r>
          </w:p>
        </w:tc>
        <w:tc>
          <w:tcPr>
            <w:tcW w:w="1046" w:type="dxa"/>
            <w:shd w:val="clear" w:color="auto" w:fill="FFFFFF"/>
          </w:tcPr>
          <w:p w14:paraId="2F814709"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Oral</w:t>
            </w:r>
          </w:p>
        </w:tc>
        <w:tc>
          <w:tcPr>
            <w:tcW w:w="830" w:type="dxa"/>
            <w:shd w:val="clear" w:color="auto" w:fill="FFFFFF"/>
          </w:tcPr>
          <w:p w14:paraId="0D8EE83C"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6</w:t>
            </w:r>
          </w:p>
        </w:tc>
        <w:tc>
          <w:tcPr>
            <w:tcW w:w="653" w:type="dxa"/>
            <w:shd w:val="clear" w:color="auto" w:fill="FFFFFF"/>
          </w:tcPr>
          <w:p w14:paraId="3E6FEF9B"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4</w:t>
            </w:r>
          </w:p>
        </w:tc>
        <w:tc>
          <w:tcPr>
            <w:tcW w:w="1272" w:type="dxa"/>
            <w:shd w:val="clear" w:color="auto" w:fill="FFFFFF"/>
          </w:tcPr>
          <w:p w14:paraId="6747F4C8"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5</w:t>
            </w:r>
          </w:p>
        </w:tc>
        <w:tc>
          <w:tcPr>
            <w:tcW w:w="1186" w:type="dxa"/>
            <w:shd w:val="clear" w:color="auto" w:fill="FFFFFF"/>
          </w:tcPr>
          <w:p w14:paraId="4E8696F0"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&lt;5</w:t>
            </w:r>
          </w:p>
        </w:tc>
      </w:tr>
      <w:tr w:rsidR="00D03C17" w14:paraId="7143A1BF" w14:textId="77777777">
        <w:tblPrEx>
          <w:tblCellMar>
            <w:top w:w="0" w:type="dxa"/>
            <w:bottom w:w="0" w:type="dxa"/>
          </w:tblCellMar>
        </w:tblPrEx>
        <w:trPr>
          <w:trHeight w:hRule="exact" w:val="326"/>
          <w:jc w:val="center"/>
        </w:trPr>
        <w:tc>
          <w:tcPr>
            <w:tcW w:w="883" w:type="dxa"/>
            <w:tcBorders>
              <w:bottom w:val="single" w:sz="4" w:space="0" w:color="auto"/>
            </w:tcBorders>
            <w:shd w:val="clear" w:color="auto" w:fill="FFFFFF"/>
          </w:tcPr>
          <w:p w14:paraId="2BBD743F"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ViCPS</w:t>
            </w:r>
          </w:p>
        </w:tc>
        <w:tc>
          <w:tcPr>
            <w:tcW w:w="989" w:type="dxa"/>
            <w:tcBorders>
              <w:bottom w:val="single" w:sz="4" w:space="0" w:color="auto"/>
            </w:tcBorders>
            <w:shd w:val="clear" w:color="auto" w:fill="FFFFFF"/>
          </w:tcPr>
          <w:p w14:paraId="1E216BE1"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Polisacáridos</w:t>
            </w:r>
          </w:p>
        </w:tc>
        <w:tc>
          <w:tcPr>
            <w:tcW w:w="1046" w:type="dxa"/>
            <w:tcBorders>
              <w:bottom w:val="single" w:sz="4" w:space="0" w:color="auto"/>
            </w:tcBorders>
            <w:shd w:val="clear" w:color="auto" w:fill="FFFFFF"/>
          </w:tcPr>
          <w:p w14:paraId="03346C29"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Intramuscular</w:t>
            </w:r>
          </w:p>
        </w:tc>
        <w:tc>
          <w:tcPr>
            <w:tcW w:w="830" w:type="dxa"/>
            <w:tcBorders>
              <w:bottom w:val="single" w:sz="4" w:space="0" w:color="auto"/>
            </w:tcBorders>
            <w:shd w:val="clear" w:color="auto" w:fill="FFFFFF"/>
          </w:tcPr>
          <w:p w14:paraId="0D261712"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2</w:t>
            </w:r>
          </w:p>
        </w:tc>
        <w:tc>
          <w:tcPr>
            <w:tcW w:w="653" w:type="dxa"/>
            <w:tcBorders>
              <w:bottom w:val="single" w:sz="4" w:space="0" w:color="auto"/>
            </w:tcBorders>
            <w:shd w:val="clear" w:color="auto" w:fill="FFFFFF"/>
          </w:tcPr>
          <w:p w14:paraId="094FCD89"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1</w:t>
            </w:r>
          </w:p>
        </w:tc>
        <w:tc>
          <w:tcPr>
            <w:tcW w:w="1272" w:type="dxa"/>
            <w:tcBorders>
              <w:bottom w:val="single" w:sz="4" w:space="0" w:color="auto"/>
            </w:tcBorders>
            <w:shd w:val="clear" w:color="auto" w:fill="FFFFFF"/>
          </w:tcPr>
          <w:p w14:paraId="558CA985"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2</w:t>
            </w:r>
          </w:p>
        </w:tc>
        <w:tc>
          <w:tcPr>
            <w:tcW w:w="1186" w:type="dxa"/>
            <w:tcBorders>
              <w:bottom w:val="single" w:sz="4" w:space="0" w:color="auto"/>
            </w:tcBorders>
            <w:shd w:val="clear" w:color="auto" w:fill="FFFFFF"/>
          </w:tcPr>
          <w:p w14:paraId="10503D12"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&lt;7</w:t>
            </w:r>
          </w:p>
        </w:tc>
      </w:tr>
    </w:tbl>
    <w:p w14:paraId="4AA0FDCB" w14:textId="77777777" w:rsidR="00D03C17" w:rsidRDefault="00D03C17">
      <w:pPr>
        <w:pStyle w:val="Tablecaption0"/>
        <w:spacing w:line="240" w:lineRule="auto"/>
        <w:ind w:left="62"/>
      </w:pPr>
      <w:r>
        <w:t>ViCPS, vacuna hecha de polisacárido capsular Vi.</w:t>
      </w:r>
    </w:p>
    <w:p w14:paraId="1D3533AF" w14:textId="77777777" w:rsidR="00D03C17" w:rsidRDefault="00D03C17">
      <w:pPr>
        <w:pStyle w:val="Tablecaption0"/>
        <w:spacing w:line="240" w:lineRule="auto"/>
        <w:ind w:left="62"/>
      </w:pPr>
      <w:r>
        <w:rPr>
          <w:sz w:val="8"/>
          <w:szCs w:val="8"/>
          <w:vertAlign w:val="superscript"/>
        </w:rPr>
        <w:t>1</w:t>
      </w:r>
      <w:r>
        <w:rPr>
          <w:sz w:val="8"/>
          <w:szCs w:val="8"/>
        </w:rPr>
        <w:t xml:space="preserve"> </w:t>
      </w:r>
      <w:r>
        <w:t>Vacunación primaria. Si se desean más datos sobre dosis, planes y efectos adversos, consultar el texto.</w:t>
      </w:r>
    </w:p>
    <w:p w14:paraId="1D0C795F" w14:textId="77777777" w:rsidR="00D03C17" w:rsidRDefault="00D03C17">
      <w:pPr>
        <w:pStyle w:val="BodyText"/>
        <w:ind w:firstLine="360"/>
      </w:pPr>
      <w:r>
        <w:rPr>
          <w:rFonts w:ascii="Times New Roman" w:eastAsia="Times New Roman" w:hAnsi="Times New Roman" w:cs="Times New Roman"/>
          <w:b/>
          <w:bCs/>
          <w:i/>
          <w:iCs/>
          <w:sz w:val="16"/>
          <w:szCs w:val="16"/>
        </w:rPr>
        <w:t>Indicaciones.</w:t>
      </w:r>
      <w:r>
        <w:t xml:space="preserve"> En Estados Unidos se recomienda la vacunación sólo para las personas siguientes:</w:t>
      </w:r>
    </w:p>
    <w:p w14:paraId="0298FF37" w14:textId="77777777" w:rsidR="00D03C17" w:rsidRDefault="00D03C17">
      <w:pPr>
        <w:pStyle w:val="BodyText"/>
        <w:numPr>
          <w:ilvl w:val="0"/>
          <w:numId w:val="94"/>
        </w:numPr>
        <w:tabs>
          <w:tab w:val="left" w:pos="348"/>
        </w:tabs>
        <w:spacing w:line="276" w:lineRule="auto"/>
        <w:ind w:left="340" w:hanging="340"/>
      </w:pPr>
      <w:bookmarkStart w:id="301" w:name="bookmark1307"/>
      <w:bookmarkEnd w:id="301"/>
      <w:r>
        <w:rPr>
          <w:rFonts w:ascii="Times New Roman" w:eastAsia="Times New Roman" w:hAnsi="Times New Roman" w:cs="Times New Roman"/>
          <w:b/>
          <w:bCs/>
          <w:i/>
          <w:iCs/>
          <w:sz w:val="16"/>
          <w:szCs w:val="16"/>
        </w:rPr>
        <w:t>Personas que viajan a áreas en que se reconoce el peligro de exposición a</w:t>
      </w:r>
      <w:r>
        <w:rPr>
          <w:b/>
          <w:bCs/>
        </w:rPr>
        <w:t xml:space="preserve"> S</w:t>
      </w:r>
      <w:r>
        <w:rPr>
          <w:rFonts w:ascii="Times New Roman" w:eastAsia="Times New Roman" w:hAnsi="Times New Roman" w:cs="Times New Roman"/>
          <w:b/>
          <w:bCs/>
          <w:i/>
          <w:iCs/>
          <w:sz w:val="16"/>
          <w:szCs w:val="16"/>
        </w:rPr>
        <w:t>. serotipo Typhi.</w:t>
      </w:r>
      <w:r>
        <w:t xml:space="preserve"> El riesgo alcanza su máximo en niños y personas que viajan al subcontinente indio, países de América Latina, Asia y África que pudieran tener exposición duradera a alimentos y bebidas contaminadas. Hay que advertir a dichas personas que la vacuna antitifoídica no sustituye a la selección cuidadosa de alimentos y bebidas.</w:t>
      </w:r>
    </w:p>
    <w:p w14:paraId="4283A251" w14:textId="77777777" w:rsidR="00D03C17" w:rsidRDefault="00D03C17">
      <w:pPr>
        <w:pStyle w:val="BodyText"/>
        <w:numPr>
          <w:ilvl w:val="0"/>
          <w:numId w:val="94"/>
        </w:numPr>
        <w:tabs>
          <w:tab w:val="left" w:pos="348"/>
        </w:tabs>
        <w:ind w:left="340" w:hanging="340"/>
      </w:pPr>
      <w:bookmarkStart w:id="302" w:name="bookmark1308"/>
      <w:bookmarkEnd w:id="302"/>
      <w:r>
        <w:rPr>
          <w:rFonts w:ascii="Times New Roman" w:eastAsia="Times New Roman" w:hAnsi="Times New Roman" w:cs="Times New Roman"/>
          <w:b/>
          <w:bCs/>
          <w:i/>
          <w:iCs/>
          <w:sz w:val="16"/>
          <w:szCs w:val="16"/>
        </w:rPr>
        <w:t>Personas con exposición íntima a un portador probado de fiebre tifoidea</w:t>
      </w:r>
      <w:r>
        <w:t xml:space="preserve"> como surge con los contactos del círculo familiar en forma incesante.</w:t>
      </w:r>
    </w:p>
    <w:p w14:paraId="4EF6E641" w14:textId="77777777" w:rsidR="00D03C17" w:rsidRDefault="00D03C17">
      <w:pPr>
        <w:pStyle w:val="Bodytext20"/>
        <w:numPr>
          <w:ilvl w:val="0"/>
          <w:numId w:val="94"/>
        </w:numPr>
        <w:tabs>
          <w:tab w:val="left" w:pos="348"/>
        </w:tabs>
        <w:spacing w:line="290" w:lineRule="auto"/>
        <w:ind w:left="340" w:hanging="340"/>
      </w:pPr>
      <w:bookmarkStart w:id="303" w:name="bookmark1309"/>
      <w:bookmarkEnd w:id="303"/>
      <w:r>
        <w:rPr>
          <w:b/>
          <w:bCs/>
          <w:i/>
          <w:iCs/>
        </w:rPr>
        <w:t>Trabajadores de laboratorio con contacto frecuente con</w:t>
      </w:r>
      <w:r>
        <w:rPr>
          <w:rFonts w:ascii="Garamond" w:eastAsia="Garamond" w:hAnsi="Garamond" w:cs="Garamond"/>
          <w:b/>
          <w:bCs/>
          <w:sz w:val="19"/>
          <w:szCs w:val="19"/>
        </w:rPr>
        <w:t xml:space="preserve"> S</w:t>
      </w:r>
      <w:r>
        <w:rPr>
          <w:b/>
          <w:bCs/>
          <w:i/>
          <w:iCs/>
        </w:rPr>
        <w:t>. serotipo Typhi y personas que viven en zonas endémicas fuera de Estados Unidos.</w:t>
      </w:r>
    </w:p>
    <w:p w14:paraId="70EC1A83" w14:textId="77777777" w:rsidR="00D03C17" w:rsidRDefault="00D03C17">
      <w:pPr>
        <w:pStyle w:val="BodyText"/>
        <w:ind w:firstLine="360"/>
      </w:pPr>
      <w:r>
        <w:rPr>
          <w:rFonts w:ascii="Arial" w:eastAsia="Arial" w:hAnsi="Arial" w:cs="Arial"/>
          <w:b/>
          <w:bCs/>
          <w:i/>
          <w:iCs/>
          <w:sz w:val="15"/>
          <w:szCs w:val="15"/>
        </w:rPr>
        <w:t>Dosis.</w:t>
      </w:r>
      <w:r>
        <w:t xml:space="preserve"> En el caso de la vacunación primaria se recomienda para cada vacuna las dosis siguientes:</w:t>
      </w:r>
    </w:p>
    <w:p w14:paraId="2CC1F7B2" w14:textId="77777777" w:rsidR="00D03C17" w:rsidRDefault="00D03C17">
      <w:pPr>
        <w:pStyle w:val="BodyText"/>
        <w:numPr>
          <w:ilvl w:val="0"/>
          <w:numId w:val="94"/>
        </w:numPr>
        <w:tabs>
          <w:tab w:val="left" w:pos="348"/>
        </w:tabs>
        <w:ind w:left="340" w:hanging="340"/>
      </w:pPr>
      <w:bookmarkStart w:id="304" w:name="bookmark1310"/>
      <w:bookmarkEnd w:id="304"/>
      <w:r>
        <w:rPr>
          <w:rFonts w:ascii="Times New Roman" w:eastAsia="Times New Roman" w:hAnsi="Times New Roman" w:cs="Times New Roman"/>
          <w:b/>
          <w:bCs/>
          <w:i/>
          <w:iCs/>
          <w:sz w:val="16"/>
          <w:szCs w:val="16"/>
        </w:rPr>
        <w:t>Vacuna ingerible Ty21a.</w:t>
      </w:r>
      <w:r>
        <w:t xml:space="preserve"> Los niños de seis años de edad y mayores y los adultos deben ingerir una cápsula con cubierta entérica cada dos días en un total de cuatro cápsulas. Cada cápsula se ingerirá con un líquido frío, que no exceda de 37°C aproximadamente 1 h antes de consumir un alimento. Las cápsulas deben estar en refrigeración y las cuatro se ingerirán para obtener eficacia máxima.</w:t>
      </w:r>
    </w:p>
    <w:p w14:paraId="284834EB" w14:textId="77777777" w:rsidR="00D03C17" w:rsidRDefault="00D03C17">
      <w:pPr>
        <w:pStyle w:val="BodyText"/>
        <w:numPr>
          <w:ilvl w:val="0"/>
          <w:numId w:val="94"/>
        </w:numPr>
        <w:tabs>
          <w:tab w:val="left" w:pos="348"/>
        </w:tabs>
        <w:spacing w:line="276" w:lineRule="auto"/>
        <w:ind w:left="340" w:hanging="340"/>
      </w:pPr>
      <w:bookmarkStart w:id="305" w:name="bookmark1311"/>
      <w:bookmarkEnd w:id="305"/>
      <w:r>
        <w:rPr>
          <w:rFonts w:ascii="Times New Roman" w:eastAsia="Times New Roman" w:hAnsi="Times New Roman" w:cs="Times New Roman"/>
          <w:b/>
          <w:bCs/>
          <w:i/>
          <w:iCs/>
          <w:sz w:val="16"/>
          <w:szCs w:val="16"/>
        </w:rPr>
        <w:t>Vacuna con polisacárido capsular Vi.</w:t>
      </w:r>
      <w:r>
        <w:t xml:space="preserve"> La vacunación primaria de niños de dos años y mayores con la vacuna recién mencionada </w:t>
      </w:r>
      <w:r>
        <w:rPr>
          <w:i/>
          <w:iCs/>
        </w:rPr>
        <w:t>(</w:t>
      </w:r>
      <w:r>
        <w:rPr>
          <w:rFonts w:ascii="Times New Roman" w:eastAsia="Times New Roman" w:hAnsi="Times New Roman" w:cs="Times New Roman"/>
          <w:i/>
          <w:iCs/>
          <w:sz w:val="16"/>
          <w:szCs w:val="16"/>
        </w:rPr>
        <w:t>Vi capsular polysaccharide</w:t>
      </w:r>
      <w:r>
        <w:rPr>
          <w:i/>
          <w:iCs/>
        </w:rPr>
        <w:t xml:space="preserve">, </w:t>
      </w:r>
      <w:r>
        <w:t xml:space="preserve">ViCPS) consiste en una dosis de 0.5 ml (25 mg) aplicada por vía intramuscular. </w:t>
      </w:r>
      <w:r>
        <w:rPr>
          <w:rFonts w:ascii="Times New Roman" w:eastAsia="Times New Roman" w:hAnsi="Times New Roman" w:cs="Times New Roman"/>
          <w:b/>
          <w:bCs/>
          <w:i/>
          <w:iCs/>
          <w:sz w:val="16"/>
          <w:szCs w:val="16"/>
        </w:rPr>
        <w:t>Dosis de refuerzo.</w:t>
      </w:r>
      <w:r>
        <w:t xml:space="preserve"> En circunstancias en que hay exposición ininterrumpida o</w:t>
      </w:r>
    </w:p>
    <w:p w14:paraId="7522D942" w14:textId="77777777" w:rsidR="00D03C17" w:rsidRDefault="00D03C17">
      <w:pPr>
        <w:pStyle w:val="BodyText"/>
        <w:ind w:firstLine="0"/>
      </w:pPr>
      <w:r>
        <w:t xml:space="preserve">repetida a </w:t>
      </w:r>
      <w:r>
        <w:rPr>
          <w:rFonts w:ascii="Times New Roman" w:eastAsia="Times New Roman" w:hAnsi="Times New Roman" w:cs="Times New Roman"/>
          <w:i/>
          <w:iCs/>
          <w:sz w:val="16"/>
          <w:szCs w:val="16"/>
        </w:rPr>
        <w:t>5</w:t>
      </w:r>
      <w:r>
        <w:t>. serotipo Typhi se recomienda aplicar dosis de refuerzos para conservar la inmunidad después de la vacunación primaria.</w:t>
      </w:r>
    </w:p>
    <w:p w14:paraId="54F5BA87" w14:textId="77777777" w:rsidR="00D03C17" w:rsidRDefault="00D03C17">
      <w:pPr>
        <w:pStyle w:val="BodyText"/>
        <w:ind w:firstLine="360"/>
      </w:pPr>
      <w:r>
        <w:t xml:space="preserve">Se ha demostrado que la eficacia durante cinco años después de recibir el niño la vacuna ingerible Ty21a no cesa; sin embargo, el fabricante de dicha vacuna recomienda la revacunación y completar la serie con las cuatro dosis cada cinco años si se prevé que hay una exposición ininterrumpida o renovada a </w:t>
      </w:r>
      <w:r>
        <w:rPr>
          <w:rFonts w:ascii="Times New Roman" w:eastAsia="Times New Roman" w:hAnsi="Times New Roman" w:cs="Times New Roman"/>
          <w:i/>
          <w:iCs/>
          <w:sz w:val="16"/>
          <w:szCs w:val="16"/>
        </w:rPr>
        <w:t>5</w:t>
      </w:r>
      <w:r>
        <w:t>. serotipo Typhi.</w:t>
      </w:r>
    </w:p>
    <w:p w14:paraId="7201A921" w14:textId="77777777" w:rsidR="00D03C17" w:rsidRDefault="00D03C17">
      <w:pPr>
        <w:pStyle w:val="BodyText"/>
        <w:ind w:firstLine="360"/>
      </w:pPr>
      <w:r>
        <w:t>El fabricante de la vacuna ViCPS recomienda aplicar una dosis de refuerzo cada dos años después de la dosis primaria si se prevé que la exposición es ininterrumpida o se renovará.</w:t>
      </w:r>
    </w:p>
    <w:p w14:paraId="44C239E5" w14:textId="77777777" w:rsidR="00D03C17" w:rsidRDefault="00D03C17">
      <w:pPr>
        <w:pStyle w:val="BodyText"/>
        <w:ind w:firstLine="360"/>
      </w:pPr>
      <w:r>
        <w:t>No hay datos publicados en cuanto al uso de una vacuna como refuerzo después de vacunación primaria con la otra.</w:t>
      </w:r>
    </w:p>
    <w:p w14:paraId="6A33D709" w14:textId="77777777" w:rsidR="00D03C17" w:rsidRDefault="00D03C17">
      <w:pPr>
        <w:pStyle w:val="BodyText"/>
        <w:spacing w:line="276" w:lineRule="auto"/>
        <w:ind w:firstLine="360"/>
      </w:pPr>
      <w:r>
        <w:rPr>
          <w:rFonts w:ascii="Arial" w:eastAsia="Arial" w:hAnsi="Arial" w:cs="Arial"/>
          <w:b/>
          <w:bCs/>
          <w:i/>
          <w:iCs/>
          <w:sz w:val="15"/>
          <w:szCs w:val="15"/>
        </w:rPr>
        <w:t>Reacciones adversas.</w:t>
      </w:r>
      <w:r>
        <w:t xml:space="preserve"> La vacuna Ty21a produce mínimas reacciones adversas, que incluyen molestias abdominales, náuseas, vómitos, fiebre, cefalea y erupción o urticaria. Las reacciones señaladas con la vacuna ViCPS también son mínimas e incluyen fiebre (0 a 1%), cefalea (1.5 a 3%) y reacciones locales como eritema o induración de 1 cm o más (7%).</w:t>
      </w:r>
    </w:p>
    <w:p w14:paraId="61CD7418" w14:textId="77777777" w:rsidR="00D03C17" w:rsidRDefault="00D03C17">
      <w:pPr>
        <w:pStyle w:val="BodyText"/>
        <w:spacing w:after="100" w:line="276" w:lineRule="auto"/>
        <w:ind w:firstLine="360"/>
        <w:sectPr w:rsidR="00D03C17" w:rsidSect="00D03C17">
          <w:headerReference w:type="even" r:id="rId323"/>
          <w:headerReference w:type="default" r:id="rId324"/>
          <w:footerReference w:type="even" r:id="rId325"/>
          <w:footerReference w:type="default" r:id="rId326"/>
          <w:footnotePr>
            <w:numFmt w:val="chicago"/>
          </w:footnotePr>
          <w:pgSz w:w="8501" w:h="13022"/>
          <w:pgMar w:top="898" w:right="798" w:bottom="504" w:left="816" w:header="0" w:footer="3" w:gutter="0"/>
          <w:pgNumType w:start="593"/>
          <w:cols w:space="720"/>
          <w:noEndnote/>
          <w:docGrid w:linePitch="360"/>
          <w15:footnoteColumns w:val="1"/>
        </w:sectPr>
      </w:pPr>
      <w:r>
        <w:rPr>
          <w:rFonts w:ascii="Arial" w:eastAsia="Arial" w:hAnsi="Arial" w:cs="Arial"/>
          <w:b/>
          <w:bCs/>
          <w:i/>
          <w:iCs/>
          <w:sz w:val="15"/>
          <w:szCs w:val="15"/>
        </w:rPr>
        <w:t>Precauciones y contraindicaciones.</w:t>
      </w:r>
      <w:r>
        <w:t xml:space="preserve"> No se cuenta con datos sobre la eficacia de las vacunas contra la tifoidea en niños menores de dos años. Sin embargo, hay datos de que el amamantamiento y la preparación meticulosa de las fórmulas lácteas podrían evitar infección tifoídica en áreas endémicas. Una contraindicación para la aplicación de la vacuna parenteral (ViCPS), es el antecedente de reacciones locales y sistémicas graves después de una dosis previa. No se han notificado datos de seguridad de las vacunas antitifoídicas en embarazadas. La vacuna Ty21a está hecha de virus atenuados y no debe aplicarse a personas inmunodeficientes, incluidas las infectadas por VIH; una alternativa podría ser la vacuna parenteral ViCPS. La vacuna ingerible necesita que los </w:t>
      </w:r>
    </w:p>
    <w:p w14:paraId="21EBB847" w14:textId="77777777" w:rsidR="00D03C17" w:rsidRDefault="00D03C17">
      <w:pPr>
        <w:pStyle w:val="BodyText"/>
        <w:spacing w:after="100" w:line="276" w:lineRule="auto"/>
        <w:ind w:firstLine="0"/>
      </w:pPr>
      <w:r>
        <w:t xml:space="preserve">microorganismos muestren réplica en el intestino para ser eficaz y no debe administrarse en caso de enfermedad de vías gastrointestinales. La proliferación de la cepa Ty21a </w:t>
      </w:r>
      <w:r>
        <w:rPr>
          <w:rFonts w:ascii="Times New Roman" w:eastAsia="Times New Roman" w:hAnsi="Times New Roman" w:cs="Times New Roman"/>
          <w:i/>
          <w:iCs/>
          <w:sz w:val="16"/>
          <w:szCs w:val="16"/>
        </w:rPr>
        <w:t>in vitro</w:t>
      </w:r>
      <w:r>
        <w:t xml:space="preserve"> puede ser inhibida por agentes antipalúdicos y por ello, las antiguas recomendaciones no aprobaban la administración simultánea de la vacuna y dichos agentes. Estudios ulteriores han señalado que la administración simultánea de los antipalúdicos clorhidrato de mefloquina o de cloroquina y la vacuna Ty21a origina una respuesta adecuada </w:t>
      </w:r>
      <w:r>
        <w:rPr>
          <w:rFonts w:ascii="Times New Roman" w:eastAsia="Times New Roman" w:hAnsi="Times New Roman" w:cs="Times New Roman"/>
          <w:i/>
          <w:iCs/>
          <w:sz w:val="16"/>
          <w:szCs w:val="16"/>
        </w:rPr>
        <w:t>in vivo</w:t>
      </w:r>
      <w:r>
        <w:t>. Sin embargo, será mejor no administrar simultáneamente clorhidrato de proguanilo, un antipalúdico, junto con la vacuna Ty21a, sino más bien administrarlo 10 días o más después de que el niño reciba la cuarta dosis de la vacuna Ty21a. También será mejor no administrar antimicrobianos durante siete días antes de administrar la primera dosis de la vacuna Ty21a y siete días después de la cuarta dosis de ella.</w:t>
      </w:r>
    </w:p>
    <w:p w14:paraId="6B09436C" w14:textId="77777777" w:rsidR="00D03C17" w:rsidRDefault="00D03C17">
      <w:pPr>
        <w:pStyle w:val="Bodytext70"/>
        <w:spacing w:after="0"/>
      </w:pPr>
      <w:r>
        <w:t>Sarampión</w:t>
      </w:r>
    </w:p>
    <w:p w14:paraId="5D6C78F3" w14:textId="77777777" w:rsidR="00D03C17" w:rsidRDefault="00D03C17">
      <w:pPr>
        <w:pStyle w:val="BodyText"/>
        <w:ind w:firstLine="0"/>
      </w:pPr>
      <w:r>
        <w:rPr>
          <w:b/>
          <w:bCs/>
        </w:rPr>
        <w:t>M</w:t>
      </w:r>
      <w:r>
        <w:rPr>
          <w:b/>
          <w:bCs/>
          <w:sz w:val="13"/>
          <w:szCs w:val="13"/>
        </w:rPr>
        <w:t>ANIFESTACIONES CLÍNICAS</w:t>
      </w:r>
      <w:r>
        <w:rPr>
          <w:b/>
          <w:bCs/>
        </w:rPr>
        <w:t xml:space="preserve">: </w:t>
      </w:r>
      <w:r>
        <w:t>El sarampión es una enfermedad aguda caracterizada por fiebre, tos, coriza, conjuntivitis, maculopápulas eritematosas y enantemas patognomónicos (manchas de Koplik). En niños de corta edad es frecuente que surjan complicaciones como otitis media, bronconeumonía, laringotraqueobronquitis (crup) y diarrea. En uno de cada 1 000 casos aparece encefalitis aguda que suele ocasionar daño encefálico permanente. Se sabe que uno a tres de cada 1 000 casos notificados en Estados Unidos mueren más bien como consecuencia de complicaciones respiratorias y neurológicas. Las tasas de letalidad aumentan en niños menores de cinco años y niños inmunodeficientes, que incluyen aquellos con leucemia, infección por virus de inmunodeficiencia humana (VIH) y desnutrición grave. A veces no aparecen en pacientes inmunodeficientes las maculopápulas características ni las enantemas.</w:t>
      </w:r>
    </w:p>
    <w:p w14:paraId="2568DFB7" w14:textId="77777777" w:rsidR="00D03C17" w:rsidRDefault="00D03C17">
      <w:pPr>
        <w:pStyle w:val="BodyText"/>
        <w:ind w:firstLine="360"/>
      </w:pPr>
      <w:r>
        <w:t xml:space="preserve">La panencefalitis esclerosante subaguda </w:t>
      </w:r>
      <w:r>
        <w:rPr>
          <w:i/>
          <w:iCs/>
        </w:rPr>
        <w:t>(</w:t>
      </w:r>
      <w:r>
        <w:rPr>
          <w:rFonts w:ascii="Times New Roman" w:eastAsia="Times New Roman" w:hAnsi="Times New Roman" w:cs="Times New Roman"/>
          <w:i/>
          <w:iCs/>
          <w:sz w:val="16"/>
          <w:szCs w:val="16"/>
        </w:rPr>
        <w:t>subacute sclerosing panencephalitis</w:t>
      </w:r>
      <w:r>
        <w:rPr>
          <w:i/>
          <w:iCs/>
        </w:rPr>
        <w:t>,</w:t>
      </w:r>
      <w:r>
        <w:t xml:space="preserve"> SSPE) es una rara degeneración del sistema nervioso central que se caracteriza por deterioro conductual e intelectual y convulsiones que aparecen años después de la infección original; es resultado de la persistencia de la infección por el virus del sarampión. La vacunación amplia contra la enfermedad ha hecho que prácticamente desaparezcan los casos de SSPE en Estados Unidos. </w:t>
      </w:r>
      <w:r>
        <w:rPr>
          <w:b/>
          <w:bCs/>
        </w:rPr>
        <w:t>C</w:t>
      </w:r>
      <w:r>
        <w:rPr>
          <w:b/>
          <w:bCs/>
          <w:sz w:val="13"/>
          <w:szCs w:val="13"/>
        </w:rPr>
        <w:t>AUSAS</w:t>
      </w:r>
      <w:r>
        <w:rPr>
          <w:b/>
          <w:bCs/>
        </w:rPr>
        <w:t xml:space="preserve">: </w:t>
      </w:r>
      <w:r>
        <w:t xml:space="preserve">La partícula que causa el sarampión es un virus de RNA con un serotipo; se le ha clasificado como miembro del género </w:t>
      </w:r>
      <w:r>
        <w:rPr>
          <w:rFonts w:ascii="Times New Roman" w:eastAsia="Times New Roman" w:hAnsi="Times New Roman" w:cs="Times New Roman"/>
          <w:i/>
          <w:iCs/>
          <w:sz w:val="16"/>
          <w:szCs w:val="16"/>
        </w:rPr>
        <w:t>Morbillivirus</w:t>
      </w:r>
      <w:r>
        <w:t xml:space="preserve"> en la familia Paramyxoviridae. </w:t>
      </w:r>
      <w:r>
        <w:rPr>
          <w:b/>
          <w:bCs/>
        </w:rPr>
        <w:t>A</w:t>
      </w:r>
      <w:r>
        <w:rPr>
          <w:b/>
          <w:bCs/>
          <w:sz w:val="13"/>
          <w:szCs w:val="13"/>
        </w:rPr>
        <w:t>SPECTOS EPIDEMIOLÓGICOS</w:t>
      </w:r>
      <w:r>
        <w:rPr>
          <w:b/>
          <w:bCs/>
        </w:rPr>
        <w:t xml:space="preserve">: </w:t>
      </w:r>
      <w:r>
        <w:t>Los hospedadores naturales únicos del virus del sarampión son los seres humanos. La infección se transmite por contacto directo con gotículas infectantes y, con menor frecuencia, por vía aerófora. En zonas templadas, la incidencia máxima del padecimiento suele observarse a finales del invierno y en la primavera. Antes de contar con la vacuna casi todos los casos de sarampión en Estados Unidos se producían en preescolares y escolares de corta edad, y pocas personas permanecían susceptibles a los 20 años. El programa de vacunación de niños y adolescentes en el país mencionado originó una disminución mayor de 99% en la incidencia notificada de sarampión desde que se aprobó por primera vez la vacuna antisarampionosa en 1963.</w:t>
      </w:r>
    </w:p>
    <w:p w14:paraId="435B365D" w14:textId="77777777" w:rsidR="00D03C17" w:rsidRDefault="00D03C17">
      <w:pPr>
        <w:pStyle w:val="BodyText"/>
        <w:ind w:firstLine="360"/>
        <w:sectPr w:rsidR="00D03C17" w:rsidSect="00D03C17">
          <w:headerReference w:type="even" r:id="rId327"/>
          <w:headerReference w:type="default" r:id="rId328"/>
          <w:footerReference w:type="even" r:id="rId329"/>
          <w:footerReference w:type="default" r:id="rId330"/>
          <w:footnotePr>
            <w:numFmt w:val="chicago"/>
          </w:footnotePr>
          <w:type w:val="continuous"/>
          <w:pgSz w:w="8501" w:h="13022"/>
          <w:pgMar w:top="898" w:right="798" w:bottom="504" w:left="816" w:header="0" w:footer="76" w:gutter="0"/>
          <w:cols w:space="720"/>
          <w:noEndnote/>
          <w:docGrid w:linePitch="360"/>
          <w15:footnoteColumns w:val="1"/>
        </w:sectPr>
      </w:pPr>
      <w:r>
        <w:t>De 1989 a 1991 aumentó la incidencia de la enfermedad en Estados Unidos por los bajos índices de vacunaciones en preescolares, particularmente en áreas urbanas. Desde 1992 ha sido pequeña la incidencia de la enfermedad en ese país (menos de 1 000 casos notificados al año) y pocas veces hay casos propios. Subsiste la aparición de la enfermedad por la importación del virus, de otros países. Se considera que un caso es</w:t>
      </w:r>
    </w:p>
    <w:p w14:paraId="1D41612F" w14:textId="77777777" w:rsidR="00D03C17" w:rsidRDefault="00D03C17">
      <w:pPr>
        <w:pStyle w:val="BodyText"/>
        <w:ind w:firstLine="0"/>
      </w:pPr>
      <w:r>
        <w:rPr>
          <w:b/>
          <w:bCs/>
        </w:rPr>
        <w:t>T</w:t>
      </w:r>
      <w:r>
        <w:rPr>
          <w:b/>
          <w:bCs/>
          <w:sz w:val="13"/>
          <w:szCs w:val="13"/>
        </w:rPr>
        <w:t>RATAMIENTO</w:t>
      </w:r>
      <w:r>
        <w:rPr>
          <w:b/>
          <w:bCs/>
        </w:rPr>
        <w:t xml:space="preserve">: </w:t>
      </w:r>
      <w:r>
        <w:t xml:space="preserve">Es importante que la persona no participe en deportes por contacto hasta que se recupere totalmente de la mononucleosis infecciosa y no se le palpe el bazo. No se administrará ampicilina ni amoxicilina a individuos en quienes se sospeche la enfermedad mencionada porque los fármacos originarán erupciones morbiliformes no alérgicas en una elevada proporción de sujetos con mononucleosis. La administración de un ciclo breve de corticosteroides pudiera tener efecto beneficioso en los síntomas agudos, pero ante sus posibles efectos adversos habrá que destinar su uso exclusivamente a pacientes con complicaciones como la inflamación amigdalina extraordinaria con obstrucción inminente de vías respiratorias, esplenomegalia masiva, miocarditis, anemia hemolítica o síndrome hemofagocítico. La dosis de prednisona suele ser de 1 mg/kg de peso al día, ingerida (máximo, 20 mg si el niño pesa más de 10 kg), durante siete días con disminución gradual ulterior. El aciclovir posee actividad antivírica </w:t>
      </w:r>
      <w:r>
        <w:rPr>
          <w:rFonts w:ascii="Times New Roman" w:eastAsia="Times New Roman" w:hAnsi="Times New Roman" w:cs="Times New Roman"/>
          <w:i/>
          <w:iCs/>
          <w:sz w:val="16"/>
          <w:szCs w:val="16"/>
        </w:rPr>
        <w:t>in vitro</w:t>
      </w:r>
      <w:r>
        <w:t xml:space="preserve"> contra EBV, pero no ha tenido utilidad probada en los síndromes linfoproliferativos contra dicho virus. Disminuir las dosis de inmunosupresores podría ser una estrategia favorable en sujetos con linfoproliferación inducida por EBV, como el caso de los trastornos linfoproliferativos después de trasplantes.</w:t>
      </w:r>
    </w:p>
    <w:p w14:paraId="703A01EB" w14:textId="77777777" w:rsidR="00D03C17" w:rsidRDefault="00D03C17">
      <w:pPr>
        <w:pStyle w:val="BodyText"/>
        <w:spacing w:line="262" w:lineRule="auto"/>
        <w:ind w:firstLine="0"/>
      </w:pPr>
      <w:r>
        <w:rPr>
          <w:b/>
          <w:bCs/>
          <w:smallCaps/>
          <w:sz w:val="20"/>
          <w:szCs w:val="20"/>
        </w:rPr>
        <w:t>A</w:t>
      </w:r>
      <w:r>
        <w:rPr>
          <w:b/>
          <w:bCs/>
          <w:smallCaps/>
          <w:sz w:val="16"/>
          <w:szCs w:val="16"/>
        </w:rPr>
        <w:t>islamiento del paciente hospitalizado</w:t>
      </w:r>
      <w:r>
        <w:rPr>
          <w:b/>
          <w:bCs/>
          <w:smallCaps/>
          <w:sz w:val="20"/>
          <w:szCs w:val="20"/>
        </w:rPr>
        <w:t>:</w:t>
      </w:r>
      <w:r>
        <w:t xml:space="preserve"> Se recomienda seguir las precauciones estándar.</w:t>
      </w:r>
    </w:p>
    <w:p w14:paraId="7C6876E6" w14:textId="77777777" w:rsidR="00D03C17" w:rsidRDefault="00D03C17">
      <w:pPr>
        <w:pStyle w:val="BodyText"/>
        <w:spacing w:after="100"/>
        <w:ind w:firstLine="0"/>
      </w:pPr>
      <w:r>
        <w:rPr>
          <w:b/>
          <w:bCs/>
        </w:rPr>
        <w:t>M</w:t>
      </w:r>
      <w:r>
        <w:rPr>
          <w:b/>
          <w:bCs/>
          <w:sz w:val="13"/>
          <w:szCs w:val="13"/>
        </w:rPr>
        <w:t>EDIDAS PREVENTIVAS</w:t>
      </w:r>
      <w:r>
        <w:rPr>
          <w:b/>
          <w:bCs/>
        </w:rPr>
        <w:t xml:space="preserve">: </w:t>
      </w:r>
      <w:r>
        <w:t>Es importante que todo sujeto con el antecedente reciente de infección por EBV o un trastorno semejante al de la mononucleosis infecciosa no done sangre.</w:t>
      </w:r>
    </w:p>
    <w:p w14:paraId="4EA6505D" w14:textId="77777777" w:rsidR="00D03C17" w:rsidRDefault="00D03C17">
      <w:pPr>
        <w:pStyle w:val="Bodytext70"/>
        <w:spacing w:after="0"/>
      </w:pPr>
      <w:r>
        <w:t>Escabiasis</w:t>
      </w:r>
    </w:p>
    <w:p w14:paraId="5D65CE89" w14:textId="77777777" w:rsidR="00D03C17" w:rsidRDefault="00D03C17">
      <w:pPr>
        <w:pStyle w:val="Other0"/>
        <w:spacing w:line="252" w:lineRule="auto"/>
        <w:ind w:firstLine="0"/>
        <w:rPr>
          <w:sz w:val="20"/>
          <w:szCs w:val="20"/>
        </w:rPr>
      </w:pPr>
      <w:r>
        <w:rPr>
          <w:rFonts w:ascii="Arial" w:eastAsia="Arial" w:hAnsi="Arial" w:cs="Arial"/>
          <w:b/>
          <w:bCs/>
          <w:w w:val="70"/>
          <w:sz w:val="20"/>
          <w:szCs w:val="20"/>
        </w:rPr>
        <w:t>(Sarna)</w:t>
      </w:r>
    </w:p>
    <w:p w14:paraId="25B133F0" w14:textId="77777777" w:rsidR="00D03C17" w:rsidRDefault="00D03C17">
      <w:pPr>
        <w:pStyle w:val="BodyText"/>
        <w:ind w:firstLine="0"/>
      </w:pPr>
      <w:r>
        <w:rPr>
          <w:b/>
          <w:bCs/>
        </w:rPr>
        <w:t>M</w:t>
      </w:r>
      <w:r>
        <w:rPr>
          <w:b/>
          <w:bCs/>
          <w:sz w:val="13"/>
          <w:szCs w:val="13"/>
        </w:rPr>
        <w:t>ANIFESTACIONES CLÍNICAS</w:t>
      </w:r>
      <w:r>
        <w:rPr>
          <w:b/>
          <w:bCs/>
        </w:rPr>
        <w:t xml:space="preserve">: </w:t>
      </w:r>
      <w:r>
        <w:t>La escabiasis o sarna se caracteriza por una erupción intensamente pruriginosa, eritematosa, y papular causada por la penetración de los ácaros hembra adultos en túneles de las capas superiores de la epidermis con lo cual se crean trayectos serpiginosos. El prurito es más intenso por la noche. En niños de mayor edad y en adultos los sitios predilectos de ataque son los pliegues interdigitales, la cara flexora de muñecas y extensora de codos, los pliegues axilares anteriores, la cintura, los muslos, el ombligo, los genitales, las areolas, el abdomen, la hendidura interglútea y los glúteos. En niños menores de dos años la erupción por lo común es vesiculosa y suele aparecer en áreas indemnes en niños de mayor edad y adultos, como sería la cabeza, el cuello, las palmas y las plantas. La erupción es causada por una reacción de hipersensibilidad a las proteínas del parásito.</w:t>
      </w:r>
    </w:p>
    <w:p w14:paraId="1A2253AF" w14:textId="77777777" w:rsidR="00D03C17" w:rsidRDefault="00D03C17">
      <w:pPr>
        <w:pStyle w:val="BodyText"/>
        <w:spacing w:line="276" w:lineRule="auto"/>
        <w:ind w:firstLine="360"/>
        <w:rPr>
          <w:sz w:val="16"/>
          <w:szCs w:val="16"/>
        </w:rPr>
      </w:pPr>
      <w:r>
        <w:t xml:space="preserve">Los clásicos túneles escabióticos tienen un aspecto grisáceo o blanquecino, son flexosos y parecen ser líneas piliformes. Las excoriaciones son frecuentes y casi todos los túneles son obliterados al rascarse el paciente antes de ser atendido por un médico. En ocasiones se identifican nódulos pardo rojizos de 2 a 5 mm, particularmente en zonas cubiertas como los genitales, la ingle y las axilas. Los nódulos mencionados constituyen una respuesta granulomatosa a los antígenos y excrementos de los ácaros muertos; dichos nódulos persisten semanas o meses después del tratamiento eficaz. La infección secundaria de la piel por bacterias surge y a veces es causada por </w:t>
      </w:r>
      <w:r>
        <w:rPr>
          <w:rFonts w:ascii="Times New Roman" w:eastAsia="Times New Roman" w:hAnsi="Times New Roman" w:cs="Times New Roman"/>
          <w:i/>
          <w:iCs/>
          <w:sz w:val="16"/>
          <w:szCs w:val="16"/>
        </w:rPr>
        <w:t>Streptococcus pyogenes</w:t>
      </w:r>
      <w:r>
        <w:t xml:space="preserve"> o </w:t>
      </w:r>
      <w:r>
        <w:rPr>
          <w:rFonts w:ascii="Times New Roman" w:eastAsia="Times New Roman" w:hAnsi="Times New Roman" w:cs="Times New Roman"/>
          <w:i/>
          <w:iCs/>
          <w:sz w:val="16"/>
          <w:szCs w:val="16"/>
        </w:rPr>
        <w:t>Staphylococcus aureus.</w:t>
      </w:r>
    </w:p>
    <w:p w14:paraId="31F11DB8" w14:textId="77777777" w:rsidR="00D03C17" w:rsidRDefault="00D03C17">
      <w:pPr>
        <w:pStyle w:val="BodyText"/>
        <w:spacing w:after="40"/>
        <w:ind w:firstLine="360"/>
      </w:pPr>
      <w:r>
        <w:t>La sarna noruega es un síndrome clínico poco común que se caracteriza por un gran número de ácaros y lesiones extensas, encostradas e hiperqueratóticas. Esta variedad de sarna aparece en personas debilitadas, con discapacidades del desarrollo o deficiencias inmunitarias.</w:t>
      </w:r>
    </w:p>
    <w:p w14:paraId="0A0DD7B7" w14:textId="77777777" w:rsidR="00D03C17" w:rsidRDefault="00D03C17">
      <w:pPr>
        <w:pStyle w:val="BodyText"/>
        <w:ind w:firstLine="0"/>
      </w:pPr>
      <w:r>
        <w:rPr>
          <w:b/>
          <w:bCs/>
        </w:rPr>
        <w:t>C</w:t>
      </w:r>
      <w:r>
        <w:rPr>
          <w:b/>
          <w:bCs/>
          <w:sz w:val="13"/>
          <w:szCs w:val="13"/>
        </w:rPr>
        <w:t>AUSAS</w:t>
      </w:r>
      <w:r>
        <w:rPr>
          <w:b/>
          <w:bCs/>
        </w:rPr>
        <w:t xml:space="preserve">: </w:t>
      </w:r>
      <w:r>
        <w:t xml:space="preserve">La causa de la sarna es el ácaro </w:t>
      </w:r>
      <w:r>
        <w:rPr>
          <w:rFonts w:ascii="Times New Roman" w:eastAsia="Times New Roman" w:hAnsi="Times New Roman" w:cs="Times New Roman"/>
          <w:i/>
          <w:iCs/>
          <w:sz w:val="16"/>
          <w:szCs w:val="16"/>
        </w:rPr>
        <w:t>Sarcoptes scabiei</w:t>
      </w:r>
      <w:r>
        <w:t xml:space="preserve"> subespecie </w:t>
      </w:r>
      <w:r>
        <w:rPr>
          <w:rFonts w:ascii="Times New Roman" w:eastAsia="Times New Roman" w:hAnsi="Times New Roman" w:cs="Times New Roman"/>
          <w:i/>
          <w:iCs/>
          <w:sz w:val="16"/>
          <w:szCs w:val="16"/>
        </w:rPr>
        <w:t>hominis</w:t>
      </w:r>
      <w:r>
        <w:rPr>
          <w:i/>
          <w:iCs/>
        </w:rPr>
        <w:t>.</w:t>
      </w:r>
      <w:r>
        <w:t xml:space="preserve"> El ácaro de la subespecie </w:t>
      </w:r>
      <w:r>
        <w:rPr>
          <w:rFonts w:ascii="Times New Roman" w:eastAsia="Times New Roman" w:hAnsi="Times New Roman" w:cs="Times New Roman"/>
          <w:i/>
          <w:iCs/>
          <w:sz w:val="16"/>
          <w:szCs w:val="16"/>
        </w:rPr>
        <w:t>canis</w:t>
      </w:r>
      <w:r>
        <w:rPr>
          <w:i/>
          <w:iCs/>
        </w:rPr>
        <w:t>,</w:t>
      </w:r>
      <w:r>
        <w:t xml:space="preserve"> transmitido desde perros (con sarna animal o clínica) puede ocasionar una infestación leve que cede por sí sola y por lo común abarca el área en contacto directo con el animal infestado y que mostrará resolución sin tratamiento específico.</w:t>
      </w:r>
    </w:p>
    <w:p w14:paraId="50193FFA" w14:textId="77777777" w:rsidR="00D03C17" w:rsidRDefault="00D03C17">
      <w:pPr>
        <w:pStyle w:val="BodyText"/>
        <w:ind w:firstLine="0"/>
      </w:pPr>
      <w:r>
        <w:rPr>
          <w:b/>
          <w:bCs/>
        </w:rPr>
        <w:t>A</w:t>
      </w:r>
      <w:r>
        <w:rPr>
          <w:b/>
          <w:bCs/>
          <w:sz w:val="13"/>
          <w:szCs w:val="13"/>
        </w:rPr>
        <w:t>SPECTOS EPIDEMIOLÓGICOS</w:t>
      </w:r>
      <w:r>
        <w:rPr>
          <w:b/>
          <w:bCs/>
        </w:rPr>
        <w:t xml:space="preserve">: </w:t>
      </w:r>
      <w:r>
        <w:t>Los seres humanos son el punto de partida de la infestación, y la transmisión por lo común surge por contacto personal muy cercano y duradero. Ante el gran número de ácaros en las escamas exfoliadas, incluso el contacto mínimo con una persona con la sarna encostrada (Noruega) puede transmitir el agente causal. Pocas veces la infestación proviene de perros u otros animales porque los ácaros de ellos no muestran réplica en los seres humanos. La sarna de origen humano se transmite durante el tiempo en que la persona está infestada y sin tratamiento, incluido el intervalo antes que aparezcan los síntomas. La sarna es endémica en muchos países y se manifiesta a nivel mundial en ciclos que duran 15 a 30 años. Afecta a personas de todos los niveles socioeconómicos independientemente de la edad, el género o estándares de higiene personal. La escabiasis en adultos suele transmitirse por contacto sexual.</w:t>
      </w:r>
    </w:p>
    <w:p w14:paraId="73B83202" w14:textId="77777777" w:rsidR="00D03C17" w:rsidRDefault="00D03C17">
      <w:pPr>
        <w:pStyle w:val="BodyText"/>
        <w:ind w:firstLine="360"/>
      </w:pPr>
      <w:r>
        <w:t xml:space="preserve">El periodo de incubación de personas sin exposición previa suele ser de cuatro a seis semanas. Las personas que sufrieron la infestación y quedaron sensibilizadas, terminan por mostrar síntomas uno a cuatro días después de repetir la exposición al ácaro; sin embargo, las reinfestaciones por lo común son menos intensas que el episodio original. </w:t>
      </w:r>
      <w:r>
        <w:rPr>
          <w:b/>
          <w:bCs/>
        </w:rPr>
        <w:t>M</w:t>
      </w:r>
      <w:r>
        <w:rPr>
          <w:b/>
          <w:bCs/>
          <w:sz w:val="13"/>
          <w:szCs w:val="13"/>
        </w:rPr>
        <w:t>ÉTODOS DIAGNÓSTICOS</w:t>
      </w:r>
      <w:r>
        <w:rPr>
          <w:b/>
          <w:bCs/>
        </w:rPr>
        <w:t xml:space="preserve">: </w:t>
      </w:r>
      <w:r>
        <w:t xml:space="preserve">El diagnóstico se confirma al identificar el ácaro o sus huevecillos o escíbalos (excrementos) al raspar las pápulas o los túneles intactos, de preferencia en la porción terminal en relación al punto en que generalmente está el agente patógeno. La aplicación de aceite mineral, aceite de inmersión de microscopios o agua en la piel facilita la obtención de material de raspado. Para raspar el túnel se utiliza una hoja de bisturí No. 15, y el material obtenido y el aceite se colocan en una laminilla que se cubre con un cubreobjetos y se estudia con la lente de baja potencia del microscopio. Las hembras adultas miden 330 a 450 mm de longitud. </w:t>
      </w:r>
      <w:r>
        <w:rPr>
          <w:b/>
          <w:bCs/>
        </w:rPr>
        <w:t>T</w:t>
      </w:r>
      <w:r>
        <w:rPr>
          <w:b/>
          <w:bCs/>
          <w:sz w:val="13"/>
          <w:szCs w:val="13"/>
        </w:rPr>
        <w:t>RATAMIENTO</w:t>
      </w:r>
      <w:r>
        <w:rPr>
          <w:b/>
          <w:bCs/>
        </w:rPr>
        <w:t xml:space="preserve">: </w:t>
      </w:r>
      <w:r>
        <w:t xml:space="preserve">Los niños y los adultos infestados deben aplicarse alguna loción o una crema que contenga un escabicida y que cubra todo el cuerpo por debajo de la cabeza. La sarna abarca la cabeza, el cuero cabelludo y el cuello en lactantes y niños muy pequeños, por lo que en este grupo de edad habrá que hacer tratamiento de todas esas zonas además del cuerpo. El medicamento más indicado, particularmente en lactantes, niños de corta edad y embarazadas o mujeres que amamantan, es la crema de permetrina al 5%, que es un piretroide sintético. Otros fármacos son la crema o loción de lindano al 1% y el crotamitón al 10%. La permetrina se eliminará al bañar al paciente después de 8 a 14 h de aplicada, y en el caso del lindano, después de 8 a 12 h. El crotamitón se aplica una vez al día durante dos días, y luego el paciente se da un baño de limpieza 48 h después de la última aplicación, pero el uso de dicho fármaco se acompaña de ineficacias terapéuticas frecuentes. La ivermectina en una sola dosis ingerida es eficaz para tratar la sarna grave o encostrada (Noruega) y hay que pensar en su empleo en el caso de sujetos cuya infestación es refractaria a la terapia tópica o que no la toleran. En Estados Unidos la </w:t>
      </w:r>
      <w:r>
        <w:rPr>
          <w:rFonts w:ascii="Times New Roman" w:eastAsia="Times New Roman" w:hAnsi="Times New Roman" w:cs="Times New Roman"/>
          <w:i/>
          <w:iCs/>
          <w:sz w:val="16"/>
          <w:szCs w:val="16"/>
        </w:rPr>
        <w:t>Food and Drug Administration</w:t>
      </w:r>
      <w:r>
        <w:t xml:space="preserve"> no ha aprobado el uso de la permetrina con tal indicación.</w:t>
      </w:r>
    </w:p>
    <w:p w14:paraId="7C636EE8" w14:textId="77777777" w:rsidR="00D03C17" w:rsidRDefault="00D03C17">
      <w:pPr>
        <w:pStyle w:val="BodyText"/>
        <w:ind w:firstLine="360"/>
        <w:sectPr w:rsidR="00D03C17" w:rsidSect="00D03C17">
          <w:headerReference w:type="even" r:id="rId331"/>
          <w:headerReference w:type="default" r:id="rId332"/>
          <w:footerReference w:type="even" r:id="rId333"/>
          <w:footerReference w:type="default" r:id="rId334"/>
          <w:headerReference w:type="first" r:id="rId335"/>
          <w:footerReference w:type="first" r:id="rId336"/>
          <w:footnotePr>
            <w:numFmt w:val="chicago"/>
          </w:footnotePr>
          <w:pgSz w:w="8501" w:h="13022"/>
          <w:pgMar w:top="898" w:right="798" w:bottom="504" w:left="816" w:header="0" w:footer="3" w:gutter="0"/>
          <w:pgNumType w:start="718"/>
          <w:cols w:space="720"/>
          <w:noEndnote/>
          <w:titlePg/>
          <w:docGrid w:linePitch="360"/>
          <w15:footnoteColumns w:val="1"/>
        </w:sectPr>
      </w:pPr>
      <w:r>
        <w:t xml:space="preserve">Es importante no utilizar lindado en personas con sarna encostrada, en prematuros, individuos con cuadros convulsivos identificados, personas con hipersensibilidad al fármaco, lactantes de corta edad, embarazadas o mujeres que amamantan a su hijo y pacientes con dermatitis extensa. Las aplicaciones de lindano no deben hacerse con una </w:t>
      </w:r>
    </w:p>
    <w:p w14:paraId="0DA2C7F9" w14:textId="77777777" w:rsidR="00D03C17" w:rsidRDefault="00D03C17">
      <w:pPr>
        <w:pStyle w:val="BodyText"/>
        <w:ind w:firstLine="0"/>
      </w:pPr>
      <w:r>
        <w:t>frecuencia que exceda de la recomendada por el fabricante y así disminuirá el peligro de posibles efectos tóxicos en el sistema nervioso después de absorberse el fármaco por la piel. No debe utilizarse tal fármaco inmediatamente después de un baño en tina o regadera.</w:t>
      </w:r>
    </w:p>
    <w:p w14:paraId="38DE6184" w14:textId="77777777" w:rsidR="00D03C17" w:rsidRDefault="00D03C17">
      <w:pPr>
        <w:pStyle w:val="BodyText"/>
        <w:spacing w:after="220"/>
        <w:ind w:firstLine="360"/>
      </w:pPr>
      <w:r>
        <w:t xml:space="preserve">Las lesiones escabiásicas son resultado de una reacción de hipersensibilidad al ácaro, por lo que es posible que el prurito persista durante varias semanas a pesar del tratamiento satisfactorio. Tal signo molesto puede ceder con el uso de antihistamínicos ingeribles y corticosteroides tópicos. Los antimicrobianos tópicos y sistémicos están indicados en casos de infecciones bacterianas secundarias en las lesiones excoriadas. </w:t>
      </w:r>
      <w:r>
        <w:rPr>
          <w:b/>
          <w:bCs/>
        </w:rPr>
        <w:t>A</w:t>
      </w:r>
      <w:r>
        <w:rPr>
          <w:b/>
          <w:bCs/>
          <w:sz w:val="13"/>
          <w:szCs w:val="13"/>
        </w:rPr>
        <w:t xml:space="preserve">ISLAMIENTO </w:t>
      </w:r>
      <w:r>
        <w:rPr>
          <w:b/>
          <w:bCs/>
          <w:smallCaps/>
          <w:sz w:val="16"/>
          <w:szCs w:val="16"/>
        </w:rPr>
        <w:t>del</w:t>
      </w:r>
      <w:r>
        <w:rPr>
          <w:b/>
          <w:bCs/>
          <w:sz w:val="13"/>
          <w:szCs w:val="13"/>
        </w:rPr>
        <w:t xml:space="preserve"> PACIENTE HOSPITALIZADO</w:t>
      </w:r>
      <w:r>
        <w:rPr>
          <w:b/>
          <w:bCs/>
        </w:rPr>
        <w:t xml:space="preserve">: </w:t>
      </w:r>
      <w:r>
        <w:t>Además de las precauciones estándar se recomiendan las que se siguen para evitar la transmisión por contacto hasta que el paciente haya sido tratado con el escabicida apropiado.</w:t>
      </w:r>
    </w:p>
    <w:p w14:paraId="464FD86C" w14:textId="77777777" w:rsidR="00D03C17" w:rsidRDefault="00D03C17">
      <w:pPr>
        <w:pStyle w:val="Other0"/>
        <w:spacing w:line="257" w:lineRule="auto"/>
        <w:ind w:firstLine="0"/>
        <w:rPr>
          <w:sz w:val="20"/>
          <w:szCs w:val="20"/>
        </w:rPr>
      </w:pPr>
      <w:r>
        <w:rPr>
          <w:b/>
          <w:bCs/>
          <w:smallCaps/>
          <w:sz w:val="20"/>
          <w:szCs w:val="20"/>
        </w:rPr>
        <w:t>M</w:t>
      </w:r>
      <w:r>
        <w:rPr>
          <w:b/>
          <w:bCs/>
          <w:smallCaps/>
          <w:sz w:val="16"/>
          <w:szCs w:val="16"/>
        </w:rPr>
        <w:t>edidas preventivas</w:t>
      </w:r>
      <w:r>
        <w:rPr>
          <w:b/>
          <w:bCs/>
          <w:smallCaps/>
          <w:sz w:val="20"/>
          <w:szCs w:val="20"/>
        </w:rPr>
        <w:t>:</w:t>
      </w:r>
    </w:p>
    <w:p w14:paraId="002E8E6A" w14:textId="77777777" w:rsidR="00D03C17" w:rsidRDefault="00D03C17">
      <w:pPr>
        <w:pStyle w:val="BodyText"/>
        <w:numPr>
          <w:ilvl w:val="0"/>
          <w:numId w:val="94"/>
        </w:numPr>
        <w:tabs>
          <w:tab w:val="left" w:pos="340"/>
        </w:tabs>
        <w:ind w:left="360" w:hanging="360"/>
      </w:pPr>
      <w:bookmarkStart w:id="306" w:name="bookmark1312"/>
      <w:bookmarkEnd w:id="306"/>
      <w:r>
        <w:t>Se recomienda emplear medidas profilácticas en los miembros del círculo familiar, particularmente los que han tenido contacto cutáneo directo y duradero. Las manifestaciones de la sarna pueden surgir incluso dos meses después de la exposición, y en ese lapso el paciente transmite el ácaro. Es necesario tratar a todos los miembros del círculo familiar, en la misma fecha, para evitar la reinfestación. Hay que lavar en una lavadora con agua caliente y secarla con el ciclo de calor las ropas de cama y personales que se pongan en contacto con la piel durante cuatro días antes de emprender el tratamiento. Los ácaros no sobreviven más de tres a cuatro días si pierden el contacto con la piel. Las ropas que no pueden ser lavadas deben ser separadas del cuerpo del paciente y guardadas durante varios días a una semana para evitar la reinfestación.</w:t>
      </w:r>
    </w:p>
    <w:p w14:paraId="151A308F" w14:textId="77777777" w:rsidR="00D03C17" w:rsidRDefault="00D03C17">
      <w:pPr>
        <w:pStyle w:val="BodyText"/>
        <w:numPr>
          <w:ilvl w:val="0"/>
          <w:numId w:val="94"/>
        </w:numPr>
        <w:tabs>
          <w:tab w:val="left" w:pos="340"/>
        </w:tabs>
        <w:ind w:left="360" w:hanging="360"/>
      </w:pPr>
      <w:bookmarkStart w:id="307" w:name="bookmark1313"/>
      <w:bookmarkEnd w:id="307"/>
      <w:r>
        <w:t>Se permitirá el retorno de los menores a instituciones de cuidado infantil o a la escuela después de completar el tratamiento.</w:t>
      </w:r>
    </w:p>
    <w:p w14:paraId="28C58C55" w14:textId="77777777" w:rsidR="00D03C17" w:rsidRDefault="00D03C17">
      <w:pPr>
        <w:pStyle w:val="BodyText"/>
        <w:numPr>
          <w:ilvl w:val="0"/>
          <w:numId w:val="94"/>
        </w:numPr>
        <w:tabs>
          <w:tab w:val="left" w:pos="340"/>
        </w:tabs>
        <w:ind w:left="360" w:hanging="360"/>
      </w:pPr>
      <w:bookmarkStart w:id="308" w:name="bookmark1314"/>
      <w:bookmarkEnd w:id="308"/>
      <w:r>
        <w:t>Las epidemias y los brotes localizados obligan a veces a la institución de medidas estrictas y constantes para tratar a los contactos. Los cuidadores que han tenido contacto prolongado piel con piel de pacientes infestados se pueden beneficiar con las medidas profilácticas.</w:t>
      </w:r>
    </w:p>
    <w:p w14:paraId="3DA56B6E" w14:textId="77777777" w:rsidR="00D03C17" w:rsidRDefault="00D03C17">
      <w:pPr>
        <w:pStyle w:val="BodyText"/>
        <w:numPr>
          <w:ilvl w:val="0"/>
          <w:numId w:val="94"/>
        </w:numPr>
        <w:tabs>
          <w:tab w:val="left" w:pos="340"/>
        </w:tabs>
        <w:ind w:left="360" w:hanging="360"/>
      </w:pPr>
      <w:bookmarkStart w:id="309" w:name="bookmark1315"/>
      <w:bookmarkEnd w:id="309"/>
      <w:r>
        <w:t>No se necesita ni se justifica la desinfestación ambiental. Se recomienda la limpieza minuciosa de las superficies del entorno con una aspiradora después que un individuo con sarna encostrada o noruega utiliza una estancia.</w:t>
      </w:r>
    </w:p>
    <w:p w14:paraId="0E17431D" w14:textId="77777777" w:rsidR="00D03C17" w:rsidRDefault="00D03C17">
      <w:pPr>
        <w:pStyle w:val="BodyText"/>
        <w:numPr>
          <w:ilvl w:val="0"/>
          <w:numId w:val="94"/>
        </w:numPr>
        <w:tabs>
          <w:tab w:val="left" w:pos="340"/>
        </w:tabs>
        <w:spacing w:after="100"/>
        <w:ind w:left="360" w:hanging="360"/>
      </w:pPr>
      <w:bookmarkStart w:id="310" w:name="bookmark1316"/>
      <w:bookmarkEnd w:id="310"/>
      <w:r>
        <w:t>Hay que tratar de manera inmediata e intensiva a toda persona con sarna encostrada (noruega) y sus contactos cercanos para evitar brotes de la enfermedad.</w:t>
      </w:r>
    </w:p>
    <w:p w14:paraId="2D767572" w14:textId="77777777" w:rsidR="00D03C17" w:rsidRDefault="00D03C17">
      <w:pPr>
        <w:pStyle w:val="Bodytext70"/>
        <w:spacing w:after="0"/>
      </w:pPr>
      <w:r>
        <w:rPr>
          <w:i/>
          <w:iCs/>
        </w:rPr>
        <w:t xml:space="preserve">Escherichia coli, </w:t>
      </w:r>
      <w:r>
        <w:rPr>
          <w:i/>
          <w:iCs/>
          <w:w w:val="100"/>
        </w:rPr>
        <w:t>y</w:t>
      </w:r>
      <w:r>
        <w:t xml:space="preserve"> otros bacilos gramnegativos</w:t>
      </w:r>
    </w:p>
    <w:p w14:paraId="34845BF3" w14:textId="77777777" w:rsidR="00D03C17" w:rsidRDefault="00D03C17">
      <w:pPr>
        <w:pStyle w:val="Other0"/>
        <w:spacing w:line="252" w:lineRule="auto"/>
        <w:ind w:firstLine="0"/>
        <w:rPr>
          <w:sz w:val="20"/>
          <w:szCs w:val="20"/>
        </w:rPr>
      </w:pPr>
      <w:r>
        <w:rPr>
          <w:rFonts w:ascii="Arial" w:eastAsia="Arial" w:hAnsi="Arial" w:cs="Arial"/>
          <w:b/>
          <w:bCs/>
          <w:w w:val="70"/>
          <w:sz w:val="20"/>
          <w:szCs w:val="20"/>
        </w:rPr>
        <w:t>(Septicemia y meningitis en neonatos)</w:t>
      </w:r>
    </w:p>
    <w:p w14:paraId="54C84255" w14:textId="77777777" w:rsidR="00D03C17" w:rsidRDefault="00D03C17">
      <w:pPr>
        <w:pStyle w:val="BodyText"/>
        <w:spacing w:line="276" w:lineRule="auto"/>
        <w:ind w:firstLine="0"/>
      </w:pPr>
      <w:r>
        <w:rPr>
          <w:b/>
          <w:bCs/>
        </w:rPr>
        <w:t>M</w:t>
      </w:r>
      <w:r>
        <w:rPr>
          <w:b/>
          <w:bCs/>
          <w:sz w:val="13"/>
          <w:szCs w:val="13"/>
        </w:rPr>
        <w:t>ANIFESTACIONES CLÍNICAS</w:t>
      </w:r>
      <w:r>
        <w:rPr>
          <w:b/>
          <w:bCs/>
        </w:rPr>
        <w:t xml:space="preserve">: </w:t>
      </w:r>
      <w:r>
        <w:t xml:space="preserve">Es imposible diferenciar sobre bases clínicas a la septicemia o la meningitis neonatal causadas por </w:t>
      </w:r>
      <w:r>
        <w:rPr>
          <w:rFonts w:ascii="Times New Roman" w:eastAsia="Times New Roman" w:hAnsi="Times New Roman" w:cs="Times New Roman"/>
          <w:i/>
          <w:iCs/>
          <w:sz w:val="16"/>
          <w:szCs w:val="16"/>
        </w:rPr>
        <w:t>Escherichia coli</w:t>
      </w:r>
      <w:r>
        <w:t xml:space="preserve"> y otros bacilos gramnegativos, de infecciones graves causadas por otros agentes infecciosos. Los primeros signos de sepsis tal vez sean sutiles y semejantes a los observados en cuadros no infecciosos. Los signos clínicos de septicemia incluyen fiebre, inestabilidad térmica, “gruñidos” respiratorios, apnea, cianosis, letargia, irritabilidad, anorexia, vómitos, ictericia, hepatomegalia, distensión abdominal y diarrea. La meningitis puede aparecer sin signos manifiestos que sugieran ataque del sistema nervioso central. Algunos bacilos gramnegativos, como </w:t>
      </w:r>
      <w:r>
        <w:rPr>
          <w:rFonts w:ascii="Times New Roman" w:eastAsia="Times New Roman" w:hAnsi="Times New Roman" w:cs="Times New Roman"/>
          <w:i/>
          <w:iCs/>
          <w:sz w:val="16"/>
          <w:szCs w:val="16"/>
        </w:rPr>
        <w:t>Citrobacter koseri, Enterobacter sakazakii</w:t>
      </w:r>
      <w:r>
        <w:t xml:space="preserve"> y </w:t>
      </w:r>
      <w:r>
        <w:rPr>
          <w:rFonts w:ascii="Times New Roman" w:eastAsia="Times New Roman" w:hAnsi="Times New Roman" w:cs="Times New Roman"/>
          <w:i/>
          <w:iCs/>
          <w:sz w:val="16"/>
          <w:szCs w:val="16"/>
        </w:rPr>
        <w:t>Serratia marcescens</w:t>
      </w:r>
      <w:r>
        <w:t xml:space="preserve"> pueden ocasionar abscesos encefálicos en lactantes con meningitis causada por dichos microorganismos. esporotricosis diseminada y la infección en niños con inmunodeficiencias, incluida la infección por virus de inmunodeficiencia humana (VIH). A veces se necesita el itraconazol para terapia de sostén permanente después de la administración inicial de anfotericina B en niños con infección por VIH. La infección pulmonar y la diseminada reaccionan en forma menos satisfactoria que la infección cutánea, a pesar de la terapia duradera. A veces se necesita el desbridamiento quirúrgico o la extirpación para lograr que muestren resolución las cavidades que afectan el pulmón.</w:t>
      </w:r>
    </w:p>
    <w:p w14:paraId="21A5948B" w14:textId="77777777" w:rsidR="00D03C17" w:rsidRDefault="00D03C17">
      <w:pPr>
        <w:pStyle w:val="BodyText"/>
        <w:spacing w:line="262" w:lineRule="auto"/>
        <w:ind w:firstLine="0"/>
      </w:pPr>
      <w:r>
        <w:rPr>
          <w:b/>
          <w:bCs/>
          <w:smallCaps/>
          <w:sz w:val="20"/>
          <w:szCs w:val="20"/>
        </w:rPr>
        <w:t>A</w:t>
      </w:r>
      <w:r>
        <w:rPr>
          <w:b/>
          <w:bCs/>
          <w:smallCaps/>
          <w:sz w:val="16"/>
          <w:szCs w:val="16"/>
        </w:rPr>
        <w:t>islamiento de los pacientes hospitalizados</w:t>
      </w:r>
      <w:r>
        <w:rPr>
          <w:b/>
          <w:bCs/>
          <w:smallCaps/>
          <w:sz w:val="20"/>
          <w:szCs w:val="20"/>
        </w:rPr>
        <w:t>:</w:t>
      </w:r>
      <w:r>
        <w:t xml:space="preserve"> Conviene seguir las precauciones estándar.</w:t>
      </w:r>
    </w:p>
    <w:p w14:paraId="68404DEB" w14:textId="77777777" w:rsidR="00D03C17" w:rsidRDefault="00D03C17">
      <w:pPr>
        <w:pStyle w:val="BodyText"/>
        <w:spacing w:after="100"/>
        <w:ind w:firstLine="0"/>
      </w:pPr>
      <w:r>
        <w:rPr>
          <w:b/>
          <w:bCs/>
        </w:rPr>
        <w:t>M</w:t>
      </w:r>
      <w:r>
        <w:rPr>
          <w:b/>
          <w:bCs/>
          <w:sz w:val="13"/>
          <w:szCs w:val="13"/>
        </w:rPr>
        <w:t xml:space="preserve">EDIDAS </w:t>
      </w:r>
      <w:r>
        <w:rPr>
          <w:b/>
          <w:bCs/>
          <w:smallCaps/>
          <w:sz w:val="16"/>
          <w:szCs w:val="16"/>
        </w:rPr>
        <w:t>preventivas</w:t>
      </w:r>
      <w:r>
        <w:rPr>
          <w:b/>
          <w:bCs/>
          <w:smallCaps/>
          <w:sz w:val="20"/>
          <w:szCs w:val="20"/>
        </w:rPr>
        <w:t>:</w:t>
      </w:r>
      <w:r>
        <w:t xml:space="preserve"> El riesgo de la enfermedad puede disminuir si se utilizan guantes y ropas protectoras en actividades ocupacionales y no ocupacionales.</w:t>
      </w:r>
    </w:p>
    <w:p w14:paraId="05FA1DC5" w14:textId="77777777" w:rsidR="00D03C17" w:rsidRDefault="00D03C17">
      <w:pPr>
        <w:pStyle w:val="Bodytext70"/>
        <w:spacing w:after="0"/>
      </w:pPr>
      <w:r>
        <w:t>Esquistosomiasis</w:t>
      </w:r>
    </w:p>
    <w:p w14:paraId="6754C988" w14:textId="77777777" w:rsidR="00D03C17" w:rsidRDefault="00D03C17">
      <w:pPr>
        <w:pStyle w:val="BodyText"/>
        <w:spacing w:line="276" w:lineRule="auto"/>
        <w:ind w:firstLine="0"/>
        <w:rPr>
          <w:sz w:val="16"/>
          <w:szCs w:val="16"/>
        </w:rPr>
      </w:pPr>
      <w:r>
        <w:rPr>
          <w:b/>
          <w:bCs/>
        </w:rPr>
        <w:t>M</w:t>
      </w:r>
      <w:r>
        <w:rPr>
          <w:b/>
          <w:bCs/>
          <w:sz w:val="13"/>
          <w:szCs w:val="13"/>
        </w:rPr>
        <w:t xml:space="preserve">ANIFESTACIONES </w:t>
      </w:r>
      <w:r>
        <w:rPr>
          <w:b/>
          <w:bCs/>
          <w:smallCaps/>
          <w:sz w:val="16"/>
          <w:szCs w:val="16"/>
        </w:rPr>
        <w:t>clínicas</w:t>
      </w:r>
      <w:r>
        <w:rPr>
          <w:b/>
          <w:bCs/>
          <w:smallCaps/>
          <w:sz w:val="20"/>
          <w:szCs w:val="20"/>
        </w:rPr>
        <w:t>:</w:t>
      </w:r>
      <w:r>
        <w:t xml:space="preserve"> La penetración inicial de larvas infectantes (cercarias) por la piel suele acompañarse de una erupción papulosa, pruriginosa y transitoria llamada dermatitis por cercaria. Una vez en la piel, el microorganismo penetra en la sangre y emigra a los pulmones. Cada una de las tres principales esquistosomas parásitos del ser humano vive en alguna zona del plexo venoso que recibe sangre de los intestinos o la vejiga. Cuatro a ocho semanas después de la exposición a </w:t>
      </w:r>
      <w:r>
        <w:rPr>
          <w:rFonts w:ascii="Times New Roman" w:eastAsia="Times New Roman" w:hAnsi="Times New Roman" w:cs="Times New Roman"/>
          <w:i/>
          <w:iCs/>
          <w:sz w:val="16"/>
          <w:szCs w:val="16"/>
        </w:rPr>
        <w:t>Schistosoma mansoni</w:t>
      </w:r>
      <w:r>
        <w:t xml:space="preserve"> o </w:t>
      </w:r>
      <w:r>
        <w:rPr>
          <w:rFonts w:ascii="Times New Roman" w:eastAsia="Times New Roman" w:hAnsi="Times New Roman" w:cs="Times New Roman"/>
          <w:i/>
          <w:iCs/>
          <w:sz w:val="16"/>
          <w:szCs w:val="16"/>
        </w:rPr>
        <w:t>Schistosoma japonicum,</w:t>
      </w:r>
      <w:r>
        <w:t xml:space="preserve"> surge un cuadro agudo que se manifiesta con fiebre, malestar general, tos, erupciones, dolor abdominal, diarrea, náuseas, linfadenopatía y eosinofilia (fiebre de Katayama). Las infestaciones tempranas pueden ocasionar una diarrea mucosanguinolenta acompañada de hepatomegalia dolorosa al tacto. La intensidad de los síntomas en el caso de la enfermedad crónica depende del número de parásitos. Es posible que las personas que tienen un número reducido o moderado de tales patógenos no muestren síntomas, en tanto que las que tienen un gran número presentarán síntomas muy variables causados más bien por la inflamación y la fibrosis desencadenada por los huevos producidos por los vermes adultos. Surge a veces hipertensión portal y origina hepatosplenomegalia, ascitis y varices esofágica. El ataque del colon durante largo tiempo origina dolor abdominal y diarrea sanguinolenta. En infecciones por </w:t>
      </w:r>
      <w:r>
        <w:rPr>
          <w:rFonts w:ascii="Times New Roman" w:eastAsia="Times New Roman" w:hAnsi="Times New Roman" w:cs="Times New Roman"/>
          <w:i/>
          <w:iCs/>
          <w:sz w:val="16"/>
          <w:szCs w:val="16"/>
        </w:rPr>
        <w:t>Schistosoma haematobium,</w:t>
      </w:r>
      <w:r>
        <w:t xml:space="preserve"> la vejiga se inflama y torna fibrótica. Los síntomas y signos incluyen disuria, urgencia para la micción, hematuria microscópica y macroscópica terminal, infecciones secundarias de vías urinarias y dolor pélvico inespecífico. Es posible el ataque de otros órganos y sistemas por los huevos embolizados, por ejemplo en los pulmones, con lo que surgirá hipertensión pulmonar o en el sistema nervioso central y en particular la médula espinal en infecciones por </w:t>
      </w:r>
      <w:r>
        <w:rPr>
          <w:rFonts w:ascii="Times New Roman" w:eastAsia="Times New Roman" w:hAnsi="Times New Roman" w:cs="Times New Roman"/>
          <w:i/>
          <w:iCs/>
          <w:sz w:val="16"/>
          <w:szCs w:val="16"/>
        </w:rPr>
        <w:t>S. mansoni</w:t>
      </w:r>
      <w:r>
        <w:t xml:space="preserve"> o </w:t>
      </w:r>
      <w:r>
        <w:rPr>
          <w:rFonts w:ascii="Times New Roman" w:eastAsia="Times New Roman" w:hAnsi="Times New Roman" w:cs="Times New Roman"/>
          <w:i/>
          <w:iCs/>
          <w:sz w:val="16"/>
          <w:szCs w:val="16"/>
        </w:rPr>
        <w:t>S. haematobium</w:t>
      </w:r>
      <w:r>
        <w:rPr>
          <w:i/>
          <w:iCs/>
        </w:rPr>
        <w:t>,</w:t>
      </w:r>
      <w:r>
        <w:t xml:space="preserve"> y el encéfalo en infección por </w:t>
      </w:r>
      <w:r>
        <w:rPr>
          <w:rFonts w:ascii="Times New Roman" w:eastAsia="Times New Roman" w:hAnsi="Times New Roman" w:cs="Times New Roman"/>
          <w:i/>
          <w:iCs/>
          <w:sz w:val="16"/>
          <w:szCs w:val="16"/>
        </w:rPr>
        <w:t>S. japonicum.</w:t>
      </w:r>
    </w:p>
    <w:p w14:paraId="3AC464BC" w14:textId="77777777" w:rsidR="00D03C17" w:rsidRDefault="00D03C17">
      <w:pPr>
        <w:pStyle w:val="BodyText"/>
        <w:spacing w:after="40" w:line="271" w:lineRule="auto"/>
        <w:ind w:firstLine="360"/>
        <w:sectPr w:rsidR="00D03C17" w:rsidSect="00D03C17">
          <w:headerReference w:type="even" r:id="rId337"/>
          <w:headerReference w:type="default" r:id="rId338"/>
          <w:footerReference w:type="even" r:id="rId339"/>
          <w:footerReference w:type="default" r:id="rId340"/>
          <w:headerReference w:type="first" r:id="rId341"/>
          <w:footerReference w:type="first" r:id="rId342"/>
          <w:footnotePr>
            <w:numFmt w:val="chicago"/>
          </w:footnotePr>
          <w:pgSz w:w="8501" w:h="13022"/>
          <w:pgMar w:top="898" w:right="798" w:bottom="504" w:left="816" w:header="0" w:footer="3" w:gutter="0"/>
          <w:cols w:space="720"/>
          <w:noEndnote/>
          <w:titlePg/>
          <w:docGrid w:linePitch="360"/>
          <w15:footnoteColumns w:val="1"/>
        </w:sectPr>
      </w:pPr>
      <w:r>
        <w:t xml:space="preserve">La dermatitis por cercaria o esquistosomas (llamada sarna de los nadadores) es causada por las larvas de otras esquistosomas de aves y mamíferos que penetran en la piel humana pero no completan el ciclo vital y no ocasionan enfermedad fibrótica crónica. Las manifestaciones incluyen prurito leve o moderado en el sitio de la penetración, horas después de la exposición, y en cinco a 14 días surge una erupción a veces papular, pruriginosa e intermitente. En personas ya sensibilizadas pueden surgir erupciones papulares más intensas siete a 10 días después de la exposición. </w:t>
      </w:r>
      <w:r>
        <w:rPr>
          <w:b/>
          <w:bCs/>
          <w:smallCaps/>
          <w:sz w:val="20"/>
          <w:szCs w:val="20"/>
        </w:rPr>
        <w:t>C</w:t>
      </w:r>
      <w:r>
        <w:rPr>
          <w:b/>
          <w:bCs/>
          <w:smallCaps/>
          <w:sz w:val="16"/>
          <w:szCs w:val="16"/>
        </w:rPr>
        <w:t>ausa</w:t>
      </w:r>
      <w:r>
        <w:rPr>
          <w:b/>
          <w:bCs/>
          <w:smallCaps/>
          <w:sz w:val="20"/>
          <w:szCs w:val="20"/>
        </w:rPr>
        <w:t>:</w:t>
      </w:r>
      <w:r>
        <w:t xml:space="preserve"> La enfermedad es causada por trematodos o duelas como </w:t>
      </w:r>
      <w:r>
        <w:rPr>
          <w:rFonts w:ascii="Times New Roman" w:eastAsia="Times New Roman" w:hAnsi="Times New Roman" w:cs="Times New Roman"/>
          <w:i/>
          <w:iCs/>
          <w:sz w:val="16"/>
          <w:szCs w:val="16"/>
        </w:rPr>
        <w:t>S. mansoni, S. japonicum, S. haematobium</w:t>
      </w:r>
      <w:r>
        <w:t xml:space="preserve"> y en raras ocasiones </w:t>
      </w:r>
      <w:r>
        <w:rPr>
          <w:rFonts w:ascii="Times New Roman" w:eastAsia="Times New Roman" w:hAnsi="Times New Roman" w:cs="Times New Roman"/>
          <w:i/>
          <w:iCs/>
          <w:sz w:val="16"/>
          <w:szCs w:val="16"/>
        </w:rPr>
        <w:t>Schistosoma mekongi</w:t>
      </w:r>
      <w:r>
        <w:t xml:space="preserve"> y </w:t>
      </w:r>
      <w:r>
        <w:rPr>
          <w:rFonts w:ascii="Times New Roman" w:eastAsia="Times New Roman" w:hAnsi="Times New Roman" w:cs="Times New Roman"/>
          <w:i/>
          <w:iCs/>
          <w:sz w:val="16"/>
          <w:szCs w:val="16"/>
        </w:rPr>
        <w:t xml:space="preserve">Schistosoma intercalatum. </w:t>
      </w:r>
      <w:r>
        <w:t xml:space="preserve">Todas las especies pasan por ciclos vitales similares. La dermatitis por cercarias es causada por múltiples especies de </w:t>
      </w:r>
      <w:r>
        <w:rPr>
          <w:rFonts w:ascii="Times New Roman" w:eastAsia="Times New Roman" w:hAnsi="Times New Roman" w:cs="Times New Roman"/>
          <w:i/>
          <w:iCs/>
          <w:sz w:val="16"/>
          <w:szCs w:val="16"/>
        </w:rPr>
        <w:t>Schistosoma</w:t>
      </w:r>
      <w:r>
        <w:t xml:space="preserve"> de aves y mamíferos.</w:t>
      </w:r>
    </w:p>
    <w:p w14:paraId="1B596394" w14:textId="77777777" w:rsidR="00D03C17" w:rsidRDefault="00D03C17">
      <w:pPr>
        <w:pStyle w:val="BodyText"/>
        <w:ind w:firstLine="0"/>
      </w:pPr>
      <w:r>
        <w:rPr>
          <w:b/>
          <w:bCs/>
        </w:rPr>
        <w:t>A</w:t>
      </w:r>
      <w:r>
        <w:rPr>
          <w:b/>
          <w:bCs/>
          <w:sz w:val="13"/>
          <w:szCs w:val="13"/>
        </w:rPr>
        <w:t>SPECTOS EPIDEMIOLÓGICOS</w:t>
      </w:r>
      <w:r>
        <w:rPr>
          <w:b/>
          <w:bCs/>
        </w:rPr>
        <w:t xml:space="preserve">: </w:t>
      </w:r>
      <w:r>
        <w:t xml:space="preserve">Los seres humanos son los hospedadores principales de las especies más connotadas. La persistencia de la esquistosomiasis depende de la presencia de un caracol adecuado que sirva como hospedador intermedio. Los huevos excretados en excrementos </w:t>
      </w:r>
      <w:r>
        <w:rPr>
          <w:rFonts w:ascii="Times New Roman" w:eastAsia="Times New Roman" w:hAnsi="Times New Roman" w:cs="Times New Roman"/>
          <w:i/>
          <w:iCs/>
          <w:sz w:val="16"/>
          <w:szCs w:val="16"/>
        </w:rPr>
        <w:t>(S. mansoni</w:t>
      </w:r>
      <w:r>
        <w:t xml:space="preserve"> y </w:t>
      </w:r>
      <w:r>
        <w:rPr>
          <w:rFonts w:ascii="Times New Roman" w:eastAsia="Times New Roman" w:hAnsi="Times New Roman" w:cs="Times New Roman"/>
          <w:i/>
          <w:iCs/>
          <w:sz w:val="16"/>
          <w:szCs w:val="16"/>
        </w:rPr>
        <w:t>S. japonicum)</w:t>
      </w:r>
      <w:r>
        <w:t xml:space="preserve"> o la orina </w:t>
      </w:r>
      <w:r>
        <w:rPr>
          <w:rFonts w:ascii="Times New Roman" w:eastAsia="Times New Roman" w:hAnsi="Times New Roman" w:cs="Times New Roman"/>
          <w:i/>
          <w:iCs/>
          <w:sz w:val="16"/>
          <w:szCs w:val="16"/>
        </w:rPr>
        <w:t>(S. haematobium)</w:t>
      </w:r>
      <w:r>
        <w:t xml:space="preserve"> en agua dulce hacen eclosión, es decir, sale de su interior el miracidio móvil que infecta a los caracoles. Una vez que ajusta su ciclo de desarrollo, en ellos surgen cercarias y penetran la piel de los seres humanos en contacto con el agua. Los niños por lo común son infectados en la lactancia cuando comienzan a explorar su entorno. Ellos muy a menudo intervienen en la transmisión, por el hábito de defecación no controlada, micción y vadeo frecuente de aguas infectadas. La transmisibilidad dura el tiempo en que los huevos activos o “vivos” son excretados por la orina y las heces.</w:t>
      </w:r>
    </w:p>
    <w:p w14:paraId="4F4DF217" w14:textId="77777777" w:rsidR="00D03C17" w:rsidRDefault="00D03C17">
      <w:pPr>
        <w:pStyle w:val="BodyText"/>
        <w:ind w:firstLine="360"/>
      </w:pPr>
      <w:r>
        <w:rPr>
          <w:rFonts w:ascii="Times New Roman" w:eastAsia="Times New Roman" w:hAnsi="Times New Roman" w:cs="Times New Roman"/>
          <w:i/>
          <w:iCs/>
          <w:sz w:val="16"/>
          <w:szCs w:val="16"/>
        </w:rPr>
        <w:t>Schistosoma mansoni</w:t>
      </w:r>
      <w:r>
        <w:t xml:space="preserve"> está distribuido en África tropical, algunas islas del Caribe y en Venezuela, Brasil, Surinam y la Península Arábiga. </w:t>
      </w:r>
      <w:r>
        <w:rPr>
          <w:rFonts w:ascii="Times New Roman" w:eastAsia="Times New Roman" w:hAnsi="Times New Roman" w:cs="Times New Roman"/>
          <w:i/>
          <w:iCs/>
          <w:sz w:val="16"/>
          <w:szCs w:val="16"/>
        </w:rPr>
        <w:t>Schistosoma japonicum</w:t>
      </w:r>
      <w:r>
        <w:t xml:space="preserve"> aparece en China, las Filipinas e Indonesia. </w:t>
      </w:r>
      <w:r>
        <w:rPr>
          <w:rFonts w:ascii="Times New Roman" w:eastAsia="Times New Roman" w:hAnsi="Times New Roman" w:cs="Times New Roman"/>
          <w:i/>
          <w:iCs/>
          <w:sz w:val="16"/>
          <w:szCs w:val="16"/>
        </w:rPr>
        <w:t>Schistosoma haematobium</w:t>
      </w:r>
      <w:r>
        <w:t xml:space="preserve"> surge en África y en la región oriental del Mediterráneo. </w:t>
      </w:r>
      <w:r>
        <w:rPr>
          <w:rFonts w:ascii="Times New Roman" w:eastAsia="Times New Roman" w:hAnsi="Times New Roman" w:cs="Times New Roman"/>
          <w:i/>
          <w:iCs/>
          <w:sz w:val="16"/>
          <w:szCs w:val="16"/>
        </w:rPr>
        <w:t>Schistosoma mekongi</w:t>
      </w:r>
      <w:r>
        <w:t xml:space="preserve"> se limita a un área pequeña del delta del Mekong en el sudeste asiático (Kampuchea y Laos). </w:t>
      </w:r>
      <w:r>
        <w:rPr>
          <w:rFonts w:ascii="Times New Roman" w:eastAsia="Times New Roman" w:hAnsi="Times New Roman" w:cs="Times New Roman"/>
          <w:i/>
          <w:iCs/>
          <w:sz w:val="16"/>
          <w:szCs w:val="16"/>
        </w:rPr>
        <w:t>Schistosoma intercalatum</w:t>
      </w:r>
      <w:r>
        <w:t xml:space="preserve"> se localiza en las zonas occidental y central de África. Se ha sabido que los vermes adultos de la especie de </w:t>
      </w:r>
      <w:r>
        <w:rPr>
          <w:rFonts w:ascii="Times New Roman" w:eastAsia="Times New Roman" w:hAnsi="Times New Roman" w:cs="Times New Roman"/>
          <w:i/>
          <w:iCs/>
          <w:sz w:val="16"/>
          <w:szCs w:val="16"/>
        </w:rPr>
        <w:t>S. mansoni</w:t>
      </w:r>
      <w:r>
        <w:t xml:space="preserve"> viven incluso 26 años en el hospedador humano. De este modo, es posible diagnosticar la enfermedad en los pacientes años después de que abandonaron un área endémica. La dermatitis por cercarias aparece en todas las regiones del mundo después que la persona se expone a larvas que están en aguas dulces, salubres o salinas y que no completan su ciclo vital en los seres humanos.</w:t>
      </w:r>
    </w:p>
    <w:p w14:paraId="7C4D4793" w14:textId="77777777" w:rsidR="00D03C17" w:rsidRDefault="00D03C17">
      <w:pPr>
        <w:pStyle w:val="BodyText"/>
        <w:ind w:firstLine="360"/>
      </w:pPr>
      <w:r>
        <w:t xml:space="preserve">El </w:t>
      </w:r>
      <w:r>
        <w:rPr>
          <w:b/>
          <w:bCs/>
        </w:rPr>
        <w:t xml:space="preserve">periodo de incubación </w:t>
      </w:r>
      <w:r>
        <w:t xml:space="preserve">es variable, pero es de unas ocho semanas en el caso de </w:t>
      </w:r>
      <w:r>
        <w:rPr>
          <w:rFonts w:ascii="Times New Roman" w:eastAsia="Times New Roman" w:hAnsi="Times New Roman" w:cs="Times New Roman"/>
          <w:i/>
          <w:iCs/>
          <w:sz w:val="16"/>
          <w:szCs w:val="16"/>
        </w:rPr>
        <w:t>S. haematobium</w:t>
      </w:r>
      <w:r>
        <w:t xml:space="preserve"> y cuatro semanas en lo que corresponde a </w:t>
      </w:r>
      <w:r>
        <w:rPr>
          <w:rFonts w:ascii="Times New Roman" w:eastAsia="Times New Roman" w:hAnsi="Times New Roman" w:cs="Times New Roman"/>
          <w:i/>
          <w:iCs/>
          <w:sz w:val="16"/>
          <w:szCs w:val="16"/>
        </w:rPr>
        <w:t>S. mansoni</w:t>
      </w:r>
      <w:r>
        <w:t xml:space="preserve"> y </w:t>
      </w:r>
      <w:r>
        <w:rPr>
          <w:rFonts w:ascii="Times New Roman" w:eastAsia="Times New Roman" w:hAnsi="Times New Roman" w:cs="Times New Roman"/>
          <w:i/>
          <w:iCs/>
          <w:sz w:val="16"/>
          <w:szCs w:val="16"/>
        </w:rPr>
        <w:t xml:space="preserve">S. japonicum. </w:t>
      </w:r>
      <w:r>
        <w:rPr>
          <w:b/>
          <w:bCs/>
        </w:rPr>
        <w:t>M</w:t>
      </w:r>
      <w:r>
        <w:rPr>
          <w:b/>
          <w:bCs/>
          <w:sz w:val="13"/>
          <w:szCs w:val="13"/>
        </w:rPr>
        <w:t>ÉTODOS DIAGNÓSTICOS</w:t>
      </w:r>
      <w:r>
        <w:rPr>
          <w:b/>
          <w:bCs/>
        </w:rPr>
        <w:t xml:space="preserve">: </w:t>
      </w:r>
      <w:r>
        <w:t xml:space="preserve">La infección por </w:t>
      </w:r>
      <w:r>
        <w:rPr>
          <w:rFonts w:ascii="Times New Roman" w:eastAsia="Times New Roman" w:hAnsi="Times New Roman" w:cs="Times New Roman"/>
          <w:i/>
          <w:iCs/>
          <w:sz w:val="16"/>
          <w:szCs w:val="16"/>
        </w:rPr>
        <w:t>S. mansoni</w:t>
      </w:r>
      <w:r>
        <w:t xml:space="preserve"> y otras especies (excepto </w:t>
      </w:r>
      <w:r>
        <w:rPr>
          <w:rFonts w:ascii="Times New Roman" w:eastAsia="Times New Roman" w:hAnsi="Times New Roman" w:cs="Times New Roman"/>
          <w:i/>
          <w:iCs/>
          <w:sz w:val="16"/>
          <w:szCs w:val="16"/>
        </w:rPr>
        <w:t>S. haematobium)</w:t>
      </w:r>
      <w:r>
        <w:t xml:space="preserve"> se identifica por el estudio microscópico de muestras concentradas de excremento para detectar los huevos característicos. En infecciones de poca monta se necesita a veces examinar varias muestras para identificar los huevos, y a veces habrá que tomar un fragmento de la mucosa rectal para biopsia. El tejido fresco obtenido debe comprimirse entre dos laminillas y estudiarse con una lente de baja amplificación (sin tinción) en busca de huevos. </w:t>
      </w:r>
      <w:r>
        <w:rPr>
          <w:rFonts w:ascii="Times New Roman" w:eastAsia="Times New Roman" w:hAnsi="Times New Roman" w:cs="Times New Roman"/>
          <w:i/>
          <w:iCs/>
          <w:sz w:val="16"/>
          <w:szCs w:val="16"/>
        </w:rPr>
        <w:t>Schistosoma haematobium</w:t>
      </w:r>
      <w:r>
        <w:t xml:space="preserve"> se diagnostica al examinar en busca de huevos la orina filtrada. La excreción de huevos alcanza su punto máximo entre el medio día y las 15:00 horas. Se necesita a veces obtener un fragmento de mucosa de la vejiga para biopsia. Los métodos serológicos que se practican en Estados Unidos en los </w:t>
      </w:r>
      <w:r>
        <w:rPr>
          <w:rFonts w:ascii="Times New Roman" w:eastAsia="Times New Roman" w:hAnsi="Times New Roman" w:cs="Times New Roman"/>
          <w:i/>
          <w:iCs/>
          <w:sz w:val="16"/>
          <w:szCs w:val="16"/>
        </w:rPr>
        <w:t>Centers for Disease Control and Prevention</w:t>
      </w:r>
      <w:r>
        <w:t xml:space="preserve"> y en algunos laboratorios comerciales puede ser comercialmente útiles para detectar las infecciones leves o antes de que aparezcan huevos en los excrementos de la orina.</w:t>
      </w:r>
    </w:p>
    <w:p w14:paraId="3BBFCFD5" w14:textId="77777777" w:rsidR="00D03C17" w:rsidRDefault="00D03C17">
      <w:pPr>
        <w:pStyle w:val="BodyText"/>
        <w:ind w:firstLine="360"/>
      </w:pPr>
      <w:r>
        <w:t>Es difícil a veces diferenciar entre la dermatitis por cercaria y otras causas de ataque de la piel. En la biopsia de piel se pueden identificar larvas, pero el hecho de no detectarlas no descarta el diagnóstico.</w:t>
      </w:r>
    </w:p>
    <w:p w14:paraId="4894FAEA" w14:textId="77777777" w:rsidR="00D03C17" w:rsidRDefault="00D03C17">
      <w:pPr>
        <w:pStyle w:val="BodyText"/>
        <w:ind w:firstLine="0"/>
      </w:pPr>
      <w:r>
        <w:rPr>
          <w:b/>
          <w:bCs/>
        </w:rPr>
        <w:t>T</w:t>
      </w:r>
      <w:r>
        <w:rPr>
          <w:b/>
          <w:bCs/>
          <w:sz w:val="13"/>
          <w:szCs w:val="13"/>
        </w:rPr>
        <w:t>RATAMIENTO</w:t>
      </w:r>
      <w:r>
        <w:rPr>
          <w:b/>
          <w:bCs/>
        </w:rPr>
        <w:t xml:space="preserve">: </w:t>
      </w:r>
      <w:r>
        <w:t xml:space="preserve">El praziquantel es el medicamento más indicado contra la esquistosomiasis causada por cualquier especie; otro fármaco al que cabe recurrir contra </w:t>
      </w:r>
      <w:r>
        <w:rPr>
          <w:rFonts w:ascii="Times New Roman" w:eastAsia="Times New Roman" w:hAnsi="Times New Roman" w:cs="Times New Roman"/>
          <w:i/>
          <w:iCs/>
          <w:sz w:val="16"/>
          <w:szCs w:val="16"/>
        </w:rPr>
        <w:t>S. mansoni</w:t>
      </w:r>
      <w:r>
        <w:t xml:space="preserve"> es la oxamniquina (véase “Fármacos antiparasitarios”, sección 4). La dermatitis por cercarias es un cuadro que cede por sí solo y necesita únicamente medidas sintomáticas contra la erupción urticariana.</w:t>
      </w:r>
    </w:p>
    <w:p w14:paraId="166AC95D" w14:textId="77777777" w:rsidR="00D03C17" w:rsidRDefault="00D03C17">
      <w:pPr>
        <w:pStyle w:val="BodyText"/>
        <w:spacing w:after="100"/>
        <w:ind w:firstLine="0"/>
      </w:pPr>
      <w:r>
        <w:rPr>
          <w:b/>
          <w:bCs/>
        </w:rPr>
        <w:t>A</w:t>
      </w:r>
      <w:r>
        <w:rPr>
          <w:b/>
          <w:bCs/>
          <w:sz w:val="13"/>
          <w:szCs w:val="13"/>
        </w:rPr>
        <w:t>ISLAMIENTO DEL PACIENTE HOSPITALIZADO</w:t>
      </w:r>
      <w:r>
        <w:rPr>
          <w:b/>
          <w:bCs/>
        </w:rPr>
        <w:t xml:space="preserve">: </w:t>
      </w:r>
      <w:r>
        <w:t xml:space="preserve">Se recomienda seguir las precauciones estándar. </w:t>
      </w:r>
      <w:r>
        <w:rPr>
          <w:b/>
          <w:bCs/>
        </w:rPr>
        <w:t>M</w:t>
      </w:r>
      <w:r>
        <w:rPr>
          <w:b/>
          <w:bCs/>
          <w:sz w:val="13"/>
          <w:szCs w:val="13"/>
        </w:rPr>
        <w:t>EDIDAS PREVENTIVAS</w:t>
      </w:r>
      <w:r>
        <w:rPr>
          <w:b/>
          <w:bCs/>
        </w:rPr>
        <w:t xml:space="preserve">: </w:t>
      </w:r>
      <w:r>
        <w:t>Es difícil en casi todas las áreas eliminar el caracol que actúa como hospedador intermedio. Por lo tanto, los elementos clave para las medidas de erradicación actuales son el tratamiento de las poblaciones infectadas, la eliminación higiénica de desperdicios humanos y enseñanza respecto a las fuentes de infección. Habrá que recomendar a quienes viajan a áreas endémicas que eviten el contacto con corrientes y lagos de agua dulce.</w:t>
      </w:r>
    </w:p>
    <w:p w14:paraId="19BBACE9" w14:textId="77777777" w:rsidR="00D03C17" w:rsidRDefault="00D03C17">
      <w:pPr>
        <w:pStyle w:val="Bodytext70"/>
        <w:spacing w:after="0"/>
      </w:pPr>
      <w:r>
        <w:t>Estafilococos, infecciones</w:t>
      </w:r>
    </w:p>
    <w:p w14:paraId="4FE51BFE" w14:textId="77777777" w:rsidR="00D03C17" w:rsidRDefault="00D03C17">
      <w:pPr>
        <w:pStyle w:val="BodyText"/>
        <w:spacing w:line="271" w:lineRule="auto"/>
        <w:ind w:firstLine="0"/>
      </w:pPr>
      <w:r>
        <w:rPr>
          <w:b/>
          <w:bCs/>
        </w:rPr>
        <w:t>M</w:t>
      </w:r>
      <w:r>
        <w:rPr>
          <w:b/>
          <w:bCs/>
          <w:sz w:val="13"/>
          <w:szCs w:val="13"/>
        </w:rPr>
        <w:t>ANIFESTACIONES CLÍNICAS</w:t>
      </w:r>
      <w:r>
        <w:rPr>
          <w:b/>
          <w:bCs/>
        </w:rPr>
        <w:t xml:space="preserve">: </w:t>
      </w:r>
      <w:r>
        <w:rPr>
          <w:rFonts w:ascii="Times New Roman" w:eastAsia="Times New Roman" w:hAnsi="Times New Roman" w:cs="Times New Roman"/>
          <w:i/>
          <w:iCs/>
          <w:sz w:val="16"/>
          <w:szCs w:val="16"/>
        </w:rPr>
        <w:t>Staphylococcus aureus</w:t>
      </w:r>
      <w:r>
        <w:t xml:space="preserve"> causa infecciones supuradas, localizadas o invasoras de muy diversa índole y también tres síndromes mediados por toxinas: el de choque tóxico (véase “Tóxico, síndrome de choque”, en esta sección), el de dermatitis exfoliativa neonatal o “de piel escaldada” y la intoxicación por alimentos (véase “Estafilococos, intoxicación alimentaria por”, en esta sección). Las infecciones localizadas comprenden hordeola, furúnculos, ántrax, impétigo (ampollar y no ampollar), paroniquia, ectima, celulitis, parotiditis, linfadenitis e infecciones de heridas. </w:t>
      </w:r>
      <w:r>
        <w:rPr>
          <w:rFonts w:ascii="Times New Roman" w:eastAsia="Times New Roman" w:hAnsi="Times New Roman" w:cs="Times New Roman"/>
          <w:i/>
          <w:iCs/>
          <w:sz w:val="16"/>
          <w:szCs w:val="16"/>
        </w:rPr>
        <w:t>Staphylococcus aureus</w:t>
      </w:r>
      <w:r>
        <w:t xml:space="preserve"> causa también infecciones por cuerpo extraño que incluyen las que surgen con catéteres intravasculares o injertos, marcapasos, catéteres peritoneales, derivaciones de líquido cefalorraquídeo y prótesis articulares, y pudiera vincularse con bacteriemia. Este último cuadro puede ser complicado por septicemia, endocarditis, pericarditis, neumonía, empiema neural, abscesos en músculos o vísceras, artritis, osteomielitis, tromboflebitis séptica de grandes vasos u otros focos de infección. La meningitis es rara. Las infecciones por </w:t>
      </w:r>
      <w:r>
        <w:rPr>
          <w:rFonts w:ascii="Times New Roman" w:eastAsia="Times New Roman" w:hAnsi="Times New Roman" w:cs="Times New Roman"/>
          <w:i/>
          <w:iCs/>
          <w:sz w:val="16"/>
          <w:szCs w:val="16"/>
        </w:rPr>
        <w:t>Staphylococcus aureus</w:t>
      </w:r>
      <w:r>
        <w:t xml:space="preserve"> pueden ser fulminantes y muy a menudo se acompañan de focos metastásicos, abscesos e infección por cuerpos extraños. Las infecciones mencionadas suelen obligar a administrar antimicrobianos por largo tiempo, a practicar drenaje de abscesos y extraer cuerpos extraños para lograr la cura. Entre los factores de peligro de que surjan infecciones graves por estafilococos están cuadros crónicos como diabetes mellitus, cirrosis hepática y trastornos de la nutrición; operaciones; trasplantes, trastornos de la función de neutrófilos y síndrome de inmunodeficiencia adquirida.</w:t>
      </w:r>
    </w:p>
    <w:p w14:paraId="236FC5B4" w14:textId="77777777" w:rsidR="00D03C17" w:rsidRDefault="00D03C17">
      <w:pPr>
        <w:pStyle w:val="BodyText"/>
        <w:ind w:firstLine="360"/>
      </w:pPr>
      <w:r>
        <w:t xml:space="preserve">El llamado síndrome exfoliativo neonatal o de “piel escaldada” por estafilococos </w:t>
      </w:r>
      <w:r>
        <w:rPr>
          <w:i/>
          <w:iCs/>
        </w:rPr>
        <w:t>(</w:t>
      </w:r>
      <w:r>
        <w:rPr>
          <w:rFonts w:ascii="Times New Roman" w:eastAsia="Times New Roman" w:hAnsi="Times New Roman" w:cs="Times New Roman"/>
          <w:i/>
          <w:iCs/>
          <w:sz w:val="16"/>
          <w:szCs w:val="16"/>
        </w:rPr>
        <w:t>staphylococcal scalded skin syndrome</w:t>
      </w:r>
      <w:r>
        <w:rPr>
          <w:i/>
          <w:iCs/>
        </w:rPr>
        <w:t>,</w:t>
      </w:r>
      <w:r>
        <w:t xml:space="preserve"> SSSS) es un trastorno mediado por la toxina de dicho microorganismo al circular las toxinas exfoliativas A y B. Las manifestaciones del síndrome dependen de la edad e incluyen enfermedad de Ritter (exfoliación generalizada) en el neonato, una erupción escarlatiniforme dolorosa e impétigo ampollar localizado en niños de mayor edad, y una combinación del cuadro mencionado con desprendimiento de escamas blancas/pardas de toda la piel, en particular la de la cara y el cuello, en lactantes de mayor edad y niños preambulatorios. El signo patognomónico de SSSS es el desprendimiento del estrato granuloso de la epidermis, mediado por toxinas. El trastorno cura sin dejar cicatrices. La bacteriemia es rara pero a veces con la exfoliación extensa pueden surgir deshidratación e infecciones sobreañadidas.</w:t>
      </w:r>
    </w:p>
    <w:p w14:paraId="1200497C" w14:textId="77777777" w:rsidR="00D03C17" w:rsidRDefault="00D03C17">
      <w:pPr>
        <w:pStyle w:val="BodyText"/>
        <w:spacing w:line="276" w:lineRule="auto"/>
        <w:ind w:firstLine="0"/>
        <w:sectPr w:rsidR="00D03C17" w:rsidSect="00D03C17">
          <w:headerReference w:type="even" r:id="rId343"/>
          <w:headerReference w:type="default" r:id="rId344"/>
          <w:footerReference w:type="even" r:id="rId345"/>
          <w:footerReference w:type="default" r:id="rId346"/>
          <w:headerReference w:type="first" r:id="rId347"/>
          <w:footerReference w:type="first" r:id="rId348"/>
          <w:footnotePr>
            <w:numFmt w:val="chicago"/>
          </w:footnotePr>
          <w:pgSz w:w="8501" w:h="13022"/>
          <w:pgMar w:top="898" w:right="798" w:bottom="504" w:left="816" w:header="0" w:footer="3" w:gutter="0"/>
          <w:cols w:space="720"/>
          <w:noEndnote/>
          <w:titlePg/>
          <w:docGrid w:linePitch="360"/>
          <w15:footnoteColumns w:val="1"/>
        </w:sectPr>
      </w:pPr>
      <w:r>
        <w:rPr>
          <w:rFonts w:ascii="Arial" w:eastAsia="Arial" w:hAnsi="Arial" w:cs="Arial"/>
          <w:b/>
          <w:bCs/>
          <w:i/>
          <w:iCs/>
          <w:sz w:val="15"/>
          <w:szCs w:val="15"/>
        </w:rPr>
        <w:t>Estafilococos coagulasa-negativos:</w:t>
      </w:r>
      <w:r>
        <w:t xml:space="preserve"> Casi todos los estafilococos de este tipo </w:t>
      </w:r>
      <w:r>
        <w:rPr>
          <w:i/>
          <w:iCs/>
        </w:rPr>
        <w:t>(</w:t>
      </w:r>
      <w:r>
        <w:rPr>
          <w:rFonts w:ascii="Times New Roman" w:eastAsia="Times New Roman" w:hAnsi="Times New Roman" w:cs="Times New Roman"/>
          <w:i/>
          <w:iCs/>
          <w:sz w:val="16"/>
          <w:szCs w:val="16"/>
        </w:rPr>
        <w:t>coagulase</w:t>
      </w:r>
      <w:r>
        <w:rPr>
          <w:rFonts w:ascii="Times New Roman" w:eastAsia="Times New Roman" w:hAnsi="Times New Roman" w:cs="Times New Roman"/>
          <w:i/>
          <w:iCs/>
          <w:sz w:val="16"/>
          <w:szCs w:val="16"/>
        </w:rPr>
        <w:softHyphen/>
        <w:t>negative staphylococci</w:t>
      </w:r>
      <w:r>
        <w:rPr>
          <w:i/>
          <w:iCs/>
        </w:rPr>
        <w:t>,</w:t>
      </w:r>
      <w:r>
        <w:t xml:space="preserve"> CoNS) aislados, están presentes por contaminación del material de cultivo (véase “Métodos diagnósticos”, más adelante en este resumen). De los estafilococos aislados que no provienen de contaminación, algunos son producto de infecciones nosocomiales, y muchos niños con infecciones CoNS tienen transgresiones manifiestas de las defensas del hospedador causadas por cirugía, colocación de catéteres o prótesis o inmunosupresión. Los estafilococos coagulasa-negativos son la causa más frecuente de septicemia tardía en prematuros, en particular los que pesan menos de 1 500 g al nacer, y de episodios de bacteriemia nosocomial en todos los grupos de edad. </w:t>
      </w:r>
    </w:p>
    <w:p w14:paraId="300FCB47" w14:textId="77777777" w:rsidR="00D03C17" w:rsidRDefault="00D03C17">
      <w:pPr>
        <w:pStyle w:val="BodyText"/>
        <w:spacing w:line="276" w:lineRule="auto"/>
        <w:ind w:firstLine="0"/>
      </w:pPr>
      <w:r>
        <w:t>adolescentes y adultos jóvenes contra el sarampión, habrá que interrogar a las mujeres si están embarazadas, descartar a quienes lo están y explicar los riesgos teóricos a las demás, y todo esto constituye las precauciones recomendadas.</w:t>
      </w:r>
    </w:p>
    <w:p w14:paraId="68F6233B" w14:textId="77777777" w:rsidR="00D03C17" w:rsidRDefault="00D03C17">
      <w:pPr>
        <w:pStyle w:val="BodyText"/>
        <w:spacing w:line="276" w:lineRule="auto"/>
        <w:ind w:firstLine="360"/>
      </w:pPr>
      <w:r>
        <w:rPr>
          <w:rFonts w:ascii="Arial" w:eastAsia="Arial" w:hAnsi="Arial" w:cs="Arial"/>
          <w:b/>
          <w:bCs/>
          <w:i/>
          <w:iCs/>
          <w:sz w:val="15"/>
          <w:szCs w:val="15"/>
        </w:rPr>
        <w:t>Erradicación de brotes.</w:t>
      </w:r>
      <w:r>
        <w:t xml:space="preserve"> Es importante notificar inmediatamente al departamento de salud local cualquier caso sospechado de sarampión; se harán todos los intentos para verificar que efectivamente es sarampión, en particular si tal trastorno pudiera ser el primer caso en la comunidad. La prevención de la propagación ulterior de la enfermedad depende de la vacunación inmediata de personas en peligro de exposición o expuestos que no pueden documentar la vacunación antisarampionosa, incluida la fecha en que se practicó. Hay que excluir de escuelas, centros de atención infantil e instituciones asistenciales a toda persona no vacunada que haya sido eximida de la vacunación antisarampionosa por razones médicas, religiosas o de otra índole, hasta dos semanas como mínimo después que comenzó la erupción en el último caso de sarampión, si no han sido vacunados 72 h antes de la exposición.</w:t>
      </w:r>
    </w:p>
    <w:p w14:paraId="45B2705D" w14:textId="77777777" w:rsidR="00D03C17" w:rsidRDefault="00D03C17">
      <w:pPr>
        <w:pStyle w:val="BodyText"/>
        <w:spacing w:line="276" w:lineRule="auto"/>
        <w:ind w:firstLine="360"/>
      </w:pPr>
      <w:r>
        <w:rPr>
          <w:rFonts w:ascii="Times New Roman" w:eastAsia="Times New Roman" w:hAnsi="Times New Roman" w:cs="Times New Roman"/>
          <w:b/>
          <w:bCs/>
          <w:i/>
          <w:iCs/>
          <w:sz w:val="16"/>
          <w:szCs w:val="16"/>
        </w:rPr>
        <w:t>Escuelas y centros pediátricos.</w:t>
      </w:r>
      <w:r>
        <w:t xml:space="preserve"> Durante brotes de sarampión en instituciones de atención pediátrica, escuelas, universidades y otras instituciones de educación superior, habrá que vacunar a todos los estudiantes, a sus hermanos y al personal que nació en 1957 o después que no aporte documentación de que recibieron dos dosis de vacuna que contenía la fracción antisarampionosa al cumplir el primer año de vida o después de ello, o que no tienen otras pruebas de inmunidad al sarampión. Habrá que readmitir inmediatamente al colegio a todo niño o persona que recibió su segunda dosis y también a sujetos no vacunados que recibieron su primera dosis como parte del programa de erradicación del brote.</w:t>
      </w:r>
    </w:p>
    <w:p w14:paraId="698D8922" w14:textId="77777777" w:rsidR="00D03C17" w:rsidRDefault="00D03C17">
      <w:pPr>
        <w:pStyle w:val="BodyText"/>
        <w:spacing w:after="100" w:line="276" w:lineRule="auto"/>
        <w:ind w:firstLine="360"/>
      </w:pPr>
      <w:r>
        <w:rPr>
          <w:rFonts w:ascii="Times New Roman" w:eastAsia="Times New Roman" w:hAnsi="Times New Roman" w:cs="Times New Roman"/>
          <w:b/>
          <w:bCs/>
          <w:i/>
          <w:iCs/>
          <w:sz w:val="16"/>
          <w:szCs w:val="16"/>
        </w:rPr>
        <w:t>Instalaciones asistenciales.</w:t>
      </w:r>
      <w:r>
        <w:t xml:space="preserve"> Si surge un brote en una zona atendida por un hospital u ocurre dentro del hospital, deben recibir una dosis de vacuna antisarampionosa todos los empleados que están en contacto directo con los pacientes y que nacieron en 1957 o después y que no aporten documentación de que recibieron dos dosis de la vacuna antisarampionosa al cumplir un año de vida o después de tal fecha u otras pruebas de inmunidad a la enfermedad. Algunos profesionales asistenciales que se han contagiado de sarampión en instituciones asistenciales nacieron antes de 1957, razón por la cual hay que pensar en la vacunación de los empleados de mayor edad que pudieran estar expuestos por su ocupación al sarampión. El personal susceptible que quedó expuesto será relevado del contacto directo con pacientes desde el quinto hasta el vigésimo primer días después de la exposición, hayan recibido o no vacuna o concentrado inmunoglobulínico después de la exposición. El personal que muestra la enfermedad debe ser relevado del contacto con el paciente durante cuatro días de haber surgido la erupción.</w:t>
      </w:r>
    </w:p>
    <w:p w14:paraId="75D2C606" w14:textId="77777777" w:rsidR="00D03C17" w:rsidRDefault="00D03C17">
      <w:pPr>
        <w:pStyle w:val="Bodytext70"/>
        <w:spacing w:after="0"/>
      </w:pPr>
      <w:r>
        <w:rPr>
          <w:i/>
          <w:iCs/>
        </w:rPr>
        <w:t>Shigella</w:t>
      </w:r>
      <w:r>
        <w:rPr>
          <w:i/>
          <w:iCs/>
          <w:w w:val="100"/>
        </w:rPr>
        <w:t>,</w:t>
      </w:r>
      <w:r>
        <w:t xml:space="preserve"> infecciones</w:t>
      </w:r>
    </w:p>
    <w:p w14:paraId="3203CADE" w14:textId="77777777" w:rsidR="00D03C17" w:rsidRDefault="00D03C17">
      <w:pPr>
        <w:pStyle w:val="BodyText"/>
        <w:spacing w:line="276" w:lineRule="auto"/>
        <w:ind w:firstLine="0"/>
      </w:pPr>
      <w:r>
        <w:rPr>
          <w:b/>
          <w:bCs/>
        </w:rPr>
        <w:t>M</w:t>
      </w:r>
      <w:r>
        <w:rPr>
          <w:b/>
          <w:bCs/>
          <w:sz w:val="13"/>
          <w:szCs w:val="13"/>
        </w:rPr>
        <w:t>ANIFESTACIONES CLÍNICAS</w:t>
      </w:r>
      <w:r>
        <w:rPr>
          <w:b/>
          <w:bCs/>
        </w:rPr>
        <w:t xml:space="preserve">: </w:t>
      </w:r>
      <w:r>
        <w:t xml:space="preserve">Las especies de </w:t>
      </w:r>
      <w:r>
        <w:rPr>
          <w:rFonts w:ascii="Times New Roman" w:eastAsia="Times New Roman" w:hAnsi="Times New Roman" w:cs="Times New Roman"/>
          <w:i/>
          <w:iCs/>
          <w:sz w:val="16"/>
          <w:szCs w:val="16"/>
        </w:rPr>
        <w:t>Shigella</w:t>
      </w:r>
      <w:r>
        <w:t xml:space="preserve"> infectan más bien el colon y originan manifestaciones clínicas que van desde la expulsión de excrementos acuosos o laxos con síntomas generales mínimos o sin ellos hasta un cuadro más grave que incluye fiebre, cólicos o dolor abdominales, tenesmo y excrementos mucoides con sangre o sin ella. El cuadro inicial varía con cada especie de </w:t>
      </w:r>
      <w:r>
        <w:rPr>
          <w:rFonts w:ascii="Times New Roman" w:eastAsia="Times New Roman" w:hAnsi="Times New Roman" w:cs="Times New Roman"/>
          <w:i/>
          <w:iCs/>
          <w:sz w:val="16"/>
          <w:szCs w:val="16"/>
        </w:rPr>
        <w:t>Shigella</w:t>
      </w:r>
      <w:r>
        <w:rPr>
          <w:i/>
          <w:iCs/>
        </w:rPr>
        <w:t>;</w:t>
      </w:r>
      <w:r>
        <w:t xml:space="preserve"> los niños atacados con </w:t>
      </w:r>
      <w:r>
        <w:rPr>
          <w:rFonts w:ascii="Times New Roman" w:eastAsia="Times New Roman" w:hAnsi="Times New Roman" w:cs="Times New Roman"/>
          <w:i/>
          <w:iCs/>
          <w:sz w:val="16"/>
          <w:szCs w:val="16"/>
        </w:rPr>
        <w:t>Shigella sonnei</w:t>
      </w:r>
      <w:r>
        <w:t xml:space="preserve"> por lo común presentan diarrea acuosa, los afectados por </w:t>
      </w:r>
      <w:r>
        <w:rPr>
          <w:rFonts w:ascii="Times New Roman" w:eastAsia="Times New Roman" w:hAnsi="Times New Roman" w:cs="Times New Roman"/>
          <w:i/>
          <w:iCs/>
          <w:sz w:val="16"/>
          <w:szCs w:val="16"/>
        </w:rPr>
        <w:t>Shigella flexneri</w:t>
      </w:r>
      <w:r>
        <w:rPr>
          <w:i/>
          <w:iCs/>
        </w:rPr>
        <w:t xml:space="preserve">, </w:t>
      </w:r>
      <w:r>
        <w:rPr>
          <w:rFonts w:ascii="Times New Roman" w:eastAsia="Times New Roman" w:hAnsi="Times New Roman" w:cs="Times New Roman"/>
          <w:i/>
          <w:iCs/>
          <w:sz w:val="16"/>
          <w:szCs w:val="16"/>
        </w:rPr>
        <w:t xml:space="preserve">boydii </w:t>
      </w:r>
      <w:r>
        <w:t xml:space="preserve">o </w:t>
      </w:r>
      <w:r>
        <w:rPr>
          <w:rFonts w:ascii="Times New Roman" w:eastAsia="Times New Roman" w:hAnsi="Times New Roman" w:cs="Times New Roman"/>
          <w:i/>
          <w:iCs/>
          <w:sz w:val="16"/>
          <w:szCs w:val="16"/>
        </w:rPr>
        <w:t>dysenteriae</w:t>
      </w:r>
      <w:r>
        <w:t xml:space="preserve"> típicamente muestran diarrea sanguinolenta y síntomas generales graves. Entre las complicaciones raras están bacteriemia, síndrome de Reiter (después de infección por </w:t>
      </w:r>
      <w:r>
        <w:rPr>
          <w:rFonts w:ascii="Times New Roman" w:eastAsia="Times New Roman" w:hAnsi="Times New Roman" w:cs="Times New Roman"/>
          <w:i/>
          <w:iCs/>
          <w:sz w:val="16"/>
          <w:szCs w:val="16"/>
        </w:rPr>
        <w:t>S. flexnen</w:t>
      </w:r>
      <w:r>
        <w:rPr>
          <w:i/>
          <w:iCs/>
        </w:rPr>
        <w:t>),</w:t>
      </w:r>
      <w:r>
        <w:t xml:space="preserve"> síndrome hemolítico-urémico (después de infección por </w:t>
      </w:r>
      <w:r>
        <w:rPr>
          <w:rFonts w:ascii="Times New Roman" w:eastAsia="Times New Roman" w:hAnsi="Times New Roman" w:cs="Times New Roman"/>
          <w:i/>
          <w:iCs/>
          <w:sz w:val="16"/>
          <w:szCs w:val="16"/>
        </w:rPr>
        <w:t xml:space="preserve">S. dysenteriae </w:t>
      </w:r>
      <w:r>
        <w:t>tipo 1), megacolon tóxico y perforación y encefalopatía tóxica (síndrome de ekiri).</w:t>
      </w:r>
    </w:p>
    <w:p w14:paraId="568A75B2" w14:textId="77777777" w:rsidR="00D03C17" w:rsidRDefault="00D03C17">
      <w:pPr>
        <w:pStyle w:val="BodyText"/>
        <w:ind w:firstLine="360"/>
      </w:pPr>
      <w:r>
        <w:rPr>
          <w:b/>
          <w:bCs/>
        </w:rPr>
        <w:t>C</w:t>
      </w:r>
      <w:r>
        <w:rPr>
          <w:b/>
          <w:bCs/>
          <w:sz w:val="13"/>
          <w:szCs w:val="13"/>
        </w:rPr>
        <w:t>AUSAS</w:t>
      </w:r>
      <w:r>
        <w:rPr>
          <w:b/>
          <w:bCs/>
        </w:rPr>
        <w:t xml:space="preserve">: </w:t>
      </w:r>
      <w:r>
        <w:t xml:space="preserve">Las especies de </w:t>
      </w:r>
      <w:r>
        <w:rPr>
          <w:rFonts w:ascii="Times New Roman" w:eastAsia="Times New Roman" w:hAnsi="Times New Roman" w:cs="Times New Roman"/>
          <w:i/>
          <w:iCs/>
          <w:sz w:val="16"/>
          <w:szCs w:val="16"/>
        </w:rPr>
        <w:t>Shigella</w:t>
      </w:r>
      <w:r>
        <w:t xml:space="preserve"> son bacilos gramnegativos de la familia Enterobacteriaceae. Se han identificado cuatro especies con más de 40 serotipos. Entre las </w:t>
      </w:r>
      <w:r>
        <w:rPr>
          <w:rFonts w:ascii="Times New Roman" w:eastAsia="Times New Roman" w:hAnsi="Times New Roman" w:cs="Times New Roman"/>
          <w:i/>
          <w:iCs/>
          <w:sz w:val="16"/>
          <w:szCs w:val="16"/>
        </w:rPr>
        <w:t>shigellas</w:t>
      </w:r>
      <w:r>
        <w:t xml:space="preserve"> aisladas y señaladas en Estados Unidos de 1989 a 2000, 78% correspondieron a la especie </w:t>
      </w:r>
      <w:r>
        <w:rPr>
          <w:rFonts w:ascii="Times New Roman" w:eastAsia="Times New Roman" w:hAnsi="Times New Roman" w:cs="Times New Roman"/>
          <w:i/>
          <w:iCs/>
          <w:sz w:val="16"/>
          <w:szCs w:val="16"/>
        </w:rPr>
        <w:t>S. sonnei</w:t>
      </w:r>
      <w:r>
        <w:rPr>
          <w:i/>
          <w:iCs/>
        </w:rPr>
        <w:t>,</w:t>
      </w:r>
      <w:r>
        <w:t xml:space="preserve"> 19% a </w:t>
      </w:r>
      <w:r>
        <w:rPr>
          <w:rFonts w:ascii="Times New Roman" w:eastAsia="Times New Roman" w:hAnsi="Times New Roman" w:cs="Times New Roman"/>
          <w:i/>
          <w:iCs/>
          <w:sz w:val="16"/>
          <w:szCs w:val="16"/>
        </w:rPr>
        <w:t>S. flexneri</w:t>
      </w:r>
      <w:r>
        <w:rPr>
          <w:i/>
          <w:iCs/>
        </w:rPr>
        <w:t>,</w:t>
      </w:r>
      <w:r>
        <w:t xml:space="preserve"> 2%, </w:t>
      </w:r>
      <w:r>
        <w:rPr>
          <w:rFonts w:ascii="Times New Roman" w:eastAsia="Times New Roman" w:hAnsi="Times New Roman" w:cs="Times New Roman"/>
          <w:i/>
          <w:iCs/>
          <w:sz w:val="16"/>
          <w:szCs w:val="16"/>
        </w:rPr>
        <w:t>S. boydii</w:t>
      </w:r>
      <w:r>
        <w:t xml:space="preserve"> y 1%. </w:t>
      </w:r>
      <w:r>
        <w:rPr>
          <w:rFonts w:ascii="Times New Roman" w:eastAsia="Times New Roman" w:hAnsi="Times New Roman" w:cs="Times New Roman"/>
          <w:i/>
          <w:iCs/>
          <w:sz w:val="16"/>
          <w:szCs w:val="16"/>
        </w:rPr>
        <w:t>S. dysenteriae</w:t>
      </w:r>
      <w:r>
        <w:rPr>
          <w:i/>
          <w:iCs/>
        </w:rPr>
        <w:t>.</w:t>
      </w:r>
      <w:r>
        <w:t xml:space="preserve"> Esta última variedad de </w:t>
      </w:r>
      <w:r>
        <w:rPr>
          <w:rFonts w:ascii="Times New Roman" w:eastAsia="Times New Roman" w:hAnsi="Times New Roman" w:cs="Times New Roman"/>
          <w:i/>
          <w:iCs/>
          <w:sz w:val="16"/>
          <w:szCs w:val="16"/>
        </w:rPr>
        <w:t>Shigella</w:t>
      </w:r>
      <w:r>
        <w:t xml:space="preserve"> es rara en Estados Unidos pero muy difundida en zonas rurales de África y el subcontinente indio.</w:t>
      </w:r>
    </w:p>
    <w:p w14:paraId="18D21FB5" w14:textId="77777777" w:rsidR="00D03C17" w:rsidRDefault="00D03C17">
      <w:pPr>
        <w:pStyle w:val="BodyText"/>
        <w:ind w:firstLine="0"/>
      </w:pPr>
      <w:r>
        <w:rPr>
          <w:b/>
          <w:bCs/>
        </w:rPr>
        <w:t>A</w:t>
      </w:r>
      <w:r>
        <w:rPr>
          <w:b/>
          <w:bCs/>
          <w:sz w:val="13"/>
          <w:szCs w:val="13"/>
        </w:rPr>
        <w:t>SPECTOS EPIDEMIOLÓGICOS</w:t>
      </w:r>
      <w:r>
        <w:rPr>
          <w:b/>
          <w:bCs/>
        </w:rPr>
        <w:t xml:space="preserve">: </w:t>
      </w:r>
      <w:r>
        <w:t xml:space="preserve">Los seres humanos son los hospedadores naturales de </w:t>
      </w:r>
      <w:r>
        <w:rPr>
          <w:rFonts w:ascii="Times New Roman" w:eastAsia="Times New Roman" w:hAnsi="Times New Roman" w:cs="Times New Roman"/>
          <w:i/>
          <w:iCs/>
          <w:sz w:val="16"/>
          <w:szCs w:val="16"/>
        </w:rPr>
        <w:t>Shigella</w:t>
      </w:r>
      <w:r>
        <w:t xml:space="preserve">, aunque pueden ser infectados otros primates. El mecanismo principal de transmisión es la vía fecal-oral. Están expuestos a un mayor peligro de infección los niños de cinco años o menores que acuden a instituciones de cuidado infantil, quienes los cuidan y otras personas que viven en apiñamiento. El hecho de viajar a países de escasos recursos y con sanidad inadecuada puede hacer que el viajero quede expuesto al peligro de infección. La transmisión requiere que haya apenas 10 a 200 microorganismos para que ocurra la infección. Otras formas de transmisión incluyen ingestión de alimentos o agua contaminados, contacto con un objeto inanimado también contaminado y contacto sexual. Las moscas domésticas también pueden ser vectoras por el transporte físico de excrementos infectados. Las infecciones por </w:t>
      </w:r>
      <w:r>
        <w:rPr>
          <w:rFonts w:ascii="Times New Roman" w:eastAsia="Times New Roman" w:hAnsi="Times New Roman" w:cs="Times New Roman"/>
          <w:i/>
          <w:iCs/>
          <w:sz w:val="16"/>
          <w:szCs w:val="16"/>
        </w:rPr>
        <w:t>S. flexneri</w:t>
      </w:r>
      <w:r>
        <w:rPr>
          <w:i/>
          <w:iCs/>
        </w:rPr>
        <w:t xml:space="preserve">, </w:t>
      </w:r>
      <w:r>
        <w:rPr>
          <w:rFonts w:ascii="Times New Roman" w:eastAsia="Times New Roman" w:hAnsi="Times New Roman" w:cs="Times New Roman"/>
          <w:i/>
          <w:iCs/>
          <w:sz w:val="16"/>
          <w:szCs w:val="16"/>
        </w:rPr>
        <w:t>S. boydii</w:t>
      </w:r>
      <w:r>
        <w:t xml:space="preserve"> y </w:t>
      </w:r>
      <w:r>
        <w:rPr>
          <w:rFonts w:ascii="Times New Roman" w:eastAsia="Times New Roman" w:hAnsi="Times New Roman" w:cs="Times New Roman"/>
          <w:i/>
          <w:iCs/>
          <w:sz w:val="16"/>
          <w:szCs w:val="16"/>
        </w:rPr>
        <w:t xml:space="preserve">S. dysenteriae </w:t>
      </w:r>
      <w:r>
        <w:t>son más comunes en niños de mayor edad y en adultos, y suelen provenir de fuentes por fuera de Estados Unidos. La transmisión se produce todo el tiempo en que esté el microorganismo en los excrementos. Incluso sin terapia antimicrobiana el estado de portador suele cesar en término de cuatro semanas de haber comenzado la enfermedad, y es raro que el estado crónico dure más de un año.</w:t>
      </w:r>
    </w:p>
    <w:p w14:paraId="501727C3" w14:textId="77777777" w:rsidR="00D03C17" w:rsidRDefault="00D03C17">
      <w:pPr>
        <w:pStyle w:val="BodyText"/>
        <w:ind w:firstLine="360"/>
      </w:pPr>
      <w:r>
        <w:t xml:space="preserve">El </w:t>
      </w:r>
      <w:r>
        <w:rPr>
          <w:b/>
          <w:bCs/>
        </w:rPr>
        <w:t xml:space="preserve">periodo de incubación </w:t>
      </w:r>
      <w:r>
        <w:t>varía de uno a siete días, pero de manera típica es de dos a cuatro días.</w:t>
      </w:r>
    </w:p>
    <w:p w14:paraId="235D48D8" w14:textId="77777777" w:rsidR="00D03C17" w:rsidRDefault="00D03C17">
      <w:pPr>
        <w:pStyle w:val="BodyText"/>
        <w:ind w:firstLine="0"/>
      </w:pPr>
      <w:r>
        <w:rPr>
          <w:b/>
          <w:bCs/>
        </w:rPr>
        <w:t>M</w:t>
      </w:r>
      <w:r>
        <w:rPr>
          <w:b/>
          <w:bCs/>
          <w:sz w:val="13"/>
          <w:szCs w:val="13"/>
        </w:rPr>
        <w:t>ÉTODOS DIAGNÓSTICOS</w:t>
      </w:r>
      <w:r>
        <w:rPr>
          <w:b/>
          <w:bCs/>
        </w:rPr>
        <w:t xml:space="preserve">: </w:t>
      </w:r>
      <w:r>
        <w:t xml:space="preserve">El microorganismo se identifica en cultivos de excremento o muestras rectales obtenidas por aplicador que contengan excremento. La presencia de leucocitos en una muestra de excrementos teñida con azul de metileno indica que la diarrea es causada por bacterias, pero no específicas de la especie de </w:t>
      </w:r>
      <w:r>
        <w:rPr>
          <w:rFonts w:ascii="Times New Roman" w:eastAsia="Times New Roman" w:hAnsi="Times New Roman" w:cs="Times New Roman"/>
          <w:i/>
          <w:iCs/>
          <w:sz w:val="16"/>
          <w:szCs w:val="16"/>
        </w:rPr>
        <w:t>Shigella.</w:t>
      </w:r>
      <w:r>
        <w:t xml:space="preserve"> Para la detección de </w:t>
      </w:r>
      <w:r>
        <w:rPr>
          <w:rFonts w:ascii="Times New Roman" w:eastAsia="Times New Roman" w:hAnsi="Times New Roman" w:cs="Times New Roman"/>
          <w:i/>
          <w:iCs/>
          <w:sz w:val="16"/>
          <w:szCs w:val="16"/>
        </w:rPr>
        <w:t>S. dysenteriae</w:t>
      </w:r>
      <w:r>
        <w:t xml:space="preserve"> tipo 1 en heces puede ser útil el inmunoanálisis enzimático para detectar toxina de shiga. La bacteriemia pocas veces se observa, pero hay que cultivar sangre en niños muy graves, inmunodeficientes o malnutridos. Es posible que en algunos laboratorios de investigación se practiquen otras modalidades como sería la prueba de anticuerpos fluorescentes, la reacción en cadena de polimerasa y sondas de DNA ligadas a enzimas.</w:t>
      </w:r>
    </w:p>
    <w:p w14:paraId="4CC05A9D" w14:textId="77777777" w:rsidR="00D03C17" w:rsidRDefault="00D03C17">
      <w:pPr>
        <w:pStyle w:val="Other0"/>
        <w:spacing w:line="240" w:lineRule="auto"/>
        <w:ind w:firstLine="0"/>
      </w:pPr>
      <w:r>
        <w:rPr>
          <w:b/>
          <w:bCs/>
        </w:rPr>
        <w:t>T</w:t>
      </w:r>
      <w:r>
        <w:rPr>
          <w:b/>
          <w:bCs/>
          <w:sz w:val="13"/>
          <w:szCs w:val="13"/>
        </w:rPr>
        <w:t>RATAMIENTO</w:t>
      </w:r>
      <w:r>
        <w:rPr>
          <w:b/>
          <w:bCs/>
        </w:rPr>
        <w:t>:</w:t>
      </w:r>
    </w:p>
    <w:p w14:paraId="0A611234" w14:textId="77777777" w:rsidR="00D03C17" w:rsidRDefault="00D03C17">
      <w:pPr>
        <w:pStyle w:val="BodyText"/>
        <w:numPr>
          <w:ilvl w:val="0"/>
          <w:numId w:val="94"/>
        </w:numPr>
        <w:tabs>
          <w:tab w:val="left" w:pos="341"/>
        </w:tabs>
        <w:ind w:left="360" w:hanging="360"/>
      </w:pPr>
      <w:bookmarkStart w:id="311" w:name="bookmark1317"/>
      <w:bookmarkEnd w:id="311"/>
      <w:r>
        <w:t xml:space="preserve">Casi todas las infecciones clínicas por </w:t>
      </w:r>
      <w:r>
        <w:rPr>
          <w:rFonts w:ascii="Times New Roman" w:eastAsia="Times New Roman" w:hAnsi="Times New Roman" w:cs="Times New Roman"/>
          <w:i/>
          <w:iCs/>
          <w:sz w:val="16"/>
          <w:szCs w:val="16"/>
        </w:rPr>
        <w:t>Shigella sonnei</w:t>
      </w:r>
      <w:r>
        <w:t xml:space="preserve"> ceden por sí solas (48 a 72 h) y quizá en ellas no se necesiten antimicrobianos; sin embargo, ellos son eficaces para cortar la duración de la diarrea y erradicar los microorganismos en los excrementos. Se recomienda emprender tratamiento</w:t>
      </w:r>
    </w:p>
    <w:p w14:paraId="49040E36" w14:textId="77777777" w:rsidR="00D03C17" w:rsidRDefault="00D03C17">
      <w:pPr>
        <w:pStyle w:val="BodyText"/>
        <w:ind w:left="360" w:firstLine="0"/>
      </w:pPr>
      <w:r>
        <w:t>en casos de enfermedad grave, disentería o algún cuadro inmunosupresor primario. En la enfermedad leve, la indicación principal para tratar es evitar que se propague el microorganismo.</w:t>
      </w:r>
    </w:p>
    <w:p w14:paraId="3BA205BC" w14:textId="77777777" w:rsidR="00D03C17" w:rsidRDefault="00D03C17">
      <w:pPr>
        <w:pStyle w:val="BodyText"/>
        <w:numPr>
          <w:ilvl w:val="0"/>
          <w:numId w:val="94"/>
        </w:numPr>
        <w:tabs>
          <w:tab w:val="left" w:pos="341"/>
        </w:tabs>
        <w:ind w:left="360" w:hanging="360"/>
      </w:pPr>
      <w:bookmarkStart w:id="312" w:name="bookmark1318"/>
      <w:bookmarkEnd w:id="312"/>
      <w:r>
        <w:t xml:space="preserve">Conviene practicar métodos de susceptibilidad a antimicrobianos con gérmenes clínicos aislados (antibioticograma) porque es frecuente la resistencia a tales fármacos. En todas las especies de </w:t>
      </w:r>
      <w:r>
        <w:rPr>
          <w:rFonts w:ascii="Times New Roman" w:eastAsia="Times New Roman" w:hAnsi="Times New Roman" w:cs="Times New Roman"/>
          <w:i/>
          <w:iCs/>
          <w:sz w:val="16"/>
          <w:szCs w:val="16"/>
        </w:rPr>
        <w:t>Shigella</w:t>
      </w:r>
      <w:r>
        <w:t xml:space="preserve"> se han detectado resistencia mediada por plásmidos. En Estados Unidos, los datos de vigilancia sentinelas de 1999 a 2000 indicaron que 54% de </w:t>
      </w:r>
      <w:r>
        <w:rPr>
          <w:rFonts w:ascii="Times New Roman" w:eastAsia="Times New Roman" w:hAnsi="Times New Roman" w:cs="Times New Roman"/>
          <w:i/>
          <w:iCs/>
          <w:sz w:val="16"/>
          <w:szCs w:val="16"/>
        </w:rPr>
        <w:t>S. sonnei</w:t>
      </w:r>
      <w:r>
        <w:t xml:space="preserve"> y 47% de </w:t>
      </w:r>
      <w:r>
        <w:rPr>
          <w:rFonts w:ascii="Times New Roman" w:eastAsia="Times New Roman" w:hAnsi="Times New Roman" w:cs="Times New Roman"/>
          <w:i/>
          <w:iCs/>
          <w:sz w:val="16"/>
          <w:szCs w:val="16"/>
        </w:rPr>
        <w:t>S. flexneri</w:t>
      </w:r>
      <w:r>
        <w:t xml:space="preserve"> eran microorganismos resistentes a ampicilina y a trimetoprim-sulfametoxazol.</w:t>
      </w:r>
    </w:p>
    <w:p w14:paraId="51C2C826" w14:textId="77777777" w:rsidR="00D03C17" w:rsidRDefault="00D03C17">
      <w:pPr>
        <w:pStyle w:val="BodyText"/>
        <w:numPr>
          <w:ilvl w:val="0"/>
          <w:numId w:val="94"/>
        </w:numPr>
        <w:tabs>
          <w:tab w:val="left" w:pos="341"/>
        </w:tabs>
        <w:ind w:left="360" w:hanging="360"/>
      </w:pPr>
      <w:bookmarkStart w:id="313" w:name="bookmark1319"/>
      <w:bookmarkEnd w:id="313"/>
      <w:r>
        <w:t>En el caso de cepas susceptibles son eficaces ampicilina y trimetoprim- sulfametoxazol; es menos eficaz la amoxicilina por su absorción rápida desde las vías gastrointestinales. Se recomienda la vía oral salvo en niños en muy grave estado. En situaciones en que se desconoce la susceptibilidad o se identifica una cepa resistente a la ampicilina y al trimetoprim-sulfametoxazol, cabe recurrir a la ceftriaxona sódica por vía parenteral, una fluoroquinolona (como la ciprofloxacina o la ofloxacina) o la azitromicina dihidratada. No se recomienda usar las fluoroquinolonas en personas menores de 18 años, excepto en situaciones en que los posibles riesgos son menores que los beneficios potenciales (véase “Antimicrobianos y fármacos similares”, sección 4).</w:t>
      </w:r>
    </w:p>
    <w:p w14:paraId="38854541" w14:textId="77777777" w:rsidR="00D03C17" w:rsidRDefault="00D03C17">
      <w:pPr>
        <w:pStyle w:val="BodyText"/>
        <w:numPr>
          <w:ilvl w:val="0"/>
          <w:numId w:val="94"/>
        </w:numPr>
        <w:tabs>
          <w:tab w:val="left" w:pos="341"/>
        </w:tabs>
        <w:ind w:firstLine="0"/>
      </w:pPr>
      <w:bookmarkStart w:id="314" w:name="bookmark1320"/>
      <w:bookmarkEnd w:id="314"/>
      <w:r>
        <w:t>En forma típica el tratamiento con antimicrobianos dura cinco días.</w:t>
      </w:r>
    </w:p>
    <w:p w14:paraId="6BBE9438" w14:textId="77777777" w:rsidR="00D03C17" w:rsidRDefault="00D03C17">
      <w:pPr>
        <w:pStyle w:val="BodyText"/>
        <w:numPr>
          <w:ilvl w:val="0"/>
          <w:numId w:val="94"/>
        </w:numPr>
        <w:tabs>
          <w:tab w:val="left" w:pos="341"/>
        </w:tabs>
        <w:ind w:left="360" w:hanging="360"/>
      </w:pPr>
      <w:bookmarkStart w:id="315" w:name="bookmark1321"/>
      <w:bookmarkEnd w:id="315"/>
      <w:r>
        <w:t>Están contraindicados los antidiarreicos que inhiben el peristaltismo intestinal, porque pueden prolongar la evolución clínica y bacteriológica de la enfermedad.</w:t>
      </w:r>
    </w:p>
    <w:p w14:paraId="09491EBC" w14:textId="77777777" w:rsidR="00D03C17" w:rsidRDefault="00D03C17">
      <w:pPr>
        <w:pStyle w:val="BodyText"/>
        <w:numPr>
          <w:ilvl w:val="0"/>
          <w:numId w:val="94"/>
        </w:numPr>
        <w:tabs>
          <w:tab w:val="left" w:pos="341"/>
        </w:tabs>
        <w:ind w:left="360" w:hanging="360"/>
      </w:pPr>
      <w:bookmarkStart w:id="316" w:name="bookmark1322"/>
      <w:bookmarkEnd w:id="316"/>
      <w:r>
        <w:t>Se pueden administrar suplementos nutricionales que incluyan vitamina A (200 000 UI) para acelerar la resolución clínica en zonas geográficas en que los niños están expuestos al peligro de malnutrición.</w:t>
      </w:r>
    </w:p>
    <w:p w14:paraId="552CC579" w14:textId="77777777" w:rsidR="00D03C17" w:rsidRDefault="00D03C17">
      <w:pPr>
        <w:pStyle w:val="BodyText"/>
        <w:ind w:firstLine="0"/>
      </w:pPr>
      <w:r>
        <w:rPr>
          <w:b/>
          <w:bCs/>
        </w:rPr>
        <w:t>A</w:t>
      </w:r>
      <w:r>
        <w:rPr>
          <w:b/>
          <w:bCs/>
          <w:sz w:val="13"/>
          <w:szCs w:val="13"/>
        </w:rPr>
        <w:t xml:space="preserve">ISLAMIENTO </w:t>
      </w:r>
      <w:r>
        <w:rPr>
          <w:b/>
          <w:bCs/>
          <w:smallCaps/>
          <w:sz w:val="16"/>
          <w:szCs w:val="16"/>
        </w:rPr>
        <w:t>del</w:t>
      </w:r>
      <w:r>
        <w:rPr>
          <w:b/>
          <w:bCs/>
          <w:sz w:val="13"/>
          <w:szCs w:val="13"/>
        </w:rPr>
        <w:t xml:space="preserve"> PACIENTE HOSPITALIZADO</w:t>
      </w:r>
      <w:r>
        <w:rPr>
          <w:b/>
          <w:bCs/>
        </w:rPr>
        <w:t xml:space="preserve">: </w:t>
      </w:r>
      <w:r>
        <w:t>Además de las precauciones estándar conviene seguir las que evitan la transmisión por contacto durante el tiempo que dure la enfermedad.</w:t>
      </w:r>
    </w:p>
    <w:p w14:paraId="31A08F1F" w14:textId="77777777" w:rsidR="00D03C17" w:rsidRDefault="00D03C17">
      <w:pPr>
        <w:pStyle w:val="Other0"/>
        <w:spacing w:line="257" w:lineRule="auto"/>
        <w:ind w:firstLine="0"/>
        <w:rPr>
          <w:sz w:val="20"/>
          <w:szCs w:val="20"/>
        </w:rPr>
      </w:pPr>
      <w:r>
        <w:rPr>
          <w:b/>
          <w:bCs/>
          <w:smallCaps/>
          <w:sz w:val="20"/>
          <w:szCs w:val="20"/>
        </w:rPr>
        <w:t>M</w:t>
      </w:r>
      <w:r>
        <w:rPr>
          <w:b/>
          <w:bCs/>
          <w:smallCaps/>
          <w:sz w:val="16"/>
          <w:szCs w:val="16"/>
        </w:rPr>
        <w:t>edidas preventivas</w:t>
      </w:r>
      <w:r>
        <w:rPr>
          <w:b/>
          <w:bCs/>
          <w:smallCaps/>
          <w:sz w:val="20"/>
          <w:szCs w:val="20"/>
        </w:rPr>
        <w:t>:</w:t>
      </w:r>
    </w:p>
    <w:p w14:paraId="779F5BC5" w14:textId="77777777" w:rsidR="00D03C17" w:rsidRDefault="00D03C17">
      <w:pPr>
        <w:pStyle w:val="BodyText"/>
        <w:spacing w:line="276" w:lineRule="auto"/>
        <w:ind w:firstLine="0"/>
      </w:pPr>
      <w:r>
        <w:rPr>
          <w:rFonts w:ascii="Arial" w:eastAsia="Arial" w:hAnsi="Arial" w:cs="Arial"/>
          <w:b/>
          <w:bCs/>
          <w:i/>
          <w:iCs/>
          <w:sz w:val="15"/>
          <w:szCs w:val="15"/>
        </w:rPr>
        <w:t>Centros de atención pediátrica.</w:t>
      </w:r>
      <w:r>
        <w:t xml:space="preserve"> Se recomiendan medidas generales para interrumpir la transmisión entérica en centros de atención pediátrica (véase “Niños en el sistema asistencial extrahogareño”, sección 2). La medida más importante para disminuir la transmisión es la higiene meticulosa de las manos. También las cifras de infección disminuyen si se elimina el acceso a áreas de juego acuático compartidas y pañales contaminados.</w:t>
      </w:r>
    </w:p>
    <w:p w14:paraId="379087A8" w14:textId="77777777" w:rsidR="00D03C17" w:rsidRDefault="00D03C17">
      <w:pPr>
        <w:pStyle w:val="BodyText"/>
        <w:ind w:firstLine="360"/>
      </w:pPr>
      <w:r>
        <w:t xml:space="preserve">Una vez que se identifica la infección por </w:t>
      </w:r>
      <w:r>
        <w:rPr>
          <w:rFonts w:ascii="Times New Roman" w:eastAsia="Times New Roman" w:hAnsi="Times New Roman" w:cs="Times New Roman"/>
          <w:i/>
          <w:iCs/>
          <w:sz w:val="16"/>
          <w:szCs w:val="16"/>
        </w:rPr>
        <w:t>Shigella</w:t>
      </w:r>
      <w:r>
        <w:t xml:space="preserve"> en un niño atendido en una unidad pediátrica o en un miembro de esta última, habrá que obtener y cultivar muestras de excremento de los demás niños y miembros del personal sintomáticos. También habría que hacer cultivo de las muestras de heces de los contactos en el círculo familiar que tengan diarrea. Es importante emprender la administración de antimicrobianos apropiados (véase “Tratamiento”, párrafos anteriores en este resumen) en toda persona sintomática en quienes se detecten shigellas en los estudios de excrementos, y no se les permitirá reincorporarse a la unidad de atención pediátrica hasta que haya cesado la diarrea o no se identifiquen especies del microorganismo en los cultivos de excrementos. Si están infectadas varias personas, habrá que pensar en un sistema de cohorte hasta que en los cultivos de heces no se identifiquen más </w:t>
      </w:r>
      <w:r>
        <w:rPr>
          <w:rFonts w:ascii="Times New Roman" w:eastAsia="Times New Roman" w:hAnsi="Times New Roman" w:cs="Times New Roman"/>
          <w:i/>
          <w:iCs/>
          <w:sz w:val="16"/>
          <w:szCs w:val="16"/>
        </w:rPr>
        <w:t>Shigellas</w:t>
      </w:r>
      <w:r>
        <w:rPr>
          <w:i/>
          <w:iCs/>
        </w:rPr>
        <w:t xml:space="preserve">; </w:t>
      </w:r>
      <w:r>
        <w:t>dicho sistema debe combinarse con la higiene de las manos y la administración de antimicrobianos.</w:t>
      </w:r>
    </w:p>
    <w:p w14:paraId="3EB111DF" w14:textId="77777777" w:rsidR="00D03C17" w:rsidRDefault="00D03C17">
      <w:pPr>
        <w:pStyle w:val="BodyText"/>
        <w:spacing w:line="276" w:lineRule="auto"/>
        <w:ind w:firstLine="360"/>
      </w:pPr>
      <w:r>
        <w:rPr>
          <w:rFonts w:ascii="Arial" w:eastAsia="Arial" w:hAnsi="Arial" w:cs="Arial"/>
          <w:b/>
          <w:bCs/>
          <w:i/>
          <w:iCs/>
          <w:sz w:val="15"/>
          <w:szCs w:val="15"/>
        </w:rPr>
        <w:t>Medidas generales de erradicación.</w:t>
      </w:r>
      <w:r>
        <w:t xml:space="preserve"> La propagación suele frenarse si se presta atención estricta a la higiene de las manos. Otras medidas importantes hacia ese objetivo incluyen mejorar la sanidad, contar con un abasto de agua limpia y potable por cloración, cocer y almacenar adecuadamente los alimentos, excluir a personas infectadas para que no manipulen alimentos y emprender medidas para disminuir la contaminación de alimentos por las moscas caseras. Es esencial la notificación de casos a las autoridades sanitarias apropiadas (como sería el personal de erradicación de infecciones en nosocomios y del departamento de sanidad).</w:t>
      </w:r>
    </w:p>
    <w:p w14:paraId="2A0769AF" w14:textId="77777777" w:rsidR="00D03C17" w:rsidRDefault="00D03C17">
      <w:pPr>
        <w:pStyle w:val="BodyText"/>
        <w:spacing w:line="334" w:lineRule="auto"/>
        <w:ind w:firstLine="360"/>
        <w:sectPr w:rsidR="00D03C17" w:rsidSect="00D03C17">
          <w:headerReference w:type="even" r:id="rId349"/>
          <w:headerReference w:type="default" r:id="rId350"/>
          <w:footerReference w:type="even" r:id="rId351"/>
          <w:footerReference w:type="default" r:id="rId352"/>
          <w:footnotePr>
            <w:numFmt w:val="chicago"/>
          </w:footnotePr>
          <w:pgSz w:w="8501" w:h="13022"/>
          <w:pgMar w:top="898" w:right="798" w:bottom="504" w:left="816" w:header="0" w:footer="3" w:gutter="0"/>
          <w:pgNumType w:start="610"/>
          <w:cols w:space="720"/>
          <w:noEndnote/>
          <w:docGrid w:linePitch="360"/>
          <w15:footnoteColumns w:val="1"/>
        </w:sectPr>
      </w:pPr>
      <w:r>
        <w:rPr>
          <w:rFonts w:ascii="Arial" w:eastAsia="Arial" w:hAnsi="Arial" w:cs="Arial"/>
          <w:b/>
          <w:bCs/>
          <w:i/>
          <w:iCs/>
          <w:sz w:val="15"/>
          <w:szCs w:val="15"/>
        </w:rPr>
        <w:t>Vacunación.</w:t>
      </w:r>
      <w:r>
        <w:t xml:space="preserve"> No se cuenta con ninguna vacuna aprobada.</w:t>
      </w:r>
    </w:p>
    <w:p w14:paraId="796E37F6" w14:textId="77777777" w:rsidR="00D03C17" w:rsidRDefault="00D03C17">
      <w:pPr>
        <w:pStyle w:val="Bodytext70"/>
        <w:spacing w:after="0"/>
      </w:pPr>
      <w:r>
        <w:t>Viruela</w:t>
      </w:r>
    </w:p>
    <w:p w14:paraId="1465CCF5" w14:textId="77777777" w:rsidR="00D03C17" w:rsidRDefault="00D03C17">
      <w:pPr>
        <w:pStyle w:val="BodyText"/>
        <w:ind w:firstLine="0"/>
      </w:pPr>
      <w:r>
        <w:t>En 1980, la Organización Mundial de la Salud declaró que se había erradicado satisfactoriamente en todo el planeta la viruela. El último caso natural de la enfermedad se identificó en Somalia en 1977, seguido de dos casos atribuibles a exposición en el laboratorio, en 1978. En 1971 en Estados Unidos se dejó de practicar la vacunación sistemática antivariolosa en niños, y también la vacunación sistemática de personal asistencial, en 1976. Prosiguió hasta 1990 la vacunación del personal militar estadounidense. Desde 1980 se ha recomendado usar la vacuna únicamente en personas que trabajan con orthopoxvirus que no son de viruela. Dos de los laboratorios especializados de la OMS fueron autorizados para conservar reservas de virus de viruela. Hay una preocupación cada vez mayor de que pueda hacerse mal uso del virus y de la experiencia para utilizarlo como arma de bioterrorismo. La viruela se incluye en esta edición por primera vez desde 1977 ante tal preocupación.</w:t>
      </w:r>
    </w:p>
    <w:p w14:paraId="20749EC2" w14:textId="77777777" w:rsidR="00D03C17" w:rsidRDefault="00D03C17">
      <w:pPr>
        <w:pStyle w:val="BodyText"/>
        <w:ind w:firstLine="0"/>
      </w:pPr>
      <w:r>
        <w:rPr>
          <w:b/>
          <w:bCs/>
        </w:rPr>
        <w:t>M</w:t>
      </w:r>
      <w:r>
        <w:rPr>
          <w:b/>
          <w:bCs/>
          <w:sz w:val="13"/>
          <w:szCs w:val="13"/>
        </w:rPr>
        <w:t>ANIFESTACIONES CLÍNICAS</w:t>
      </w:r>
      <w:r>
        <w:rPr>
          <w:b/>
          <w:bCs/>
        </w:rPr>
        <w:t xml:space="preserve">: </w:t>
      </w:r>
      <w:r>
        <w:t>La persona infectada de viruela muestra un cuadro prodrómico intenso caracterizado por fiebre alta (38.9 a 40°C) y síntomas generales, como son malestar, cefalea intensa, dorsalgia, dolor abdominal y postración, cuadro que dura dos a cinco días. Los niños infectados pueden mostrar vómitos y convulsiones en el periodo prodrómico. En casi todos los pacientes el cuadro es muy grave y durante el pródromo febril el niño está postrado. Después del periodo prodrómico aparecen enantemas (lesiones en la mucosa de la boca o la faringe) que quizá el propio paciente no advierta. La fase anterior aparece menos de 24 h antes de que lo haga la erupción que suele ser la primera manifestación reconocida de un cuadro infeccioso. Al comenzar los enantemas el paciente se torna infectante y permanece en tal situación hasta que se han desprendido las costras de la piel. El exantema o erupción típicamente comienza en la cara y evoluciona a muy breve plazo para abarcar antebrazos, tronco y piernas en distribución centrífuga (hay una mayor concentración de lesiones en la cara y en las extremidades de su porción distal). Muchos pacientes mostrarán lesiones en las palmas y las plantas. Al comenzar la erupción disminuye la fiebre pero no hay una defervescencia total. Las lesiones comienzan en la forma de manchas que evolucionan a pápulas y después vesículas firmes y por último pústulas duras y profundas descritas como “perlas de pus” y cada fase dura uno o dos días. Entre el sexto y séptimo días de aparecida la erupción, las lesiones comienzan a umbilicarse o confluir. Su tamaño aumenta aproximadamente durante ocho a 10 días y después de esa fase comienza la de encostramiento. Una vez que se han desprendido las lesiones que ocurre tres a cuatro semanas después de iniciar la erupción, el paciente deja de ser infectante. Las personas infectadas sufren cicatrices notables una vez desprendidas las costras. Ante la evolución relativamente lenta y constante de las erupciones, todas las lesiones en cualquier zona del cuerpo muestran la misma fase de evolución.</w:t>
      </w:r>
    </w:p>
    <w:p w14:paraId="34FB4474" w14:textId="77777777" w:rsidR="00D03C17" w:rsidRDefault="00D03C17">
      <w:pPr>
        <w:pStyle w:val="BodyText"/>
        <w:ind w:firstLine="360"/>
      </w:pPr>
      <w:r>
        <w:t>La varicela o viruela loca es un cuadro que muy a menudo es tomado erróneamente por viruela. En términos generales, los niños con varicela no tiene el pródromo febril y en los adultos el pródromo es breve y benigno. Se pueden confundir fácilmente las dos enfermedades en los primeros días de la erupción, pero en las lesiones de la viruelas se evolucionan hasta la forma de pústulas firmes y en el plano profundo en la dermis, en tanto que las de la varicela terminan siendo vesículas superficiales. La varicela hace erupción en cúmulos de lesiones de evolución rápida y por esta razón las lesiones en cualquier zona del cuerpo presentarán etapas distintas de evolución (pápulas, vesículas y costras). Es diferente la distribución de la erupción en las dos enfermedades. La varicela muy a menudo ataca la cara y el tronco y deja relativamente indemnes a las extremidades y las lesiones de palmas y plantas son raras.</w:t>
      </w:r>
    </w:p>
    <w:p w14:paraId="267DF706" w14:textId="77777777" w:rsidR="00D03C17" w:rsidRDefault="00D03C17">
      <w:pPr>
        <w:pStyle w:val="BodyText"/>
        <w:ind w:firstLine="360"/>
      </w:pPr>
      <w:r>
        <w:t>Además del cuadro típico inicial de la viruela (90% o más de los casos) se conocen dos formas poco comunes de ella: hemorrágica (caracterizada por hemorragia en las lesiones de la piel y coagulación intravascular diseminada) del tipo maligno o plano (en que las lesiones de la piel no evolucionan hasta la fase pustulosa sino que permanecen planas y blandas). Cada variante ha aparecido en 5%, aproximadamente, de los casos y se ha acompañado de una tasa de mortalidad de 95 a 100%. La erupción hemorrágica muy a menudo se le confundía con meningococcemia. La viruela plana (aterciopelada) surgía más a menudo en niños. A diferencia de ello la viruela menor o alastrim se acompañaba de un número menor de lesiones, una evolución menor más rápida de la erupción y una cifra mucho menor de mortalidad (en promedio 1%) que la viruela (negra) o típica.</w:t>
      </w:r>
    </w:p>
    <w:p w14:paraId="497A75B3" w14:textId="77777777" w:rsidR="00D03C17" w:rsidRDefault="00D03C17">
      <w:pPr>
        <w:pStyle w:val="BodyText"/>
        <w:ind w:firstLine="360"/>
      </w:pPr>
      <w:r>
        <w:t>La viruela en una persona no vacuna conllevaba una cifra de letalidad de 30%, aproximadamente durante las epidemias. La tasa de mortalidad alcanzaba su máximo en niños menores de un año y en adultos mayores de 30 años. Se desconoce las posibilidades que tienen los modernos medios de apoyo en terapéutica para mejorar los resultados. Muy a menudo el sujeto moría en la segunda semana de enfermedad y ello se atribuía a la viremia sobreaguda. Surgían infecciones bacterianas secundarias pero constituían una causa menos importante de muerte.</w:t>
      </w:r>
    </w:p>
    <w:p w14:paraId="7A0229AB" w14:textId="77777777" w:rsidR="00D03C17" w:rsidRDefault="00D03C17">
      <w:pPr>
        <w:pStyle w:val="BodyText"/>
        <w:ind w:firstLine="0"/>
      </w:pPr>
      <w:r>
        <w:rPr>
          <w:b/>
          <w:bCs/>
        </w:rPr>
        <w:t>C</w:t>
      </w:r>
      <w:r>
        <w:rPr>
          <w:b/>
          <w:bCs/>
          <w:sz w:val="13"/>
          <w:szCs w:val="13"/>
        </w:rPr>
        <w:t>AUSAS</w:t>
      </w:r>
      <w:r>
        <w:rPr>
          <w:b/>
          <w:bCs/>
        </w:rPr>
        <w:t xml:space="preserve">: </w:t>
      </w:r>
      <w:r>
        <w:t xml:space="preserve">El virus de la viruela es miembro de la familia Poxviridae (género </w:t>
      </w:r>
      <w:r>
        <w:rPr>
          <w:rFonts w:ascii="Times New Roman" w:eastAsia="Times New Roman" w:hAnsi="Times New Roman" w:cs="Times New Roman"/>
          <w:i/>
          <w:iCs/>
          <w:sz w:val="16"/>
          <w:szCs w:val="16"/>
        </w:rPr>
        <w:t>Orthopoxvirus</w:t>
      </w:r>
      <w:r>
        <w:rPr>
          <w:i/>
          <w:iCs/>
        </w:rPr>
        <w:t xml:space="preserve">). </w:t>
      </w:r>
      <w:r>
        <w:t>Las partículas de DNA son algunos de los virus de mayor tamaño y complejidad conocidos y difieren de muchos de los demás virus de DNA porque se multiplican en el citoplasma. Otros miembros del género son la viruela de simios, la vaccinia o vacuna y el llamado cowpox y pueden ocasionar zoonosis en humanos pero por lo común no se contagian de una persona a otra. Los humanos son el único reservorio natural del virus de viruela. La vacuna original usada por Edward Jenner contenía virus de cowpox, pero la vacuna actual contiene virus de vaccinia o vacuna.</w:t>
      </w:r>
    </w:p>
    <w:p w14:paraId="40057690" w14:textId="77777777" w:rsidR="00D03C17" w:rsidRDefault="00D03C17">
      <w:pPr>
        <w:pStyle w:val="BodyText"/>
        <w:ind w:firstLine="0"/>
      </w:pPr>
      <w:r>
        <w:rPr>
          <w:b/>
          <w:bCs/>
        </w:rPr>
        <w:t>A</w:t>
      </w:r>
      <w:r>
        <w:rPr>
          <w:b/>
          <w:bCs/>
          <w:sz w:val="13"/>
          <w:szCs w:val="13"/>
        </w:rPr>
        <w:t>SPECTOS EPIDEMIOLÓGICOS</w:t>
      </w:r>
      <w:r>
        <w:rPr>
          <w:b/>
          <w:bCs/>
        </w:rPr>
        <w:t xml:space="preserve">: </w:t>
      </w:r>
      <w:r>
        <w:t>La viruela se propaga muy a menudo en gotículas de la bucofaringe de niños infectados aunque también se han señalado casos poco frecuentes de transmisión por el contacto con aerosoles o directo con lesiones infectadas, ropas personas o de cama. Los pacientes no son infectantes en el periodo de incubación o el pródromo febril pero lo son cuando comienzan las lesiones de mucosas (enantemas) que aparecen en término de horas de haber surgido la erupción. Se considera como periodo más infectante la primera semana del cuadro con la erupción, si bien los pacientes siguen siéndolo hasta que se han desprendido las costras. Muchas de las personas con viruela están en muy mal estado e inmovilizadas en cama, por lo que la propagación casi siempre se limita a los contactos del círculo familiar, trabajadores de hospitales y otros profesionales asistenciales. Las cifras de ataque secundario en el círculo familiar respecto a la varicela eran siempre menores que las del sarampión y semejantes a las de la varicela o menores que las de ella.</w:t>
      </w:r>
    </w:p>
    <w:p w14:paraId="2CA24C74" w14:textId="77777777" w:rsidR="00D03C17" w:rsidRDefault="00D03C17">
      <w:pPr>
        <w:pStyle w:val="BodyText"/>
        <w:ind w:firstLine="360"/>
      </w:pPr>
      <w:r>
        <w:t xml:space="preserve">El </w:t>
      </w:r>
      <w:r>
        <w:rPr>
          <w:b/>
          <w:bCs/>
        </w:rPr>
        <w:t xml:space="preserve">periodo de incubación </w:t>
      </w:r>
      <w:r>
        <w:t>es de siete a 17 días (media, 12 días).</w:t>
      </w:r>
    </w:p>
    <w:p w14:paraId="695BC552" w14:textId="77777777" w:rsidR="00D03C17" w:rsidRDefault="00D03C17">
      <w:pPr>
        <w:pStyle w:val="BodyText"/>
        <w:spacing w:line="276" w:lineRule="auto"/>
        <w:ind w:firstLine="0"/>
      </w:pPr>
      <w:r>
        <w:rPr>
          <w:b/>
          <w:bCs/>
        </w:rPr>
        <w:t>M</w:t>
      </w:r>
      <w:r>
        <w:rPr>
          <w:b/>
          <w:bCs/>
          <w:sz w:val="13"/>
          <w:szCs w:val="13"/>
        </w:rPr>
        <w:t>ÉTODOS DIAGNÓSTICOS</w:t>
      </w:r>
      <w:r>
        <w:rPr>
          <w:b/>
          <w:bCs/>
        </w:rPr>
        <w:t xml:space="preserve">: </w:t>
      </w:r>
      <w:r>
        <w:t xml:space="preserve">Es posible detectar el virus de viruela en el líquido de vesículas o pústulas por medio de cultivo o la reacción en cadena de polimerasa. Por medio del microscopio electrónico se detecta la infección por orthopoxvirus, pero no se distingue entre las diversas partículas de la familia. Sólo los </w:t>
      </w:r>
      <w:r>
        <w:rPr>
          <w:rFonts w:ascii="Times New Roman" w:eastAsia="Times New Roman" w:hAnsi="Times New Roman" w:cs="Times New Roman"/>
          <w:i/>
          <w:iCs/>
          <w:sz w:val="16"/>
          <w:szCs w:val="16"/>
        </w:rPr>
        <w:t>Centers for Disease Control and Prevention</w:t>
      </w:r>
      <w:r>
        <w:t xml:space="preserve"> (CDC) en Estados Unidos realizan métodos diagnósticos de viruela, aunque tal situación quizá se amplíe en el futuro. Habrá que seguir de inmediato tres tipos de precauciones: estándar y para evitar transmisión por contacto y aerófora en todo paciente sospechoso de mostrar viruela; también habrá que alertar en ese momento a los departamentos sanitarios estatales, locales y de ambos tipos. La notificación de pacientes que según la clasificación de los CDC estén expuestos a un riesgo alto de mostrar viruela será el detonante de una respuesta rápida, con un equipo de personas destinado a obtener muestras y orientar en el tratamiento y asistencia clínicos. </w:t>
      </w:r>
      <w:r>
        <w:rPr>
          <w:b/>
          <w:bCs/>
        </w:rPr>
        <w:t>T</w:t>
      </w:r>
      <w:r>
        <w:rPr>
          <w:b/>
          <w:bCs/>
          <w:sz w:val="13"/>
          <w:szCs w:val="13"/>
        </w:rPr>
        <w:t>RATAMIENTO</w:t>
      </w:r>
      <w:r>
        <w:rPr>
          <w:b/>
          <w:bCs/>
        </w:rPr>
        <w:t xml:space="preserve">: </w:t>
      </w:r>
      <w:r>
        <w:t xml:space="preserve">No se dispone de terapia antivírica eficaz para tratar la viruela. Los pacientes infectados recibirán atención o medidas de apoyo o sostén. Se ha sugerido que pudiera ser útil en la terapia el cidofovir que en Estados Unidos ha sido aprobado para usar contra la retinitis por virus citomegálico, pero no se dispone de datos que apoyen su empleo en la viruela. El fármaco debe administrarse por vía intravenosa y se acompaña de efectos tóxicos notables en los riñones. Se reserva el concentrado inmunoglobulínico de vaccinia </w:t>
      </w:r>
      <w:r>
        <w:rPr>
          <w:i/>
          <w:iCs/>
        </w:rPr>
        <w:t>(</w:t>
      </w:r>
      <w:r>
        <w:rPr>
          <w:rFonts w:ascii="Times New Roman" w:eastAsia="Times New Roman" w:hAnsi="Times New Roman" w:cs="Times New Roman"/>
          <w:i/>
          <w:iCs/>
          <w:sz w:val="16"/>
          <w:szCs w:val="16"/>
        </w:rPr>
        <w:t>vaccinia immune globulin</w:t>
      </w:r>
      <w:r>
        <w:rPr>
          <w:i/>
          <w:iCs/>
        </w:rPr>
        <w:t>,</w:t>
      </w:r>
      <w:r>
        <w:t xml:space="preserve"> VIG) para usar contra algunas complicaciones de la vacunación y no tiene utilidad en el tratamiento de la enfermedad declarada.</w:t>
      </w:r>
    </w:p>
    <w:p w14:paraId="00ADCA10" w14:textId="77777777" w:rsidR="00D03C17" w:rsidRDefault="00D03C17">
      <w:pPr>
        <w:pStyle w:val="BodyText"/>
        <w:ind w:firstLine="0"/>
      </w:pPr>
      <w:r>
        <w:rPr>
          <w:b/>
          <w:bCs/>
          <w:smallCaps/>
          <w:sz w:val="20"/>
          <w:szCs w:val="20"/>
        </w:rPr>
        <w:t>A</w:t>
      </w:r>
      <w:r>
        <w:rPr>
          <w:b/>
          <w:bCs/>
          <w:smallCaps/>
          <w:sz w:val="16"/>
          <w:szCs w:val="16"/>
        </w:rPr>
        <w:t>islamiento del paciente hospitalizado</w:t>
      </w:r>
      <w:r>
        <w:rPr>
          <w:b/>
          <w:bCs/>
          <w:smallCaps/>
          <w:sz w:val="20"/>
          <w:szCs w:val="20"/>
        </w:rPr>
        <w:t>:</w:t>
      </w:r>
      <w:r>
        <w:t xml:space="preserve"> En todo niño sospechoso de tener viruela es esencial emprender las precauciones estándar, para evitar transmisión por contacto y aerófora. Habrá que avisar en la hospitalización al personal de infectología encargado de erradicar infecciones en el hospital y habrá que colocar al paciente en una estancia con aislamiento, privada y contra infecciones aerógenas que cuente con ventilación a presión negativa y un sistema de alta eficiencia para filtrar partículas del aire. Cualquier persona que penetre en la estancia debe utilizar un respirador N95 o de mayor calidad, guantes y bata, incluso si hay el antecedente de vacunación satisfactoria reciente. Si el paciente sale de la estancia debe utilizar una mascarilla y estar cubierto con sábanas o batas para disminuir el riesgo de transmisión por objetos inanimados. Las estancias en que estuvieron los pacientes deben ser descontaminadas por medio de desinfectantes usados habitualmente en el hospital, como hipoclorito de sodio o soluciones de amonio cuaternario. Habrá que descartar las ropas de lavandería y desperdicios, en bolsas para riesgos biológicos y someterlas a una esterilización en autoclave, y también se lavarán en agua caliente y detergente todas las ropas de cama y personales que serán secadas en aire caliente o incineradas.</w:t>
      </w:r>
    </w:p>
    <w:p w14:paraId="262D712D" w14:textId="77777777" w:rsidR="00D03C17" w:rsidRDefault="00D03C17">
      <w:pPr>
        <w:pStyle w:val="Other0"/>
        <w:spacing w:line="257" w:lineRule="auto"/>
        <w:ind w:firstLine="0"/>
        <w:rPr>
          <w:sz w:val="16"/>
          <w:szCs w:val="16"/>
        </w:rPr>
      </w:pPr>
      <w:r>
        <w:rPr>
          <w:b/>
          <w:bCs/>
          <w:smallCaps/>
          <w:sz w:val="20"/>
          <w:szCs w:val="20"/>
        </w:rPr>
        <w:t>M</w:t>
      </w:r>
      <w:r>
        <w:rPr>
          <w:b/>
          <w:bCs/>
          <w:smallCaps/>
          <w:sz w:val="16"/>
          <w:szCs w:val="16"/>
        </w:rPr>
        <w:t>edidas preventivas</w:t>
      </w:r>
    </w:p>
    <w:p w14:paraId="385B8904" w14:textId="77777777" w:rsidR="00D03C17" w:rsidRDefault="00D03C17">
      <w:pPr>
        <w:pStyle w:val="Bodytext80"/>
        <w:spacing w:line="334" w:lineRule="auto"/>
        <w:rPr>
          <w:sz w:val="15"/>
          <w:szCs w:val="15"/>
        </w:rPr>
      </w:pPr>
      <w:r>
        <w:rPr>
          <w:b/>
          <w:bCs/>
          <w:i/>
          <w:iCs/>
          <w:sz w:val="15"/>
          <w:szCs w:val="15"/>
        </w:rPr>
        <w:t>Cuidados de personas expuestas</w:t>
      </w:r>
    </w:p>
    <w:p w14:paraId="2AA4303D" w14:textId="77777777" w:rsidR="00D03C17" w:rsidRDefault="00D03C17">
      <w:pPr>
        <w:pStyle w:val="BodyText"/>
        <w:spacing w:line="276" w:lineRule="auto"/>
        <w:ind w:firstLine="0"/>
      </w:pPr>
      <w:r>
        <w:t xml:space="preserve">Es indispensable notificar inmediatamente a los departamentos sanitarios de la localidad o estatales de cuadros eruptivos febriles, en los cuales la viruela sea considerada dentro del diagnóstico diferencial. Después de evaluación por el departamento sanitario del estado o la localidad, si se considera necesario el diagnóstico de laboratorio de la viruela, habrá que consultar en el 770-488-7100 en Estados Unidos al CDC </w:t>
      </w:r>
      <w:r>
        <w:rPr>
          <w:rFonts w:ascii="Times New Roman" w:eastAsia="Times New Roman" w:hAnsi="Times New Roman" w:cs="Times New Roman"/>
          <w:i/>
          <w:iCs/>
          <w:sz w:val="16"/>
          <w:szCs w:val="16"/>
        </w:rPr>
        <w:t>Rash Illness Evaluation Team</w:t>
      </w:r>
      <w:r>
        <w:rPr>
          <w:i/>
          <w:iCs/>
        </w:rPr>
        <w:t>.</w:t>
      </w:r>
      <w:r>
        <w:t xml:space="preserve"> Sólo en dicha institución se puede lograr la confirmación de la presencia de la enfermedad, por métodos de laboratorio.</w:t>
      </w:r>
    </w:p>
    <w:p w14:paraId="77DB64C8" w14:textId="77777777" w:rsidR="00D03C17" w:rsidRDefault="00D03C17">
      <w:pPr>
        <w:pStyle w:val="BodyText"/>
        <w:spacing w:line="276" w:lineRule="auto"/>
        <w:ind w:firstLine="360"/>
      </w:pPr>
      <w:r>
        <w:rPr>
          <w:rFonts w:ascii="Times New Roman" w:eastAsia="Times New Roman" w:hAnsi="Times New Roman" w:cs="Times New Roman"/>
          <w:b/>
          <w:bCs/>
          <w:i/>
          <w:iCs/>
          <w:sz w:val="16"/>
          <w:szCs w:val="16"/>
        </w:rPr>
        <w:t>Uso de la vacuna.</w:t>
      </w:r>
      <w:r>
        <w:t xml:space="preserve"> La vacunación después de la exposición (en término de tres o cuatro días de ocurrida) brinda moderada protección contra la enfermedad y protege significativamente contra la muerte. Cualquier persona con una exposición notable a un sujeto con viruela probada, durante la fase infecciosa, necesita ser vacunada lo más pronto posible después de dicha exposición, pero en término de cuatro días de la primera ocurrida. Los sujetos infectados no son contagiosos hasta que surge la erupción (el enantema o ambas), y por tal motivo no están en peligro los individuos expuestos sólo durante el periodo prodrómico.</w:t>
      </w:r>
    </w:p>
    <w:p w14:paraId="36B63794" w14:textId="77777777" w:rsidR="00D03C17" w:rsidRDefault="00D03C17">
      <w:pPr>
        <w:pStyle w:val="BodyText"/>
        <w:spacing w:after="220"/>
        <w:ind w:firstLine="360"/>
      </w:pPr>
      <w:r>
        <w:rPr>
          <w:rFonts w:ascii="Times New Roman" w:eastAsia="Times New Roman" w:hAnsi="Times New Roman" w:cs="Times New Roman"/>
          <w:b/>
          <w:bCs/>
          <w:i/>
          <w:iCs/>
          <w:sz w:val="16"/>
          <w:szCs w:val="16"/>
        </w:rPr>
        <w:t>Concentrado inmunoglobulínico contra vaccinia.</w:t>
      </w:r>
      <w:r>
        <w:t xml:space="preserve"> En el pasado se utilizaba dicho concentrado obtenido del plasma de personas vacunadas o inmunizadas para evitar o modificar la viruela cuando se le aplicaba en término de 24 h de la exposición corroborada. En la actualidad los suministros del concentrado se usan para tratar las complicaciones de la vacunación contra la viruela. En Estados Unidos, los CDC son la única institución que puede suministrar VIG. Las dosis del concentrado se puede obtener al solicitarlo a </w:t>
      </w:r>
      <w:r>
        <w:rPr>
          <w:rFonts w:ascii="Times New Roman" w:eastAsia="Times New Roman" w:hAnsi="Times New Roman" w:cs="Times New Roman"/>
          <w:i/>
          <w:iCs/>
          <w:sz w:val="16"/>
          <w:szCs w:val="16"/>
        </w:rPr>
        <w:t xml:space="preserve">CDC Smallpox Vaccine Adverse Events Clinical Information Line </w:t>
      </w:r>
      <w:r>
        <w:t>en 877-554-4625 para médicos en instituciones civiles.</w:t>
      </w:r>
    </w:p>
    <w:p w14:paraId="077F0A67" w14:textId="77777777" w:rsidR="00D03C17" w:rsidRDefault="00D03C17">
      <w:pPr>
        <w:pStyle w:val="Bodytext80"/>
        <w:rPr>
          <w:sz w:val="15"/>
          <w:szCs w:val="15"/>
        </w:rPr>
      </w:pPr>
      <w:r>
        <w:rPr>
          <w:b/>
          <w:bCs/>
          <w:i/>
          <w:iCs/>
          <w:sz w:val="15"/>
          <w:szCs w:val="15"/>
        </w:rPr>
        <w:t>Vacunación de adultos antes de la exposición</w:t>
      </w:r>
    </w:p>
    <w:p w14:paraId="2FBEB888" w14:textId="77777777" w:rsidR="00D03C17" w:rsidRDefault="00D03C17">
      <w:pPr>
        <w:pStyle w:val="BodyText"/>
        <w:ind w:firstLine="0"/>
      </w:pPr>
      <w:r>
        <w:rPr>
          <w:rFonts w:ascii="Times New Roman" w:eastAsia="Times New Roman" w:hAnsi="Times New Roman" w:cs="Times New Roman"/>
          <w:b/>
          <w:bCs/>
          <w:i/>
          <w:iCs/>
          <w:sz w:val="16"/>
          <w:szCs w:val="16"/>
        </w:rPr>
        <w:t>Vicuna antivariolosa.</w:t>
      </w:r>
      <w:r>
        <w:rPr>
          <w:rFonts w:ascii="Times New Roman" w:eastAsia="Times New Roman" w:hAnsi="Times New Roman" w:cs="Times New Roman"/>
          <w:b/>
          <w:bCs/>
          <w:i/>
          <w:iCs/>
          <w:sz w:val="16"/>
          <w:szCs w:val="16"/>
        </w:rPr>
        <w:footnoteReference w:id="25"/>
      </w:r>
      <w:r>
        <w:t xml:space="preserve"> La única vacuna antivariolosa aprobada en Estados Unidos ha sido preparada con virus de vaccinia vivos y liofilizada. No contiene virus de viruela, sino otro muy similar llamado virus de vaccinia, diferente del virus de cowpox utilizado inicialmente por Jenner para su vacuna. La vacuna hecha de virus de vaccinia es altamente eficaz para evitar la viruela, y la protección disminuye después de cinco a 10 años de haber aplicado una dosis; la protección después de revacunación ha durado más tiempo. Sin embargo, la protección considerable contra la muerte por viruela en lo pasado duraba más de 30 años después de la vacunación durante la lactancia, con base en la experiencia en la fecha de circulación mundial del virus de la viruela y las prácticas de vacunación sistemáticas contra la enfermedad. En Estados Unidos se ha llevado a la práctica un plan de vacunación antivariolosa (</w:t>
      </w:r>
      <w:hyperlink r:id="rId353" w:history="1">
        <w:r>
          <w:t>www.bt.cdc.gov</w:t>
        </w:r>
      </w:hyperlink>
      <w:r>
        <w:t>). Dicho plan no incluye la vacunación de niños.f Sin embargo, los niños pueden estar en peligro de sufrir las complicaciones de la vacuna como contactos de los vacunados. El gobierno federal estadounidense ha hecho contratos para la producción y adquisición de una vacuna recién obtenida, a base de cultivo en células tisulares. Hay que diferir la donación de sangre 21 días después de recibir la vacuna o hasta que se haya desprendido la costra. También habrá que diferir un mes después de la vacunación cualquier prueba cutánea con tuberculina.</w:t>
      </w:r>
    </w:p>
    <w:p w14:paraId="42BA0C34" w14:textId="77777777" w:rsidR="00D03C17" w:rsidRDefault="00D03C17">
      <w:pPr>
        <w:pStyle w:val="BodyText"/>
        <w:ind w:firstLine="360"/>
      </w:pPr>
      <w:r>
        <w:rPr>
          <w:rFonts w:ascii="Times New Roman" w:eastAsia="Times New Roman" w:hAnsi="Times New Roman" w:cs="Times New Roman"/>
          <w:b/>
          <w:bCs/>
          <w:i/>
          <w:iCs/>
          <w:sz w:val="16"/>
          <w:szCs w:val="16"/>
        </w:rPr>
        <w:t>Administración.</w:t>
      </w:r>
      <w:r>
        <w:t xml:space="preserve"> La vacuna se aplica con una aguja bifurcada para introducir el virus en la epidermis. Se sostiene por capilaridad entre los dos “cabos” de la aguja. El “prendimiento” de la vacuna se valora por la reacción cutánea a la vacunación: surgirá una pápula en el sitio de vacunación a los tres a cinco días, que evolucionará a vesículas de los cinco a ocho días para seguir con la fase de pústula y alcanzar su diámetro máximo en ocho a 10 días. La lesión muestra costra y cura después de 14 a 21 días y deja cicatriz. Puede haber también hinchazón y dolor al tacto y ganglios linfáticos regionales. También a veces se observan lesiones satélites en el perímetro de la vacunación. Las personas expuestas ocupacionalmente al virus de vaccinia (virus en la vacuna), a virus recombinante de vaccinia u otros orthopoxvirus diferentes del de la viruela deben ser vacunadas cada 10 años.</w:t>
      </w:r>
    </w:p>
    <w:p w14:paraId="7672F5B6" w14:textId="77777777" w:rsidR="00D03C17" w:rsidRDefault="00D03C17">
      <w:pPr>
        <w:pStyle w:val="BodyText"/>
        <w:ind w:firstLine="360"/>
        <w:sectPr w:rsidR="00D03C17" w:rsidSect="00D03C17">
          <w:headerReference w:type="even" r:id="rId354"/>
          <w:headerReference w:type="default" r:id="rId355"/>
          <w:footerReference w:type="even" r:id="rId356"/>
          <w:footerReference w:type="default" r:id="rId357"/>
          <w:footnotePr>
            <w:numFmt w:val="chicago"/>
          </w:footnotePr>
          <w:pgSz w:w="8501" w:h="13022"/>
          <w:pgMar w:top="898" w:right="798" w:bottom="504" w:left="816" w:header="0" w:footer="3" w:gutter="0"/>
          <w:pgNumType w:start="715"/>
          <w:cols w:space="720"/>
          <w:noEndnote/>
          <w:docGrid w:linePitch="360"/>
          <w15:footnoteColumns w:val="1"/>
        </w:sectPr>
      </w:pPr>
      <w:r>
        <w:rPr>
          <w:rFonts w:ascii="Times New Roman" w:eastAsia="Times New Roman" w:hAnsi="Times New Roman" w:cs="Times New Roman"/>
          <w:b/>
          <w:bCs/>
          <w:i/>
          <w:iCs/>
          <w:sz w:val="16"/>
          <w:szCs w:val="16"/>
        </w:rPr>
        <w:t>Reacciones adversas.</w:t>
      </w:r>
      <w:r>
        <w:t xml:space="preserve"> La fiebre es frecuente después de la vacunación (incluso en 70% de los niños) y menos común después de la revacunación (35%). La complicación más grave de la vacunación es la inoculación inadvertida del virus de vaccinia por </w:t>
      </w:r>
    </w:p>
    <w:p w14:paraId="33494A9E" w14:textId="77777777" w:rsidR="00D03C17" w:rsidRDefault="00D03C17">
      <w:pPr>
        <w:pStyle w:val="BodyText"/>
        <w:ind w:firstLine="0"/>
      </w:pPr>
      <w:r>
        <w:t xml:space="preserve">contacto desde el sitio de vacunación, a cara, ojos u otros sitios. Otras complicaciones graves incluyen eritema multiforme, encefalitis y encefalopatía posvacunales, vaccinia progresiva (vaccinia gangrenosa), eccema vaccinatum, vaccinia generalizada y vaccinia letal. Las complicaciones mencionadas son raras, pero los lactantes están expuestos a un mayor peligro de complicación por la vacunación que los niños de mayor edad y los adultos. Por la razón anterior, en Estados Unidos se ha diferido la vacunación antivariolosa hasta que el niño tenga más de un año de vida. Se recomienda el uso de concentrado inmunoglobulínico contra vaccinia para tratar a personas con algunas de las complicaciones comentadas. Cabría pensar también en el uso de cidofovir (se le considera un nuevo fármaco de investigación </w:t>
      </w:r>
      <w:r>
        <w:rPr>
          <w:i/>
          <w:iCs/>
        </w:rPr>
        <w:t>[</w:t>
      </w:r>
      <w:r>
        <w:rPr>
          <w:rFonts w:ascii="Times New Roman" w:eastAsia="Times New Roman" w:hAnsi="Times New Roman" w:cs="Times New Roman"/>
          <w:i/>
          <w:iCs/>
          <w:sz w:val="16"/>
          <w:szCs w:val="16"/>
        </w:rPr>
        <w:t>investigational new drug,</w:t>
      </w:r>
      <w:r>
        <w:t xml:space="preserve"> IND] que puede conseguirse si se solicita a los CDC). A veces el virus de vaccinia se transmite de una persona recién vacunada a un contacto susceptible, que incluye niños. La transmisión del virus de vaccinia puede “contenerse” si se conserva el sitio de vacunación cubierto con un apósito semipermeable sobre un material absorbente como la gasa y se cambia el apósito frecuentemente.</w:t>
      </w:r>
    </w:p>
    <w:p w14:paraId="1DC060D9" w14:textId="77777777" w:rsidR="00D03C17" w:rsidRDefault="00D03C17">
      <w:pPr>
        <w:pStyle w:val="BodyText"/>
        <w:ind w:firstLine="360"/>
      </w:pPr>
      <w:r>
        <w:t>La vacuna antivariolosa no es recomendable para personas menores de 18 años, y en caso de una propagación terrorista del virus de la viruela, las autoridades sanitarias harán declaraciones y recomendaciones al respecto.</w:t>
      </w:r>
    </w:p>
    <w:p w14:paraId="78502950" w14:textId="77777777" w:rsidR="00D03C17" w:rsidRDefault="00D03C17">
      <w:pPr>
        <w:pStyle w:val="BodyText"/>
        <w:spacing w:after="80" w:line="271" w:lineRule="auto"/>
        <w:ind w:firstLine="360"/>
      </w:pPr>
      <w:r>
        <w:rPr>
          <w:rFonts w:ascii="Times New Roman" w:eastAsia="Times New Roman" w:hAnsi="Times New Roman" w:cs="Times New Roman"/>
          <w:b/>
          <w:bCs/>
          <w:i/>
          <w:iCs/>
          <w:sz w:val="16"/>
          <w:szCs w:val="16"/>
        </w:rPr>
        <w:t>Precauciones y contraindicaciones:</w:t>
      </w:r>
      <w:r>
        <w:rPr>
          <w:rFonts w:ascii="Times New Roman" w:eastAsia="Times New Roman" w:hAnsi="Times New Roman" w:cs="Times New Roman"/>
          <w:b/>
          <w:bCs/>
          <w:i/>
          <w:iCs/>
          <w:sz w:val="16"/>
          <w:szCs w:val="16"/>
        </w:rPr>
        <w:footnoteReference w:id="26"/>
      </w:r>
      <w:r>
        <w:t xml:space="preserve"> En caso de que no se produzca la propagación intencional del virus de vacuna, no debe administrarse la vacuna antivariolosa a: 1) personas con el antecedente de dermatitis atópica (eccema) o que muestran tal cuadro; 2) individuos con dermatosis agudas activas, crónicas o exfoliativas que alteran la epidermis; 3) embarazadas o mujeres que intentan embarazarse en término de 28 días después de la vacunación y 4) personas inmunodeficientes como resultado de infección por el virus de inmunodeficiencia humana, cuadros autoinmunitarios, cáncer, radioterapia, fármacos inmunosupresores, inmunodeficiencias primarias y de otro tipo. Otras contraindicaciones aplicables sólo a candidatos a vacunación, pero que no incluyen los contactos muy cercanos de personas vacunadas son los individuos con alergias a componentes de la vacuna; mujeres que alimentan al seno a su hijo, individuos que utilizan corticosteroides tópicos en los ojos, personas con enfermedad moderada o grave e individuos menores de 18 años. Se puede obtener de la página </w:t>
      </w:r>
      <w:hyperlink r:id="rId358" w:history="1">
        <w:r>
          <w:t>www.bt.cdc.gov</w:t>
        </w:r>
      </w:hyperlink>
      <w:r>
        <w:t xml:space="preserve"> información actual para los clínicos, en todos los aspectos de la viruela y la vacuna antivariolosa. En caso de brote de viruela, los CDC difundirán directrices específicas contra él.</w:t>
      </w:r>
    </w:p>
    <w:p w14:paraId="364DE304" w14:textId="77777777" w:rsidR="00D03C17" w:rsidRDefault="00D03C17">
      <w:pPr>
        <w:pStyle w:val="Bodytext70"/>
        <w:spacing w:after="0" w:line="182" w:lineRule="auto"/>
      </w:pPr>
      <w:r>
        <w:rPr>
          <w:i/>
          <w:iCs/>
        </w:rPr>
        <w:t xml:space="preserve">Yersinia enterocolitica </w:t>
      </w:r>
      <w:r>
        <w:rPr>
          <w:i/>
          <w:iCs/>
          <w:w w:val="100"/>
        </w:rPr>
        <w:t xml:space="preserve">y </w:t>
      </w:r>
      <w:r>
        <w:rPr>
          <w:i/>
          <w:iCs/>
        </w:rPr>
        <w:t>Yersinia pseudotuberculosis</w:t>
      </w:r>
      <w:r>
        <w:rPr>
          <w:i/>
          <w:iCs/>
          <w:w w:val="100"/>
        </w:rPr>
        <w:t xml:space="preserve">, </w:t>
      </w:r>
      <w:r>
        <w:t>infecciones</w:t>
      </w:r>
    </w:p>
    <w:p w14:paraId="650ADB28" w14:textId="77777777" w:rsidR="00D03C17" w:rsidRDefault="00D03C17">
      <w:pPr>
        <w:pStyle w:val="Other0"/>
        <w:spacing w:line="252" w:lineRule="auto"/>
        <w:ind w:firstLine="0"/>
        <w:rPr>
          <w:sz w:val="20"/>
          <w:szCs w:val="20"/>
        </w:rPr>
      </w:pPr>
      <w:r>
        <w:rPr>
          <w:rFonts w:ascii="Arial" w:eastAsia="Arial" w:hAnsi="Arial" w:cs="Arial"/>
          <w:b/>
          <w:bCs/>
          <w:w w:val="70"/>
          <w:sz w:val="20"/>
          <w:szCs w:val="20"/>
        </w:rPr>
        <w:t>(Enteritis y otras enfermedades)</w:t>
      </w:r>
    </w:p>
    <w:p w14:paraId="6C866B0A" w14:textId="77777777" w:rsidR="00D03C17" w:rsidRDefault="00D03C17">
      <w:pPr>
        <w:pStyle w:val="BodyText"/>
        <w:spacing w:after="220"/>
        <w:ind w:firstLine="0"/>
        <w:sectPr w:rsidR="00D03C17" w:rsidSect="00D03C17">
          <w:headerReference w:type="even" r:id="rId359"/>
          <w:headerReference w:type="default" r:id="rId360"/>
          <w:footerReference w:type="even" r:id="rId361"/>
          <w:footerReference w:type="default" r:id="rId362"/>
          <w:footnotePr>
            <w:numFmt w:val="chicago"/>
          </w:footnotePr>
          <w:type w:val="continuous"/>
          <w:pgSz w:w="8501" w:h="13022"/>
          <w:pgMar w:top="898" w:right="798" w:bottom="504" w:left="816" w:header="0" w:footer="76" w:gutter="0"/>
          <w:cols w:space="720"/>
          <w:noEndnote/>
          <w:docGrid w:linePitch="360"/>
          <w15:footnoteColumns w:val="1"/>
        </w:sectPr>
      </w:pPr>
      <w:r>
        <w:rPr>
          <w:b/>
          <w:bCs/>
        </w:rPr>
        <w:t>M</w:t>
      </w:r>
      <w:r>
        <w:rPr>
          <w:b/>
          <w:bCs/>
          <w:sz w:val="13"/>
          <w:szCs w:val="13"/>
        </w:rPr>
        <w:t>ANIFESTACIONES CLÍNICAS</w:t>
      </w:r>
      <w:r>
        <w:rPr>
          <w:b/>
          <w:bCs/>
        </w:rPr>
        <w:t xml:space="preserve">: </w:t>
      </w:r>
      <w:r>
        <w:rPr>
          <w:rFonts w:ascii="Times New Roman" w:eastAsia="Times New Roman" w:hAnsi="Times New Roman" w:cs="Times New Roman"/>
          <w:i/>
          <w:iCs/>
          <w:sz w:val="16"/>
          <w:szCs w:val="16"/>
        </w:rPr>
        <w:t>Yersinia enterocolitica</w:t>
      </w:r>
      <w:r>
        <w:t xml:space="preserve"> y </w:t>
      </w:r>
      <w:r>
        <w:rPr>
          <w:rFonts w:ascii="Times New Roman" w:eastAsia="Times New Roman" w:hAnsi="Times New Roman" w:cs="Times New Roman"/>
          <w:i/>
          <w:iCs/>
          <w:sz w:val="16"/>
          <w:szCs w:val="16"/>
        </w:rPr>
        <w:t>Yersinia pseudotuberculosis</w:t>
      </w:r>
      <w:r>
        <w:t xml:space="preserve"> originan algunos síndromes específicos de grupos de edad y otros con cuadros iniciales poco comunes. La manifestación más frecuente de la infección por </w:t>
      </w:r>
      <w:r>
        <w:rPr>
          <w:rFonts w:ascii="Times New Roman" w:eastAsia="Times New Roman" w:hAnsi="Times New Roman" w:cs="Times New Roman"/>
          <w:i/>
          <w:iCs/>
          <w:sz w:val="16"/>
          <w:szCs w:val="16"/>
        </w:rPr>
        <w:t>Y. enterocolitica</w:t>
      </w:r>
      <w:r>
        <w:t xml:space="preserve"> es la enterocolitis con fiebre y diarrea; en los excrementos suelen detectarse leucocitos, sangre y moco. El síndrome ataca más a menudo a niños de corta edad; se han descrito casos de enfermedad recidivante y, en ocasiones, enterocolitis necrosante. En niños de mayor edad y adultos jóvenes surge más bien un síndrome de seudoapendicitis (fiebre, dolor </w:t>
      </w:r>
    </w:p>
    <w:p w14:paraId="7BC552D8" w14:textId="77777777" w:rsidR="00D03C17" w:rsidRDefault="00D03C17">
      <w:pPr>
        <w:pStyle w:val="BodyText"/>
        <w:spacing w:after="220"/>
        <w:ind w:firstLine="0"/>
      </w:pPr>
      <w:r>
        <w:t xml:space="preserve">excrementos obtenidos después de interrumpir el uso de antimicrobianos. En personas con HUS o colitis hemorrágica atribuible a STEC, habrá que continuar las precauciones para evitar la transmisión por contacto hasta que desaparezca la diarrea, y los resultados de dos cultivos consecutivos de excrementos no indiquen la presencia de </w:t>
      </w:r>
      <w:r>
        <w:rPr>
          <w:rFonts w:ascii="Times New Roman" w:eastAsia="Times New Roman" w:hAnsi="Times New Roman" w:cs="Times New Roman"/>
          <w:i/>
          <w:iCs/>
          <w:sz w:val="16"/>
          <w:szCs w:val="16"/>
        </w:rPr>
        <w:t>E. coli</w:t>
      </w:r>
      <w:r>
        <w:t xml:space="preserve"> O157:H7.</w:t>
      </w:r>
    </w:p>
    <w:p w14:paraId="5C081E2E" w14:textId="77777777" w:rsidR="00D03C17" w:rsidRDefault="00D03C17">
      <w:pPr>
        <w:pStyle w:val="Other0"/>
        <w:spacing w:line="257" w:lineRule="auto"/>
        <w:ind w:firstLine="0"/>
        <w:rPr>
          <w:sz w:val="16"/>
          <w:szCs w:val="16"/>
        </w:rPr>
      </w:pPr>
      <w:r>
        <w:rPr>
          <w:b/>
          <w:bCs/>
          <w:smallCaps/>
          <w:sz w:val="20"/>
          <w:szCs w:val="20"/>
        </w:rPr>
        <w:t>M</w:t>
      </w:r>
      <w:r>
        <w:rPr>
          <w:b/>
          <w:bCs/>
          <w:smallCaps/>
          <w:sz w:val="16"/>
          <w:szCs w:val="16"/>
        </w:rPr>
        <w:t>edidas preventivas</w:t>
      </w:r>
    </w:p>
    <w:p w14:paraId="3E7AB256" w14:textId="77777777" w:rsidR="00D03C17" w:rsidRDefault="00D03C17">
      <w:pPr>
        <w:pStyle w:val="BodyText"/>
        <w:spacing w:line="288" w:lineRule="auto"/>
        <w:ind w:firstLine="0"/>
      </w:pPr>
      <w:r>
        <w:rPr>
          <w:rFonts w:ascii="Arial" w:eastAsia="Arial" w:hAnsi="Arial" w:cs="Arial"/>
          <w:b/>
          <w:bCs/>
          <w:i/>
          <w:iCs/>
          <w:sz w:val="15"/>
          <w:szCs w:val="15"/>
        </w:rPr>
        <w:t>Infección por</w:t>
      </w:r>
      <w:r>
        <w:rPr>
          <w:rFonts w:ascii="Arial" w:eastAsia="Arial" w:hAnsi="Arial" w:cs="Arial"/>
          <w:b/>
          <w:bCs/>
          <w:w w:val="70"/>
          <w:sz w:val="20"/>
          <w:szCs w:val="20"/>
        </w:rPr>
        <w:t xml:space="preserve"> E. coli </w:t>
      </w:r>
      <w:r>
        <w:rPr>
          <w:rFonts w:ascii="Arial" w:eastAsia="Arial" w:hAnsi="Arial" w:cs="Arial"/>
          <w:b/>
          <w:bCs/>
          <w:i/>
          <w:iCs/>
          <w:sz w:val="15"/>
          <w:szCs w:val="15"/>
        </w:rPr>
        <w:t>O157:H7.</w:t>
      </w:r>
      <w:r>
        <w:t xml:space="preserve"> La carne molida de res debe ser cocida perfectamente hasta que no quede ningún fragmento de color rosa y el jugo sea transparente. Tampoco se ingerirá leche cruda y se consumirá sólo jugos de manzana pasteurizados.</w:t>
      </w:r>
    </w:p>
    <w:p w14:paraId="04186F1A" w14:textId="77777777" w:rsidR="00D03C17" w:rsidRDefault="00D03C17">
      <w:pPr>
        <w:pStyle w:val="BodyText"/>
        <w:spacing w:line="276" w:lineRule="auto"/>
        <w:ind w:firstLine="360"/>
      </w:pPr>
      <w:r>
        <w:rPr>
          <w:rFonts w:ascii="Arial" w:eastAsia="Arial" w:hAnsi="Arial" w:cs="Arial"/>
          <w:b/>
          <w:bCs/>
          <w:i/>
          <w:iCs/>
          <w:sz w:val="15"/>
          <w:szCs w:val="15"/>
        </w:rPr>
        <w:t>Brotes en centros de atención pediátrica.</w:t>
      </w:r>
      <w:r>
        <w:t xml:space="preserve"> Si en uno de estos centros se detecta un brote de HUS o diarrea atribuible a </w:t>
      </w:r>
      <w:r>
        <w:rPr>
          <w:rFonts w:ascii="Times New Roman" w:eastAsia="Times New Roman" w:hAnsi="Times New Roman" w:cs="Times New Roman"/>
          <w:i/>
          <w:iCs/>
          <w:sz w:val="16"/>
          <w:szCs w:val="16"/>
        </w:rPr>
        <w:t>E. coli</w:t>
      </w:r>
      <w:r>
        <w:t xml:space="preserve"> O157:H7, es crucial la participación inmediata de las autoridades sanitarias públicas. La infección causada por dicha cepa es notificable, por lo que informar con rapidez los casos puede permitir la intervención médica para evitar que se propague la enfermedad. No se permitirá la reincorporación de los niños enfermos al centro de atención hasta que haya desaparecido la diarrea y en dos cultivos de excrementos no se detecte </w:t>
      </w:r>
      <w:r>
        <w:rPr>
          <w:rFonts w:ascii="Times New Roman" w:eastAsia="Times New Roman" w:hAnsi="Times New Roman" w:cs="Times New Roman"/>
          <w:i/>
          <w:iCs/>
          <w:sz w:val="16"/>
          <w:szCs w:val="16"/>
        </w:rPr>
        <w:t>E. coli</w:t>
      </w:r>
      <w:r>
        <w:t xml:space="preserve"> O157:H7. La atención estricta que se preste a la higiene de las manos es importante, pero tal vez no baste para evitar la transmisión ininterrumpida. El centro de atención pediátrica debe ser cerrado a nuevas admisiones, y se tendrá mucho cuidado para evitar la transferencia de los niños expuestos, a otros centros.</w:t>
      </w:r>
    </w:p>
    <w:p w14:paraId="386AF477" w14:textId="77777777" w:rsidR="00D03C17" w:rsidRDefault="00D03C17">
      <w:pPr>
        <w:pStyle w:val="BodyText"/>
        <w:spacing w:line="276" w:lineRule="auto"/>
        <w:ind w:firstLine="360"/>
      </w:pPr>
      <w:r>
        <w:rPr>
          <w:rFonts w:ascii="Arial" w:eastAsia="Arial" w:hAnsi="Arial" w:cs="Arial"/>
          <w:b/>
          <w:bCs/>
          <w:i/>
          <w:iCs/>
          <w:sz w:val="15"/>
          <w:szCs w:val="15"/>
        </w:rPr>
        <w:t>Brotes en zonas de cuna y otras instituciones.</w:t>
      </w:r>
      <w:r>
        <w:t xml:space="preserve"> La atención estricta a la higiene manual es esencial para frenar la transmisión. Es necesario observar con gran detenimiento a los pacientes expuestos; se harán cultivos de sus excrementos en busca del microorganismo causal y se les separará de los lactantes no expuestos. En la sala de neonatos se considera que la infección por EPEC constituye un peligro grave, y hay que practicar de manera ininterrumpida y rigurosa las precauciones de tipo entérico.</w:t>
      </w:r>
    </w:p>
    <w:p w14:paraId="7A313FA9" w14:textId="77777777" w:rsidR="00D03C17" w:rsidRDefault="00D03C17">
      <w:pPr>
        <w:pStyle w:val="BodyText"/>
        <w:spacing w:after="100" w:line="276" w:lineRule="auto"/>
        <w:ind w:firstLine="360"/>
      </w:pPr>
      <w:r>
        <w:rPr>
          <w:rFonts w:ascii="Arial" w:eastAsia="Arial" w:hAnsi="Arial" w:cs="Arial"/>
          <w:b/>
          <w:bCs/>
          <w:i/>
          <w:iCs/>
          <w:sz w:val="15"/>
          <w:szCs w:val="15"/>
        </w:rPr>
        <w:t>Diarrea de los viajeros.</w:t>
      </w:r>
      <w:r>
        <w:t xml:space="preserve"> La enfermedad mencionada se ha relacionado con innumerables enteropatógenes como gérmenes causales (incluidos ETEC, EAEC y EIEC); por lo común se transmiten por ingestión de alimento o agua contaminados y constituye un problema significativo para personas que viajan a países de escasos recursos. La diarrea atribuible a STEC es rara en los viajeros. Es importante recomendar a la persona que viaja que consuma sólo bebidas embotelladas o enlatadas y agua hervida o en botellas; no consumirá hielo, ensaladas y frutas que no haya pelado él mismo. Los alimentos deben consumirse calientes. Por lo regular no se recomienda usar antimicrobianos para evitar en los niños la diarrea de los viajeros. Algunos de ellos, como trimetoprim-sulfametoxazol, doxiciclina y ciprofloxacina, disminuyen la incidencia de la diarrea mencionada, pero a menudo los riesgos posibles rebasan a los beneficios, y entre los primeros están reacciones alérgicas a fármacos, colitis por antimicrobianos y la presión selectiva del uso amplio de tales agentes que culmina en la aparición de resistencia a los fármacos. En caso de diarrea, pueden distribuirse sobres con sales de rehidratación oral que se ingerirán para conservar el equilibrio hídrico. Si la diarrea en el viajero es moderada o intensa o se acompaña de fiebre o heces sanguinolentas, quizá convenga administrar antimicrobianos sobre bases empíricas hasta que los síntomas muestren resolución; la terapia empírica se continuará sólo durante tres días.</w:t>
      </w:r>
    </w:p>
    <w:p w14:paraId="4E642CB5" w14:textId="77777777" w:rsidR="00D03C17" w:rsidRDefault="00D03C17">
      <w:pPr>
        <w:pStyle w:val="Bodytext70"/>
        <w:spacing w:after="0"/>
      </w:pPr>
      <w:r>
        <w:t>Esporotricosis</w:t>
      </w:r>
    </w:p>
    <w:p w14:paraId="7413EE66" w14:textId="77777777" w:rsidR="00D03C17" w:rsidRDefault="00D03C17">
      <w:pPr>
        <w:pStyle w:val="BodyText"/>
        <w:ind w:firstLine="0"/>
      </w:pPr>
      <w:r>
        <w:rPr>
          <w:b/>
          <w:bCs/>
        </w:rPr>
        <w:t>M</w:t>
      </w:r>
      <w:r>
        <w:rPr>
          <w:b/>
          <w:bCs/>
          <w:sz w:val="13"/>
          <w:szCs w:val="13"/>
        </w:rPr>
        <w:t>ANIFESTACIONES CLÍNICAS</w:t>
      </w:r>
      <w:r>
        <w:rPr>
          <w:b/>
          <w:bCs/>
        </w:rPr>
        <w:t xml:space="preserve">: </w:t>
      </w:r>
      <w:r>
        <w:t>La esporotricosis suele aparecer más bien en la forma de infección cutánea, aunque también se sabe de formas pulmonar y diseminada. El microorganismo es inoculado en el sitio de un traumatismo leve, y origina un nódulo subcutáneo ulcerado, firme y levemente doloroso al tacto, pero a menudo es indoloro. Las reacciones secundarias pueden propagarse por los conductos linfáticos hasta formar nódulos múltiples que se ulceran y supuran. Los sitios comunes de infección en niños son las extremidades y la cara.</w:t>
      </w:r>
    </w:p>
    <w:p w14:paraId="3BADA64E" w14:textId="77777777" w:rsidR="00D03C17" w:rsidRDefault="00D03C17">
      <w:pPr>
        <w:pStyle w:val="BodyText"/>
        <w:ind w:firstLine="360"/>
      </w:pPr>
      <w:r>
        <w:t xml:space="preserve">La esporotricosis extracutánea por lo regular afecta huesos y articulaciones, en particular de las manos, codos, tobillos o rodillas, pero puede atacar cualquier órgano. El cuadro diseminado por lo común surge después de la propagación hematógena desde la infección primaria de la piel o del pulmón. La esporotricosis diseminada puede abarcar múltiples focos (como ojos, aparato genitourinario o sistema nervioso central) y afecta predominantemente a pacientes inmunodeficientes. El cuadro clínico de la esporotricosis pulmonar se asemeja al de la tuberculosis y surge después de inhalar o aspirar esporas en aerosol. En los niños pocas veces se detectan la esporotricosis pulmonar y la diseminada. </w:t>
      </w:r>
      <w:r>
        <w:rPr>
          <w:b/>
          <w:bCs/>
        </w:rPr>
        <w:t>C</w:t>
      </w:r>
      <w:r>
        <w:rPr>
          <w:b/>
          <w:bCs/>
          <w:sz w:val="13"/>
          <w:szCs w:val="13"/>
        </w:rPr>
        <w:t>AUSAS</w:t>
      </w:r>
      <w:r>
        <w:rPr>
          <w:b/>
          <w:bCs/>
        </w:rPr>
        <w:t xml:space="preserve">: </w:t>
      </w:r>
      <w:r>
        <w:rPr>
          <w:rFonts w:ascii="Times New Roman" w:eastAsia="Times New Roman" w:hAnsi="Times New Roman" w:cs="Times New Roman"/>
          <w:i/>
          <w:iCs/>
          <w:sz w:val="16"/>
          <w:szCs w:val="16"/>
        </w:rPr>
        <w:t>Sporothrix schenckii</w:t>
      </w:r>
      <w:r>
        <w:t xml:space="preserve"> es un hongo dimórfico que prolifera en la forma de levadura oval o de puro a 37 grados centígrados.</w:t>
      </w:r>
    </w:p>
    <w:p w14:paraId="0FD1E3DE" w14:textId="77777777" w:rsidR="00D03C17" w:rsidRDefault="00D03C17">
      <w:pPr>
        <w:pStyle w:val="BodyText"/>
        <w:ind w:firstLine="0"/>
      </w:pPr>
      <w:r>
        <w:rPr>
          <w:b/>
          <w:bCs/>
        </w:rPr>
        <w:t>A</w:t>
      </w:r>
      <w:r>
        <w:rPr>
          <w:b/>
          <w:bCs/>
          <w:sz w:val="13"/>
          <w:szCs w:val="13"/>
        </w:rPr>
        <w:t>SPECTOS EPIDEMIOLÓGICOS</w:t>
      </w:r>
      <w:r>
        <w:rPr>
          <w:b/>
          <w:bCs/>
        </w:rPr>
        <w:t xml:space="preserve">: </w:t>
      </w:r>
      <w:r>
        <w:rPr>
          <w:rFonts w:ascii="Times New Roman" w:eastAsia="Times New Roman" w:hAnsi="Times New Roman" w:cs="Times New Roman"/>
          <w:i/>
          <w:iCs/>
          <w:sz w:val="16"/>
          <w:szCs w:val="16"/>
        </w:rPr>
        <w:t>Sporothrix schenckii</w:t>
      </w:r>
      <w:r>
        <w:t xml:space="preserve"> es un microorganismo de distribución a nivel mundial, pero aparece con mayor frecuencia en regiones tropicales y subtropicales de América Central y del Sur y partes de América del Norte. Se le aísla de la tierra y las plantas, como heno, paja, plantas espinosas (en particular las rosáceas) y musgo esfagnáceo y vegetación en descomposición. El ataque de la piel surge por inoculación de desperdicios que contienen el microorganismo. Las personas dedicadas a la jardinería o labores agrícolas están en peligro de infección. La inhalación de esporas puede ocasionar ataque de los pulmones. En raras ocasiones la transmisión desde gatos infectados ha ocasionado un cuadro cutáneo.</w:t>
      </w:r>
    </w:p>
    <w:p w14:paraId="021F73D9" w14:textId="77777777" w:rsidR="00D03C17" w:rsidRDefault="00D03C17">
      <w:pPr>
        <w:pStyle w:val="BodyText"/>
        <w:ind w:firstLine="360"/>
      </w:pPr>
      <w:r>
        <w:t>El periodo de incubación va de siete a 30 días después de la inoculación cutánea, pero puede ser de tres meses.</w:t>
      </w:r>
    </w:p>
    <w:p w14:paraId="0BAC0827" w14:textId="77777777" w:rsidR="00D03C17" w:rsidRDefault="00D03C17">
      <w:pPr>
        <w:pStyle w:val="BodyText"/>
        <w:ind w:firstLine="0"/>
      </w:pPr>
      <w:r>
        <w:rPr>
          <w:b/>
          <w:bCs/>
        </w:rPr>
        <w:t>M</w:t>
      </w:r>
      <w:r>
        <w:rPr>
          <w:b/>
          <w:bCs/>
          <w:sz w:val="13"/>
          <w:szCs w:val="13"/>
        </w:rPr>
        <w:t>ÉTODOS DIAGNÓSTICOS</w:t>
      </w:r>
      <w:r>
        <w:rPr>
          <w:b/>
          <w:bCs/>
        </w:rPr>
        <w:t xml:space="preserve">: </w:t>
      </w:r>
      <w:r>
        <w:t xml:space="preserve">Se puede confirmar el diagnóstico de la infección por medio del cultivo e identificación de </w:t>
      </w:r>
      <w:r>
        <w:rPr>
          <w:rFonts w:ascii="Times New Roman" w:eastAsia="Times New Roman" w:hAnsi="Times New Roman" w:cs="Times New Roman"/>
          <w:i/>
          <w:iCs/>
          <w:sz w:val="16"/>
          <w:szCs w:val="16"/>
        </w:rPr>
        <w:t>S. schenckii</w:t>
      </w:r>
      <w:r>
        <w:t xml:space="preserve"> de muestras de tejido, drenaje de heridas o esputo. Detectar en cultivo </w:t>
      </w:r>
      <w:r>
        <w:rPr>
          <w:rFonts w:ascii="Times New Roman" w:eastAsia="Times New Roman" w:hAnsi="Times New Roman" w:cs="Times New Roman"/>
          <w:i/>
          <w:iCs/>
          <w:sz w:val="16"/>
          <w:szCs w:val="16"/>
        </w:rPr>
        <w:t>S. schenckii</w:t>
      </w:r>
      <w:r>
        <w:t xml:space="preserve"> de una muestra de sangre sugiere la forma multifocal de la infección, que surge en casos de inmunodeficiencia. El examen histopatológico del tejido puede ser útil pero requiere colorantes especiales para hongos para visualizar el microorganismo. A pesar de que laboratorios especializados (como los de los </w:t>
      </w:r>
      <w:r>
        <w:rPr>
          <w:rFonts w:ascii="Times New Roman" w:eastAsia="Times New Roman" w:hAnsi="Times New Roman" w:cs="Times New Roman"/>
          <w:i/>
          <w:iCs/>
          <w:sz w:val="16"/>
          <w:szCs w:val="16"/>
        </w:rPr>
        <w:t>Centers for Disease Control and Prevention</w:t>
      </w:r>
      <w:r>
        <w:rPr>
          <w:i/>
          <w:iCs/>
        </w:rPr>
        <w:t>)</w:t>
      </w:r>
      <w:r>
        <w:t xml:space="preserve"> practican un método de aglutinación de látex, no se cuenta con un estudio serológico estandarizado.</w:t>
      </w:r>
    </w:p>
    <w:p w14:paraId="61C17C1C" w14:textId="77777777" w:rsidR="00D03C17" w:rsidRDefault="00D03C17">
      <w:pPr>
        <w:pStyle w:val="BodyText"/>
        <w:ind w:firstLine="0"/>
        <w:sectPr w:rsidR="00D03C17" w:rsidSect="00D03C17">
          <w:headerReference w:type="even" r:id="rId363"/>
          <w:headerReference w:type="default" r:id="rId364"/>
          <w:footerReference w:type="even" r:id="rId365"/>
          <w:footerReference w:type="default" r:id="rId366"/>
          <w:headerReference w:type="first" r:id="rId367"/>
          <w:footerReference w:type="first" r:id="rId368"/>
          <w:footnotePr>
            <w:numFmt w:val="chicago"/>
          </w:footnotePr>
          <w:pgSz w:w="8501" w:h="13022"/>
          <w:pgMar w:top="898" w:right="798" w:bottom="504" w:left="816" w:header="0" w:footer="3" w:gutter="0"/>
          <w:pgNumType w:start="732"/>
          <w:cols w:space="720"/>
          <w:noEndnote/>
          <w:titlePg/>
          <w:docGrid w:linePitch="360"/>
          <w15:footnoteColumns w:val="1"/>
        </w:sectPr>
      </w:pPr>
      <w:r>
        <w:rPr>
          <w:b/>
          <w:bCs/>
        </w:rPr>
        <w:t>T</w:t>
      </w:r>
      <w:r>
        <w:rPr>
          <w:b/>
          <w:bCs/>
          <w:sz w:val="13"/>
          <w:szCs w:val="13"/>
        </w:rPr>
        <w:t>RATAMIENTO</w:t>
      </w:r>
      <w:r>
        <w:rPr>
          <w:b/>
          <w:bCs/>
        </w:rPr>
        <w:t xml:space="preserve">: </w:t>
      </w:r>
      <w:r>
        <w:t xml:space="preserve">La esporotricosis linfocutánea por lo común no cede sin tratamiento. El itraconazol es el fármaco más indicado contra la enfermedad cutánea y linfocutánea en adultos. No se cuenta con datos de investigaciones comparativas que demuestren la eficacia de dicho medicamento en niños, pero casi todos los expertos consideran que el itraconazol es el fármaco preferido para ellos (véase “Dosis recomendadas de antimicóticos parenterales e ingeribles”, sección 4). El tratamiento debe durar tres a seis meses. El fluconazol ingerible es menos eficaz. El viejo tratamiento probado contra la esporotricosis, que era una solución saturada de yoduro de potasio es menos caro y aún se le recomienda como otra posibilidad terapéutica. La solución saturada de yoduro de potasio se administraba por la boca, varias semanas después de que habían cicatrizado las lesiones. El itraconazol es el fármaco más indicado contra la infección osteoarticular, porque dicha forma de esporotricosis rara vez se acompaña de enfermedad sistémica. La anfotericina B y el itraconazol son opciones terapéuticas contra infecciones pulmonares, según su gravedad. La anfotericina B es el fármaco más conveniente contra la </w:t>
      </w:r>
    </w:p>
    <w:p w14:paraId="56C33AFE" w14:textId="77777777" w:rsidR="00D03C17" w:rsidRDefault="00D03C17">
      <w:pPr>
        <w:pStyle w:val="BodyText"/>
        <w:ind w:firstLine="0"/>
      </w:pPr>
      <w:r>
        <w:t>esporotricosis diseminada y la infección en niños con inmunodeficiencias, incluida la infección por virus de inmunodeficiencia humana (VIH). A veces se necesita el itraconazol para terapia de sostén permanente después de la administración inicial de anfotericina B en niños con infección por VIH. La infección pulmonar y la diseminada reaccionan en forma menos satisfactoria que la infección cutánea, a pesar de la terapia duradera. A veces se necesita el desbridamiento quirúrgico o la extirpación para lograr que muestren resolución las cavidades que afectan el pulmón.</w:t>
      </w:r>
    </w:p>
    <w:p w14:paraId="1ABB045B" w14:textId="77777777" w:rsidR="00D03C17" w:rsidRDefault="00D03C17">
      <w:pPr>
        <w:pStyle w:val="BodyText"/>
        <w:spacing w:line="262" w:lineRule="auto"/>
        <w:ind w:firstLine="0"/>
      </w:pPr>
      <w:r>
        <w:rPr>
          <w:b/>
          <w:bCs/>
          <w:smallCaps/>
          <w:sz w:val="20"/>
          <w:szCs w:val="20"/>
        </w:rPr>
        <w:t>A</w:t>
      </w:r>
      <w:r>
        <w:rPr>
          <w:b/>
          <w:bCs/>
          <w:smallCaps/>
          <w:sz w:val="16"/>
          <w:szCs w:val="16"/>
        </w:rPr>
        <w:t>islamiento de los pacientes hospitalizados</w:t>
      </w:r>
      <w:r>
        <w:rPr>
          <w:b/>
          <w:bCs/>
          <w:smallCaps/>
          <w:sz w:val="20"/>
          <w:szCs w:val="20"/>
        </w:rPr>
        <w:t>:</w:t>
      </w:r>
      <w:r>
        <w:t xml:space="preserve"> Conviene seguir las precauciones estándar.</w:t>
      </w:r>
    </w:p>
    <w:p w14:paraId="13A2E7FC" w14:textId="77777777" w:rsidR="00D03C17" w:rsidRDefault="00D03C17">
      <w:pPr>
        <w:pStyle w:val="BodyText"/>
        <w:spacing w:after="100"/>
        <w:ind w:firstLine="0"/>
      </w:pPr>
      <w:r>
        <w:rPr>
          <w:b/>
          <w:bCs/>
        </w:rPr>
        <w:t>M</w:t>
      </w:r>
      <w:r>
        <w:rPr>
          <w:b/>
          <w:bCs/>
          <w:sz w:val="13"/>
          <w:szCs w:val="13"/>
        </w:rPr>
        <w:t xml:space="preserve">EDIDAS </w:t>
      </w:r>
      <w:r>
        <w:rPr>
          <w:b/>
          <w:bCs/>
          <w:smallCaps/>
          <w:sz w:val="16"/>
          <w:szCs w:val="16"/>
        </w:rPr>
        <w:t>preventivas</w:t>
      </w:r>
      <w:r>
        <w:rPr>
          <w:b/>
          <w:bCs/>
          <w:smallCaps/>
          <w:sz w:val="20"/>
          <w:szCs w:val="20"/>
        </w:rPr>
        <w:t>:</w:t>
      </w:r>
      <w:r>
        <w:t xml:space="preserve"> El riesgo de la enfermedad puede disminuir si se utilizan guantes y ropas protectoras en actividades ocupacionales y no ocupacionales.</w:t>
      </w:r>
    </w:p>
    <w:p w14:paraId="6BAA689D" w14:textId="77777777" w:rsidR="00D03C17" w:rsidRDefault="00D03C17">
      <w:pPr>
        <w:pStyle w:val="Bodytext70"/>
        <w:spacing w:after="0"/>
      </w:pPr>
      <w:r>
        <w:t>Esquistosomiasis</w:t>
      </w:r>
    </w:p>
    <w:p w14:paraId="037C467A" w14:textId="77777777" w:rsidR="00D03C17" w:rsidRDefault="00D03C17">
      <w:pPr>
        <w:pStyle w:val="BodyText"/>
        <w:spacing w:line="276" w:lineRule="auto"/>
        <w:ind w:firstLine="0"/>
        <w:rPr>
          <w:sz w:val="16"/>
          <w:szCs w:val="16"/>
        </w:rPr>
      </w:pPr>
      <w:r>
        <w:rPr>
          <w:b/>
          <w:bCs/>
        </w:rPr>
        <w:t>M</w:t>
      </w:r>
      <w:r>
        <w:rPr>
          <w:b/>
          <w:bCs/>
          <w:sz w:val="13"/>
          <w:szCs w:val="13"/>
        </w:rPr>
        <w:t xml:space="preserve">ANIFESTACIONES </w:t>
      </w:r>
      <w:r>
        <w:rPr>
          <w:b/>
          <w:bCs/>
          <w:smallCaps/>
          <w:sz w:val="16"/>
          <w:szCs w:val="16"/>
        </w:rPr>
        <w:t>clínicas</w:t>
      </w:r>
      <w:r>
        <w:rPr>
          <w:b/>
          <w:bCs/>
          <w:smallCaps/>
          <w:sz w:val="20"/>
          <w:szCs w:val="20"/>
        </w:rPr>
        <w:t>:</w:t>
      </w:r>
      <w:r>
        <w:t xml:space="preserve"> La penetración inicial de larvas infectantes (cercarias) por la piel suele acompañarse de una erupción papulosa, pruriginosa y transitoria llamada dermatitis por cercaria. Una vez en la piel, el microorganismo penetra en la sangre y emigra a los pulmones. Cada una de las tres principales esquistosomas parásitos del ser humano vive en alguna zona del plexo venoso que recibe sangre de los intestinos o la vejiga. Cuatro a ocho semanas después de la exposición a </w:t>
      </w:r>
      <w:r>
        <w:rPr>
          <w:rFonts w:ascii="Times New Roman" w:eastAsia="Times New Roman" w:hAnsi="Times New Roman" w:cs="Times New Roman"/>
          <w:i/>
          <w:iCs/>
          <w:sz w:val="16"/>
          <w:szCs w:val="16"/>
        </w:rPr>
        <w:t>Schistosoma mansoni</w:t>
      </w:r>
      <w:r>
        <w:t xml:space="preserve"> o </w:t>
      </w:r>
      <w:r>
        <w:rPr>
          <w:rFonts w:ascii="Times New Roman" w:eastAsia="Times New Roman" w:hAnsi="Times New Roman" w:cs="Times New Roman"/>
          <w:i/>
          <w:iCs/>
          <w:sz w:val="16"/>
          <w:szCs w:val="16"/>
        </w:rPr>
        <w:t>Schistosoma japonicum,</w:t>
      </w:r>
      <w:r>
        <w:t xml:space="preserve"> surge un cuadro agudo que se manifiesta con fiebre, malestar general, tos, erupciones, dolor abdominal, diarrea, náuseas, linfadenopatía y eosinofilia (fiebre de Katayama). Las infestaciones tempranas pueden ocasionar una diarrea mucosanguinolenta acompañada de hepatomegalia dolorosa al tacto. La intensidad de los síntomas en el caso de la enfermedad crónica depende del número de parásitos. Es posible que las personas que tienen un número reducido o moderado de tales patógenos no muestren síntomas, en tanto que las que tienen un gran número presentarán síntomas muy variables causados más bien por la inflamación y la fibrosis desencadenada por los huevos producidos por los vermes adultos. Surge a veces hipertensión portal y origina hepatosplenomegalia, ascitis y varices esofágica. El ataque del colon durante largo tiempo origina dolor abdominal y diarrea sanguinolenta. En infecciones por </w:t>
      </w:r>
      <w:r>
        <w:rPr>
          <w:rFonts w:ascii="Times New Roman" w:eastAsia="Times New Roman" w:hAnsi="Times New Roman" w:cs="Times New Roman"/>
          <w:i/>
          <w:iCs/>
          <w:sz w:val="16"/>
          <w:szCs w:val="16"/>
        </w:rPr>
        <w:t>Schistosoma haematobium,</w:t>
      </w:r>
      <w:r>
        <w:t xml:space="preserve"> la vejiga se inflama y torna fibrótica. Los síntomas y signos incluyen disuria, urgencia para la micción, hematuria microscópica y macroscópica terminal, infecciones secundarias de vías urinarias y dolor pélvico inespecífico. Es posible el ataque de otros órganos y sistemas por los huevos embolizados, por ejemplo en los pulmones, con lo que surgirá hipertensión pulmonar o en el sistema nervioso central y en particular la médula espinal en infecciones por </w:t>
      </w:r>
      <w:r>
        <w:rPr>
          <w:rFonts w:ascii="Times New Roman" w:eastAsia="Times New Roman" w:hAnsi="Times New Roman" w:cs="Times New Roman"/>
          <w:i/>
          <w:iCs/>
          <w:sz w:val="16"/>
          <w:szCs w:val="16"/>
        </w:rPr>
        <w:t>S. mansoni</w:t>
      </w:r>
      <w:r>
        <w:t xml:space="preserve"> o </w:t>
      </w:r>
      <w:r>
        <w:rPr>
          <w:rFonts w:ascii="Times New Roman" w:eastAsia="Times New Roman" w:hAnsi="Times New Roman" w:cs="Times New Roman"/>
          <w:i/>
          <w:iCs/>
          <w:sz w:val="16"/>
          <w:szCs w:val="16"/>
        </w:rPr>
        <w:t>S. haematobium</w:t>
      </w:r>
      <w:r>
        <w:rPr>
          <w:i/>
          <w:iCs/>
        </w:rPr>
        <w:t>,</w:t>
      </w:r>
      <w:r>
        <w:t xml:space="preserve"> y el encéfalo en infección por </w:t>
      </w:r>
      <w:r>
        <w:rPr>
          <w:rFonts w:ascii="Times New Roman" w:eastAsia="Times New Roman" w:hAnsi="Times New Roman" w:cs="Times New Roman"/>
          <w:i/>
          <w:iCs/>
          <w:sz w:val="16"/>
          <w:szCs w:val="16"/>
        </w:rPr>
        <w:t>S. japonicum.</w:t>
      </w:r>
    </w:p>
    <w:p w14:paraId="51A8581D" w14:textId="77777777" w:rsidR="00D03C17" w:rsidRDefault="00D03C17">
      <w:pPr>
        <w:pStyle w:val="BodyText"/>
        <w:spacing w:after="40" w:line="271" w:lineRule="auto"/>
        <w:ind w:firstLine="360"/>
      </w:pPr>
      <w:r>
        <w:t xml:space="preserve">La dermatitis por cercaria o esquistosomas (llamada sarna de los nadadores) es causada por las larvas de otras esquistosomas de aves y mamíferos que penetran en la piel humana pero no completan el ciclo vital y no ocasionan enfermedad fibrótica crónica. Las manifestaciones incluyen prurito leve o moderado en el sitio de la penetración, horas después de la exposición, y en cinco a 14 días surge una erupción a veces papular, pruriginosa e intermitente. En personas ya sensibilizadas pueden surgir erupciones papulares más intensas siete a 10 días después de la exposición. </w:t>
      </w:r>
      <w:r>
        <w:rPr>
          <w:b/>
          <w:bCs/>
          <w:smallCaps/>
          <w:sz w:val="20"/>
          <w:szCs w:val="20"/>
        </w:rPr>
        <w:t>C</w:t>
      </w:r>
      <w:r>
        <w:rPr>
          <w:b/>
          <w:bCs/>
          <w:smallCaps/>
          <w:sz w:val="16"/>
          <w:szCs w:val="16"/>
        </w:rPr>
        <w:t>ausa</w:t>
      </w:r>
      <w:r>
        <w:rPr>
          <w:b/>
          <w:bCs/>
          <w:smallCaps/>
          <w:sz w:val="20"/>
          <w:szCs w:val="20"/>
        </w:rPr>
        <w:t>:</w:t>
      </w:r>
      <w:r>
        <w:t xml:space="preserve"> La enfermedad es causada por trematodos o duelas como </w:t>
      </w:r>
      <w:r>
        <w:rPr>
          <w:rFonts w:ascii="Times New Roman" w:eastAsia="Times New Roman" w:hAnsi="Times New Roman" w:cs="Times New Roman"/>
          <w:i/>
          <w:iCs/>
          <w:sz w:val="16"/>
          <w:szCs w:val="16"/>
        </w:rPr>
        <w:t>S. mansoni, S. japonicum, S. haematobium</w:t>
      </w:r>
      <w:r>
        <w:t xml:space="preserve"> y en raras ocasiones </w:t>
      </w:r>
      <w:r>
        <w:rPr>
          <w:rFonts w:ascii="Times New Roman" w:eastAsia="Times New Roman" w:hAnsi="Times New Roman" w:cs="Times New Roman"/>
          <w:i/>
          <w:iCs/>
          <w:sz w:val="16"/>
          <w:szCs w:val="16"/>
        </w:rPr>
        <w:t>Schistosoma mekongi</w:t>
      </w:r>
      <w:r>
        <w:t xml:space="preserve"> y </w:t>
      </w:r>
      <w:r>
        <w:rPr>
          <w:rFonts w:ascii="Times New Roman" w:eastAsia="Times New Roman" w:hAnsi="Times New Roman" w:cs="Times New Roman"/>
          <w:i/>
          <w:iCs/>
          <w:sz w:val="16"/>
          <w:szCs w:val="16"/>
        </w:rPr>
        <w:t xml:space="preserve">Schistosoma intercalatum. </w:t>
      </w:r>
      <w:r>
        <w:t xml:space="preserve">Todas las especies pasan por ciclos vitales similares. La dermatitis por cercarias es causada por múltiples especies de </w:t>
      </w:r>
      <w:r>
        <w:rPr>
          <w:rFonts w:ascii="Times New Roman" w:eastAsia="Times New Roman" w:hAnsi="Times New Roman" w:cs="Times New Roman"/>
          <w:i/>
          <w:iCs/>
          <w:sz w:val="16"/>
          <w:szCs w:val="16"/>
        </w:rPr>
        <w:t>Schistosoma</w:t>
      </w:r>
      <w:r>
        <w:t xml:space="preserve"> de aves y mamíferos.</w:t>
      </w:r>
    </w:p>
    <w:p w14:paraId="4249274D" w14:textId="77777777" w:rsidR="00D03C17" w:rsidRDefault="00D03C17">
      <w:pPr>
        <w:pStyle w:val="Bodytext70"/>
        <w:spacing w:after="0"/>
      </w:pPr>
      <w:r>
        <w:t>Estafilococos, intoxicación alimentaria</w:t>
      </w:r>
    </w:p>
    <w:p w14:paraId="0B759BDA" w14:textId="77777777" w:rsidR="00D03C17" w:rsidRDefault="00D03C17">
      <w:pPr>
        <w:pStyle w:val="BodyText"/>
        <w:ind w:firstLine="0"/>
      </w:pPr>
      <w:r>
        <w:rPr>
          <w:b/>
          <w:bCs/>
        </w:rPr>
        <w:t>M</w:t>
      </w:r>
      <w:r>
        <w:rPr>
          <w:b/>
          <w:bCs/>
          <w:sz w:val="13"/>
          <w:szCs w:val="13"/>
        </w:rPr>
        <w:t>ANIFESTACIONES CLÍNICAS</w:t>
      </w:r>
      <w:r>
        <w:rPr>
          <w:b/>
          <w:bCs/>
        </w:rPr>
        <w:t xml:space="preserve">: </w:t>
      </w:r>
      <w:r>
        <w:t xml:space="preserve">El cuadro mencionado se caracteriza por la aparición repentina, y a veces violenta, de náuseas intensas, cólicos abdominales, vómitos y postración, acompañados a menudo de diarrea. Se detecta febrícula o temperatura subnormal. De manera típica la enfermedad dura uno a dos días pero la intensidad de los síntomas a veces obliga a la hospitalización. Elementos como el periodo breve de incubación, el carácter breve de la enfermedad y el hecho de que por lo común no surja fiebre permite diferenciar a la intoxicación alimentaria por estafilococos de otras intoxicaciones de este tipo, excepto la causada por </w:t>
      </w:r>
      <w:r>
        <w:rPr>
          <w:rFonts w:ascii="Times New Roman" w:eastAsia="Times New Roman" w:hAnsi="Times New Roman" w:cs="Times New Roman"/>
          <w:i/>
          <w:iCs/>
          <w:sz w:val="16"/>
          <w:szCs w:val="16"/>
        </w:rPr>
        <w:t>Bacillus cereus.</w:t>
      </w:r>
      <w:r>
        <w:t xml:space="preserve"> La intoxicación por productos químicos casi siempre tiene un lapso más breve de incubación. La intoxicación alimentaria por </w:t>
      </w:r>
      <w:r>
        <w:rPr>
          <w:rFonts w:ascii="Times New Roman" w:eastAsia="Times New Roman" w:hAnsi="Times New Roman" w:cs="Times New Roman"/>
          <w:i/>
          <w:iCs/>
          <w:sz w:val="16"/>
          <w:szCs w:val="16"/>
        </w:rPr>
        <w:t>Clostridium perfringens</w:t>
      </w:r>
      <w:r>
        <w:t xml:space="preserve"> tiene un lapso más largo de incubación y rara vez se acompaña de vómitos. Los niños infectados por </w:t>
      </w:r>
      <w:r>
        <w:rPr>
          <w:rFonts w:ascii="Times New Roman" w:eastAsia="Times New Roman" w:hAnsi="Times New Roman" w:cs="Times New Roman"/>
          <w:i/>
          <w:iCs/>
          <w:sz w:val="16"/>
          <w:szCs w:val="16"/>
        </w:rPr>
        <w:t>Salmonella</w:t>
      </w:r>
      <w:r>
        <w:t xml:space="preserve"> o </w:t>
      </w:r>
      <w:r>
        <w:rPr>
          <w:rFonts w:ascii="Times New Roman" w:eastAsia="Times New Roman" w:hAnsi="Times New Roman" w:cs="Times New Roman"/>
          <w:i/>
          <w:iCs/>
          <w:sz w:val="16"/>
          <w:szCs w:val="16"/>
        </w:rPr>
        <w:t>Shigella</w:t>
      </w:r>
      <w:r>
        <w:t xml:space="preserve"> en alimentos por lo común tienen fiebre y un lapso más largo de incubación (véase apéndice VI, “Síndromes clínicos que surgen en enfermedades de origen alimentario”).</w:t>
      </w:r>
    </w:p>
    <w:p w14:paraId="39E8BCBB" w14:textId="77777777" w:rsidR="00D03C17" w:rsidRDefault="00D03C17">
      <w:pPr>
        <w:pStyle w:val="BodyText"/>
        <w:ind w:firstLine="0"/>
      </w:pPr>
      <w:r>
        <w:rPr>
          <w:b/>
          <w:bCs/>
        </w:rPr>
        <w:t>C</w:t>
      </w:r>
      <w:r>
        <w:rPr>
          <w:b/>
          <w:bCs/>
          <w:sz w:val="13"/>
          <w:szCs w:val="13"/>
        </w:rPr>
        <w:t>AUSAS</w:t>
      </w:r>
      <w:r>
        <w:rPr>
          <w:b/>
          <w:bCs/>
        </w:rPr>
        <w:t xml:space="preserve">: </w:t>
      </w:r>
      <w:r>
        <w:t xml:space="preserve">Las enterotoxinas producidas por cepas de </w:t>
      </w:r>
      <w:r>
        <w:rPr>
          <w:rFonts w:ascii="Times New Roman" w:eastAsia="Times New Roman" w:hAnsi="Times New Roman" w:cs="Times New Roman"/>
          <w:i/>
          <w:iCs/>
          <w:sz w:val="16"/>
          <w:szCs w:val="16"/>
        </w:rPr>
        <w:t>Staphylococcus aureus,</w:t>
      </w:r>
      <w:r>
        <w:t xml:space="preserve"> y en raras ocasiones </w:t>
      </w:r>
      <w:r>
        <w:rPr>
          <w:rFonts w:ascii="Times New Roman" w:eastAsia="Times New Roman" w:hAnsi="Times New Roman" w:cs="Times New Roman"/>
          <w:i/>
          <w:iCs/>
          <w:sz w:val="16"/>
          <w:szCs w:val="16"/>
        </w:rPr>
        <w:t>Staphylococcus epidermidis,</w:t>
      </w:r>
      <w:r>
        <w:t xml:space="preserve"> son las que desencadenan los síntomas de la intoxicación alimentaria por tales gérmenes. De las ocho enterotoxinas termoestables inmunológicamente diferentes (A, B, C1 a C3, D, E y F), la enterotoxina A es la causa identificada con mayor frecuencia de los brotes de este tipo de intoxicación en Estados Unidos.</w:t>
      </w:r>
    </w:p>
    <w:p w14:paraId="309D372A" w14:textId="77777777" w:rsidR="00D03C17" w:rsidRDefault="00D03C17">
      <w:pPr>
        <w:pStyle w:val="BodyText"/>
        <w:ind w:firstLine="0"/>
      </w:pPr>
      <w:r>
        <w:rPr>
          <w:b/>
          <w:bCs/>
        </w:rPr>
        <w:t>A</w:t>
      </w:r>
      <w:r>
        <w:rPr>
          <w:b/>
          <w:bCs/>
          <w:sz w:val="13"/>
          <w:szCs w:val="13"/>
        </w:rPr>
        <w:t>SPECTOS EPIDEMIOLÓGICOS</w:t>
      </w:r>
      <w:r>
        <w:rPr>
          <w:b/>
          <w:bCs/>
        </w:rPr>
        <w:t xml:space="preserve">: </w:t>
      </w:r>
      <w:r>
        <w:t>La enfermedad es causada después de ingerir alimentos que contienen enterotoxinas estafilocócicas. Los alimentos son aquellos que se han puesto en contacto con las manos contaminadas de los manejadores, sin que después hayan sido cocinados, o bien fueron sometidos a calentamiento o refrigeración inadecuadas, como pastas o pasteles, flanes, aderezos de ensaladas, emparedados, carne de aves, salchichonería y productos de carne (carnes frías). Al permanecer los alimentos a temperatura ambiente durante algunas horas antes de su consumo, se multiplican los estafilococos toxígenos y elaboran la toxina termoestable. Los microorganismos pueden provenir de seres humanos, es decir, en secreciones purulentas de un dedo o un ojo infectados, abscesos, erupciones acneiformes de la cara, secreciones nasofaríngeas o de piel al parecer normal, o con menor frecuencia provenir de bovinos, como sería la leche o productos lácteos contaminados, en particular el queso.</w:t>
      </w:r>
    </w:p>
    <w:p w14:paraId="1A5A08F2" w14:textId="77777777" w:rsidR="00D03C17" w:rsidRDefault="00D03C17">
      <w:pPr>
        <w:pStyle w:val="BodyText"/>
        <w:ind w:firstLine="360"/>
      </w:pPr>
      <w:r>
        <w:t xml:space="preserve">El </w:t>
      </w:r>
      <w:r>
        <w:rPr>
          <w:b/>
          <w:bCs/>
        </w:rPr>
        <w:t xml:space="preserve">periodo de incubación </w:t>
      </w:r>
      <w:r>
        <w:t xml:space="preserve">varía de 30 min a 8 h, y por lo común es de 2 a 4 horas. </w:t>
      </w:r>
      <w:r>
        <w:rPr>
          <w:b/>
          <w:bCs/>
        </w:rPr>
        <w:t>M</w:t>
      </w:r>
      <w:r>
        <w:rPr>
          <w:b/>
          <w:bCs/>
          <w:sz w:val="13"/>
          <w:szCs w:val="13"/>
        </w:rPr>
        <w:t>ÉTODOS DIAGNÓSTICOS</w:t>
      </w:r>
      <w:r>
        <w:rPr>
          <w:b/>
          <w:bCs/>
        </w:rPr>
        <w:t xml:space="preserve">: </w:t>
      </w:r>
      <w:r>
        <w:t>El diagnóstico se confirma por la identificación de un gran número de estafilococos o de un gran volumen de enterotoxina de los excrementos en el material de vómito. En caso de un brote, se confirma el diagnóstico con la demostración de la enterotoxina o de un gran número de estafilococos (más de 10</w:t>
      </w:r>
      <w:r>
        <w:rPr>
          <w:rFonts w:ascii="Times New Roman" w:eastAsia="Times New Roman" w:hAnsi="Times New Roman" w:cs="Times New Roman"/>
          <w:sz w:val="11"/>
          <w:szCs w:val="11"/>
        </w:rPr>
        <w:t xml:space="preserve">5 </w:t>
      </w:r>
      <w:r>
        <w:t xml:space="preserve">unidades formadoras de colonias/g de la muestra) en alimento al que se achaca el brote epidemiológico. La identificación (por electroforesis de gel en campo de pulsos o tipos de fago) de la misma especie de </w:t>
      </w:r>
      <w:r>
        <w:rPr>
          <w:rFonts w:ascii="Times New Roman" w:eastAsia="Times New Roman" w:hAnsi="Times New Roman" w:cs="Times New Roman"/>
          <w:i/>
          <w:iCs/>
          <w:sz w:val="16"/>
          <w:szCs w:val="16"/>
        </w:rPr>
        <w:t>S. aureus</w:t>
      </w:r>
      <w:r>
        <w:t xml:space="preserve"> de los excrementos o el vómito en dos o más de las personas enfermas o en el excremento o el vómito de cualquier enfermo y también en el alimento sospechoso o una persona que lo ha manipulado también confirma el diagnóstico. Hay que avisar a las autoridades sanitarias locales para que identifiquen el origen del brote.</w:t>
      </w:r>
    </w:p>
    <w:p w14:paraId="0B15F8B8" w14:textId="77777777" w:rsidR="00D03C17" w:rsidRDefault="00D03C17">
      <w:pPr>
        <w:pStyle w:val="BodyText"/>
        <w:ind w:firstLine="0"/>
        <w:sectPr w:rsidR="00D03C17" w:rsidSect="00D03C17">
          <w:headerReference w:type="even" r:id="rId369"/>
          <w:headerReference w:type="default" r:id="rId370"/>
          <w:footerReference w:type="even" r:id="rId371"/>
          <w:footerReference w:type="default" r:id="rId372"/>
          <w:headerReference w:type="first" r:id="rId373"/>
          <w:footerReference w:type="first" r:id="rId374"/>
          <w:footnotePr>
            <w:numFmt w:val="chicago"/>
          </w:footnotePr>
          <w:pgSz w:w="8501" w:h="13022"/>
          <w:pgMar w:top="898" w:right="798" w:bottom="504" w:left="816" w:header="0" w:footer="3" w:gutter="0"/>
          <w:cols w:space="720"/>
          <w:noEndnote/>
          <w:titlePg/>
          <w:docGrid w:linePitch="360"/>
          <w15:footnoteColumns w:val="1"/>
        </w:sectPr>
      </w:pPr>
      <w:r>
        <w:rPr>
          <w:b/>
          <w:bCs/>
        </w:rPr>
        <w:t>T</w:t>
      </w:r>
      <w:r>
        <w:rPr>
          <w:b/>
          <w:bCs/>
          <w:sz w:val="13"/>
          <w:szCs w:val="13"/>
        </w:rPr>
        <w:t>RATAMIENTO</w:t>
      </w:r>
      <w:r>
        <w:rPr>
          <w:b/>
          <w:bCs/>
        </w:rPr>
        <w:t xml:space="preserve">: </w:t>
      </w:r>
      <w:r>
        <w:t xml:space="preserve">No están indicados los antimicrobianos, y se usarán medidas de sostén. </w:t>
      </w:r>
      <w:r>
        <w:rPr>
          <w:b/>
          <w:bCs/>
        </w:rPr>
        <w:t>A</w:t>
      </w:r>
      <w:r>
        <w:rPr>
          <w:b/>
          <w:bCs/>
          <w:sz w:val="13"/>
          <w:szCs w:val="13"/>
        </w:rPr>
        <w:t>ISLAMIENTO DEL PACIENTE HOSPITALIZADO</w:t>
      </w:r>
      <w:r>
        <w:rPr>
          <w:b/>
          <w:bCs/>
        </w:rPr>
        <w:t xml:space="preserve">: </w:t>
      </w:r>
      <w:r>
        <w:t>Se recomienda seguir precauciones estándar.</w:t>
      </w:r>
    </w:p>
    <w:p w14:paraId="64F36549" w14:textId="77777777" w:rsidR="00D03C17" w:rsidRDefault="00D03C17">
      <w:pPr>
        <w:pStyle w:val="BodyText"/>
        <w:spacing w:after="200"/>
        <w:ind w:firstLine="0"/>
      </w:pPr>
      <w:r>
        <w:rPr>
          <w:b/>
          <w:bCs/>
        </w:rPr>
        <w:t>M</w:t>
      </w:r>
      <w:r>
        <w:rPr>
          <w:b/>
          <w:bCs/>
          <w:sz w:val="13"/>
          <w:szCs w:val="13"/>
        </w:rPr>
        <w:t>EDIDAS PREVENTIVAS</w:t>
      </w:r>
      <w:r>
        <w:rPr>
          <w:b/>
          <w:bCs/>
        </w:rPr>
        <w:t xml:space="preserve">: </w:t>
      </w:r>
      <w:r>
        <w:t>La enfermedad se evita si se consumen en forma inmediata los alimentos cocidos u horneados, o se enfrían o refrigeran a brevísimo plazo. Los alimentos cocidos deben refrigerarse a temperaturas menores de 5°C. Es importante excluir temporalmente del manejo de alimentos, a personas con furúnculos, abscesos y otras lesiones purulentas de manos, cara o vías nasales, y hay que instaurar con toda rigidez la higiene manual antes de cualquier maniobra de ese tipo.</w:t>
      </w:r>
    </w:p>
    <w:p w14:paraId="6881956E" w14:textId="77777777" w:rsidR="00D03C17" w:rsidRDefault="00D03C17">
      <w:pPr>
        <w:pStyle w:val="Bodytext70"/>
        <w:spacing w:after="80" w:line="206" w:lineRule="auto"/>
      </w:pPr>
      <w:r>
        <w:t>Estreptocócica (por especies no pertenecientes a grupos A o B) y enterocócicas, infecciones</w:t>
      </w:r>
    </w:p>
    <w:p w14:paraId="4E4E9D16" w14:textId="77777777" w:rsidR="00D03C17" w:rsidRDefault="00D03C17">
      <w:pPr>
        <w:pStyle w:val="BodyText"/>
        <w:ind w:firstLine="0"/>
      </w:pPr>
      <w:r>
        <w:rPr>
          <w:b/>
          <w:bCs/>
        </w:rPr>
        <w:t>M</w:t>
      </w:r>
      <w:r>
        <w:rPr>
          <w:b/>
          <w:bCs/>
          <w:sz w:val="13"/>
          <w:szCs w:val="13"/>
        </w:rPr>
        <w:t>ANIFESTACIONES CLÍNICAS</w:t>
      </w:r>
      <w:r>
        <w:rPr>
          <w:b/>
          <w:bCs/>
        </w:rPr>
        <w:t xml:space="preserve">: </w:t>
      </w:r>
      <w:r>
        <w:t>La enfermedad invasora en lactantes, niños, adolescentes y adultos puede ser causada por estreptococos de grupos diferentes de A o B. Los síndromes clínicos principales son infección de vías urinarias, endocarditis, infecciones de zonas alta y baja de vías respiratorias y meningitis. Los estreptococos viridans se acompañan de diversas infecciones, y de ellas las más notables quizá sean la endocarditis y la bacteriemia en pacientes neutropénicos con cáncer. Los enterococos originan bacteriemia en neonatos y en niños de mayor edad y adultos, además de la bacteriemia, abscesos intraabdominales e infecciones de vías urinarias.</w:t>
      </w:r>
    </w:p>
    <w:p w14:paraId="38ED460F" w14:textId="77777777" w:rsidR="00D03C17" w:rsidRDefault="00D03C17">
      <w:pPr>
        <w:pStyle w:val="BodyText"/>
        <w:spacing w:line="271" w:lineRule="auto"/>
        <w:ind w:firstLine="0"/>
        <w:rPr>
          <w:sz w:val="16"/>
          <w:szCs w:val="16"/>
        </w:rPr>
      </w:pPr>
      <w:r>
        <w:rPr>
          <w:b/>
          <w:bCs/>
        </w:rPr>
        <w:t>C</w:t>
      </w:r>
      <w:r>
        <w:rPr>
          <w:b/>
          <w:bCs/>
          <w:sz w:val="13"/>
          <w:szCs w:val="13"/>
        </w:rPr>
        <w:t>AUSAS</w:t>
      </w:r>
      <w:r>
        <w:rPr>
          <w:b/>
          <w:bCs/>
        </w:rPr>
        <w:t xml:space="preserve">: </w:t>
      </w:r>
      <w:r>
        <w:t xml:space="preserve">Los cambios en la taxonomía y la nomenclatura del género </w:t>
      </w:r>
      <w:r>
        <w:rPr>
          <w:rFonts w:ascii="Times New Roman" w:eastAsia="Times New Roman" w:hAnsi="Times New Roman" w:cs="Times New Roman"/>
          <w:i/>
          <w:iCs/>
          <w:sz w:val="16"/>
          <w:szCs w:val="16"/>
        </w:rPr>
        <w:t>Streptococcus</w:t>
      </w:r>
      <w:r>
        <w:t xml:space="preserve"> han evolucionado como consecuencia de la aplicación de la tecnología molecular.</w:t>
      </w:r>
      <w:r>
        <w:footnoteReference w:id="27"/>
      </w:r>
      <w:r>
        <w:t xml:space="preserve"> Entre los microorganismos grampositivos que son catalasa-negativos y que se disponen en cadenas en la imagen obtenida con tinción de Gram de dos géneros que más a menudo se vinculan por enfermedad de seres humanos son </w:t>
      </w:r>
      <w:r>
        <w:rPr>
          <w:rFonts w:ascii="Times New Roman" w:eastAsia="Times New Roman" w:hAnsi="Times New Roman" w:cs="Times New Roman"/>
          <w:i/>
          <w:iCs/>
          <w:sz w:val="16"/>
          <w:szCs w:val="16"/>
        </w:rPr>
        <w:t>Streptococcus</w:t>
      </w:r>
      <w:r>
        <w:t xml:space="preserve"> y </w:t>
      </w:r>
      <w:r>
        <w:rPr>
          <w:rFonts w:ascii="Times New Roman" w:eastAsia="Times New Roman" w:hAnsi="Times New Roman" w:cs="Times New Roman"/>
          <w:i/>
          <w:iCs/>
          <w:sz w:val="16"/>
          <w:szCs w:val="16"/>
        </w:rPr>
        <w:t>Enterococcus</w:t>
      </w:r>
      <w:r>
        <w:rPr>
          <w:i/>
          <w:iCs/>
        </w:rPr>
        <w:t>.</w:t>
      </w:r>
      <w:r>
        <w:t xml:space="preserve"> El género </w:t>
      </w:r>
      <w:r>
        <w:rPr>
          <w:rFonts w:ascii="Times New Roman" w:eastAsia="Times New Roman" w:hAnsi="Times New Roman" w:cs="Times New Roman"/>
          <w:i/>
          <w:iCs/>
          <w:sz w:val="16"/>
          <w:szCs w:val="16"/>
        </w:rPr>
        <w:t>Streptococcus</w:t>
      </w:r>
      <w:r>
        <w:t xml:space="preserve"> contiene microorganismos que son: a) hemolíticos en placas de agar-sangre </w:t>
      </w:r>
      <w:r>
        <w:rPr>
          <w:rFonts w:ascii="Times New Roman" w:eastAsia="Times New Roman" w:hAnsi="Times New Roman" w:cs="Times New Roman"/>
          <w:i/>
          <w:iCs/>
          <w:sz w:val="16"/>
          <w:szCs w:val="16"/>
        </w:rPr>
        <w:t>(Streptococcuspyogenes</w:t>
      </w:r>
      <w:r>
        <w:t xml:space="preserve"> [véase “Estreptococos del grupo A, infecciones”], </w:t>
      </w:r>
      <w:r>
        <w:rPr>
          <w:rFonts w:ascii="Times New Roman" w:eastAsia="Times New Roman" w:hAnsi="Times New Roman" w:cs="Times New Roman"/>
          <w:i/>
          <w:iCs/>
          <w:sz w:val="16"/>
          <w:szCs w:val="16"/>
        </w:rPr>
        <w:t>Streptococcus agalactiae</w:t>
      </w:r>
      <w:r>
        <w:t xml:space="preserve"> [véase “Estreptococos del grupo B, infecciones”, ambos en esta sección] y estreptococos de los grupos C, G y F); b) que no son hemolíticos en placas de agar-sangre </w:t>
      </w:r>
      <w:r>
        <w:rPr>
          <w:rFonts w:ascii="Times New Roman" w:eastAsia="Times New Roman" w:hAnsi="Times New Roman" w:cs="Times New Roman"/>
          <w:i/>
          <w:iCs/>
          <w:sz w:val="16"/>
          <w:szCs w:val="16"/>
        </w:rPr>
        <w:t>(Streptococcuspneumoniae</w:t>
      </w:r>
      <w:r>
        <w:t xml:space="preserve"> [véase “Neumococos, infecciones”, en esta sección], grupo </w:t>
      </w:r>
      <w:r>
        <w:rPr>
          <w:rFonts w:ascii="Times New Roman" w:eastAsia="Times New Roman" w:hAnsi="Times New Roman" w:cs="Times New Roman"/>
          <w:i/>
          <w:iCs/>
          <w:sz w:val="16"/>
          <w:szCs w:val="16"/>
        </w:rPr>
        <w:t>Streptococcus bovis</w:t>
      </w:r>
      <w:r>
        <w:t xml:space="preserve"> y otros estreptococos del grupo D); c) 26 especies de estreptococos viridans que se dividen en seis grupos según sus características fenotípicas; d) estreptococos con variantes nutricionales (conocidos ahora como </w:t>
      </w:r>
      <w:r>
        <w:rPr>
          <w:rFonts w:ascii="Times New Roman" w:eastAsia="Times New Roman" w:hAnsi="Times New Roman" w:cs="Times New Roman"/>
          <w:i/>
          <w:iCs/>
          <w:sz w:val="16"/>
          <w:szCs w:val="16"/>
        </w:rPr>
        <w:t>Abiotrophia</w:t>
      </w:r>
      <w:r>
        <w:t xml:space="preserve"> y </w:t>
      </w:r>
      <w:r>
        <w:rPr>
          <w:rFonts w:ascii="Times New Roman" w:eastAsia="Times New Roman" w:hAnsi="Times New Roman" w:cs="Times New Roman"/>
          <w:i/>
          <w:iCs/>
          <w:sz w:val="16"/>
          <w:szCs w:val="16"/>
        </w:rPr>
        <w:t>Granulicatella</w:t>
      </w:r>
      <w:r>
        <w:rPr>
          <w:i/>
          <w:iCs/>
        </w:rPr>
        <w:t>);</w:t>
      </w:r>
      <w:r>
        <w:t xml:space="preserve"> y e) estreptococos de especies poco comunes que no pueden incluirse dentro de otros grupos o especies de </w:t>
      </w:r>
      <w:r>
        <w:rPr>
          <w:rFonts w:ascii="Times New Roman" w:eastAsia="Times New Roman" w:hAnsi="Times New Roman" w:cs="Times New Roman"/>
          <w:i/>
          <w:iCs/>
          <w:sz w:val="16"/>
          <w:szCs w:val="16"/>
        </w:rPr>
        <w:t>Streptococcus.</w:t>
      </w:r>
    </w:p>
    <w:p w14:paraId="01A58AF7" w14:textId="77777777" w:rsidR="00D03C17" w:rsidRDefault="00D03C17">
      <w:pPr>
        <w:pStyle w:val="BodyText"/>
        <w:ind w:firstLine="360"/>
      </w:pPr>
      <w:r>
        <w:t xml:space="preserve">El género </w:t>
      </w:r>
      <w:r>
        <w:rPr>
          <w:rFonts w:ascii="Times New Roman" w:eastAsia="Times New Roman" w:hAnsi="Times New Roman" w:cs="Times New Roman"/>
          <w:i/>
          <w:iCs/>
          <w:sz w:val="16"/>
          <w:szCs w:val="16"/>
        </w:rPr>
        <w:t>Enterococcus</w:t>
      </w:r>
      <w:r>
        <w:t xml:space="preserve"> (incluida antes con los estreptococos del grupo D) incluyen más de 20 especies, y </w:t>
      </w:r>
      <w:r>
        <w:rPr>
          <w:rFonts w:ascii="Times New Roman" w:eastAsia="Times New Roman" w:hAnsi="Times New Roman" w:cs="Times New Roman"/>
          <w:i/>
          <w:iCs/>
          <w:sz w:val="16"/>
          <w:szCs w:val="16"/>
        </w:rPr>
        <w:t>Enterococcus faecalis</w:t>
      </w:r>
      <w:r>
        <w:t xml:space="preserve"> y </w:t>
      </w:r>
      <w:r>
        <w:rPr>
          <w:rFonts w:ascii="Times New Roman" w:eastAsia="Times New Roman" w:hAnsi="Times New Roman" w:cs="Times New Roman"/>
          <w:i/>
          <w:iCs/>
          <w:sz w:val="16"/>
          <w:szCs w:val="16"/>
        </w:rPr>
        <w:t>Enterococcus faecium</w:t>
      </w:r>
      <w:r>
        <w:t xml:space="preserve"> causan casi todos los casos de infección por enterococos en seres humanos.</w:t>
      </w:r>
    </w:p>
    <w:p w14:paraId="46D0CD38" w14:textId="77777777" w:rsidR="00D03C17" w:rsidRDefault="00D03C17">
      <w:pPr>
        <w:pStyle w:val="BodyText"/>
        <w:spacing w:after="140"/>
        <w:ind w:firstLine="0"/>
        <w:sectPr w:rsidR="00D03C17" w:rsidSect="00D03C17">
          <w:headerReference w:type="even" r:id="rId375"/>
          <w:headerReference w:type="default" r:id="rId376"/>
          <w:footerReference w:type="even" r:id="rId377"/>
          <w:footerReference w:type="default" r:id="rId378"/>
          <w:footnotePr>
            <w:numFmt w:val="chicago"/>
          </w:footnotePr>
          <w:type w:val="continuous"/>
          <w:pgSz w:w="8501" w:h="13022"/>
          <w:pgMar w:top="898" w:right="798" w:bottom="504" w:left="816" w:header="0" w:footer="76" w:gutter="0"/>
          <w:cols w:space="720"/>
          <w:noEndnote/>
          <w:docGrid w:linePitch="360"/>
          <w15:footnoteColumns w:val="1"/>
        </w:sectPr>
      </w:pPr>
      <w:r>
        <w:rPr>
          <w:b/>
          <w:bCs/>
        </w:rPr>
        <w:t>A</w:t>
      </w:r>
      <w:r>
        <w:rPr>
          <w:b/>
          <w:bCs/>
          <w:sz w:val="13"/>
          <w:szCs w:val="13"/>
        </w:rPr>
        <w:t>SPECTOS EPIDEMIOLÓGICOS</w:t>
      </w:r>
      <w:r>
        <w:rPr>
          <w:b/>
          <w:bCs/>
        </w:rPr>
        <w:t xml:space="preserve">: </w:t>
      </w:r>
      <w:r>
        <w:t xml:space="preserve">Los hábitat de los estreptococos en los seres humanos incluyen la piel (grupos C, F y G), la bucofaringe (grupos C, F y G), las vías gastrointestinales (grupos D, F y G y especies de </w:t>
      </w:r>
      <w:r>
        <w:rPr>
          <w:rFonts w:ascii="Times New Roman" w:eastAsia="Times New Roman" w:hAnsi="Times New Roman" w:cs="Times New Roman"/>
          <w:i/>
          <w:iCs/>
          <w:sz w:val="16"/>
          <w:szCs w:val="16"/>
        </w:rPr>
        <w:t>Enterococcus)</w:t>
      </w:r>
      <w:r>
        <w:t xml:space="preserve"> y la vagina (grupos C, D, F y G y especies de </w:t>
      </w:r>
      <w:r>
        <w:rPr>
          <w:rFonts w:ascii="Times New Roman" w:eastAsia="Times New Roman" w:hAnsi="Times New Roman" w:cs="Times New Roman"/>
          <w:i/>
          <w:iCs/>
          <w:sz w:val="16"/>
          <w:szCs w:val="16"/>
        </w:rPr>
        <w:t>Enterococcus)</w:t>
      </w:r>
      <w:r>
        <w:rPr>
          <w:i/>
          <w:iCs/>
        </w:rPr>
        <w:t>.</w:t>
      </w:r>
      <w:r>
        <w:t xml:space="preserve"> Los hábitat típicos de diferentes especies de estreptococos viridans en seres humanos incluyen bucofaringe, superficies dentales, piel y vías genitourinarias. Es probable que la transmisión durante el parto explique casi todos los casos de infección neonatal de comienzo temprano. La contaminación o la transmisión en el entorno, a través de las manos de los profesionales asistenciales puede ocasionar colonización de los niños.</w:t>
      </w:r>
    </w:p>
    <w:p w14:paraId="535DAC9E" w14:textId="77777777" w:rsidR="00D03C17" w:rsidRDefault="00D03C17">
      <w:pPr>
        <w:pStyle w:val="BodyText"/>
        <w:spacing w:after="100"/>
        <w:ind w:firstLine="0"/>
      </w:pPr>
      <w:r>
        <w:t>erradicación actuales son el tratamiento de las poblaciones infectadas, la eliminación higiénica de desperdicios humanos y enseñanza respecto a las fuentes de infección. Habrá que recomendar a quienes viajan a áreas endémicas que eviten el contacto con corrientes y lagos de agua dulce.</w:t>
      </w:r>
    </w:p>
    <w:p w14:paraId="4BB41572" w14:textId="77777777" w:rsidR="00D03C17" w:rsidRDefault="00D03C17">
      <w:pPr>
        <w:pStyle w:val="Bodytext70"/>
        <w:spacing w:after="0"/>
      </w:pPr>
      <w:r>
        <w:t>Estafilococos, infecciones</w:t>
      </w:r>
    </w:p>
    <w:p w14:paraId="56A78D68" w14:textId="77777777" w:rsidR="00D03C17" w:rsidRDefault="00D03C17">
      <w:pPr>
        <w:pStyle w:val="BodyText"/>
        <w:spacing w:line="271" w:lineRule="auto"/>
        <w:ind w:firstLine="0"/>
      </w:pPr>
      <w:r>
        <w:rPr>
          <w:b/>
          <w:bCs/>
        </w:rPr>
        <w:t>M</w:t>
      </w:r>
      <w:r>
        <w:rPr>
          <w:b/>
          <w:bCs/>
          <w:sz w:val="13"/>
          <w:szCs w:val="13"/>
        </w:rPr>
        <w:t>ANIFESTACIONES CLÍNICAS</w:t>
      </w:r>
      <w:r>
        <w:rPr>
          <w:b/>
          <w:bCs/>
        </w:rPr>
        <w:t xml:space="preserve">: </w:t>
      </w:r>
      <w:r>
        <w:rPr>
          <w:rFonts w:ascii="Times New Roman" w:eastAsia="Times New Roman" w:hAnsi="Times New Roman" w:cs="Times New Roman"/>
          <w:i/>
          <w:iCs/>
          <w:sz w:val="16"/>
          <w:szCs w:val="16"/>
        </w:rPr>
        <w:t>Staphylococcus aureus</w:t>
      </w:r>
      <w:r>
        <w:t xml:space="preserve"> causa infecciones supuradas, localizadas o invasoras de muy diversa índole y también tres síndromes mediados por toxinas: el de choque tóxico (véase “Tóxico, síndrome de choque”, en esta sección), el de dermatitis exfoliativa neonatal o “de piel escaldada” y la intoxicación por alimentos (véase “Estafilococos, intoxicación alimentaria por”, en esta sección). Las infecciones localizadas comprenden hordeola, furúnculos, ántrax, impétigo (ampollar y no ampollar), paroniquia, ectima, celulitis, parotiditis, linfadenitis e infecciones de heridas. </w:t>
      </w:r>
      <w:r>
        <w:rPr>
          <w:rFonts w:ascii="Times New Roman" w:eastAsia="Times New Roman" w:hAnsi="Times New Roman" w:cs="Times New Roman"/>
          <w:i/>
          <w:iCs/>
          <w:sz w:val="16"/>
          <w:szCs w:val="16"/>
        </w:rPr>
        <w:t>Staphylococcus aureus</w:t>
      </w:r>
      <w:r>
        <w:t xml:space="preserve"> causa también infecciones por cuerpo extraño que incluyen las que surgen con catéteres intravasculares o injertos, marcapasos, catéteres peritoneales, derivaciones de líquido cefalorraquídeo y prótesis articulares, y pudiera vincularse con bacteriemia. Este último cuadro puede ser complicado por septicemia, endocarditis, pericarditis, neumonía, empiema neural, abscesos en músculos o vísceras, artritis, osteomielitis, tromboflebitis séptica de grandes vasos u otros focos de infección. La meningitis es rara. Las infecciones por </w:t>
      </w:r>
      <w:r>
        <w:rPr>
          <w:rFonts w:ascii="Times New Roman" w:eastAsia="Times New Roman" w:hAnsi="Times New Roman" w:cs="Times New Roman"/>
          <w:i/>
          <w:iCs/>
          <w:sz w:val="16"/>
          <w:szCs w:val="16"/>
        </w:rPr>
        <w:t>Staphylococcus aureus</w:t>
      </w:r>
      <w:r>
        <w:t xml:space="preserve"> pueden ser fulminantes y muy a menudo se acompañan de focos metastásicos, abscesos e infección por cuerpos extraños. Las infecciones mencionadas suelen obligar a administrar antimicrobianos por largo tiempo, a practicar drenaje de abscesos y extraer cuerpos extraños para lograr la cura. Entre los factores de peligro de que surjan infecciones graves por estafilococos están cuadros crónicos como diabetes mellitus, cirrosis hepática y trastornos de la nutrición; operaciones; trasplantes, trastornos de la función de neutrófilos y síndrome de inmunodeficiencia adquirida.</w:t>
      </w:r>
    </w:p>
    <w:p w14:paraId="74E8A432" w14:textId="77777777" w:rsidR="00D03C17" w:rsidRDefault="00D03C17">
      <w:pPr>
        <w:pStyle w:val="BodyText"/>
        <w:ind w:firstLine="360"/>
      </w:pPr>
      <w:r>
        <w:t xml:space="preserve">El llamado síndrome exfoliativo neonatal o de “piel escaldada” por estafilococos </w:t>
      </w:r>
      <w:r>
        <w:rPr>
          <w:i/>
          <w:iCs/>
        </w:rPr>
        <w:t>(</w:t>
      </w:r>
      <w:r>
        <w:rPr>
          <w:rFonts w:ascii="Times New Roman" w:eastAsia="Times New Roman" w:hAnsi="Times New Roman" w:cs="Times New Roman"/>
          <w:i/>
          <w:iCs/>
          <w:sz w:val="16"/>
          <w:szCs w:val="16"/>
        </w:rPr>
        <w:t>staphylococcal scalded skin syndrome</w:t>
      </w:r>
      <w:r>
        <w:rPr>
          <w:i/>
          <w:iCs/>
        </w:rPr>
        <w:t>,</w:t>
      </w:r>
      <w:r>
        <w:t xml:space="preserve"> SSSS) es un trastorno mediado por la toxina de dicho microorganismo al circular las toxinas exfoliativas A y B. Las manifestaciones del síndrome dependen de la edad e incluyen enfermedad de Ritter (exfoliación generalizada) en el neonato, una erupción escarlatiniforme dolorosa e impétigo ampollar localizado en niños de mayor edad, y una combinación del cuadro mencionado con desprendimiento de escamas blancas/pardas de toda la piel, en particular la de la cara y el cuello, en lactantes de mayor edad y niños preambulatorios. El signo patognomónico de SSSS es el desprendimiento del estrato granuloso de la epidermis, mediado por toxinas. El trastorno cura sin dejar cicatrices. La bacteriemia es rara pero a veces con la exfoliación extensa pueden surgir deshidratación e infecciones sobreañadidas.</w:t>
      </w:r>
    </w:p>
    <w:p w14:paraId="1BF01511" w14:textId="77777777" w:rsidR="00D03C17" w:rsidRDefault="00D03C17">
      <w:pPr>
        <w:pStyle w:val="BodyText"/>
        <w:spacing w:line="276" w:lineRule="auto"/>
        <w:ind w:firstLine="0"/>
      </w:pPr>
      <w:r>
        <w:rPr>
          <w:rFonts w:ascii="Arial" w:eastAsia="Arial" w:hAnsi="Arial" w:cs="Arial"/>
          <w:b/>
          <w:bCs/>
          <w:i/>
          <w:iCs/>
          <w:sz w:val="15"/>
          <w:szCs w:val="15"/>
        </w:rPr>
        <w:t>Estafilococos coagulasa-negativos:</w:t>
      </w:r>
      <w:r>
        <w:t xml:space="preserve"> Casi todos los estafilococos de este tipo </w:t>
      </w:r>
      <w:r>
        <w:rPr>
          <w:i/>
          <w:iCs/>
        </w:rPr>
        <w:t>(</w:t>
      </w:r>
      <w:r>
        <w:rPr>
          <w:rFonts w:ascii="Times New Roman" w:eastAsia="Times New Roman" w:hAnsi="Times New Roman" w:cs="Times New Roman"/>
          <w:i/>
          <w:iCs/>
          <w:sz w:val="16"/>
          <w:szCs w:val="16"/>
        </w:rPr>
        <w:t>coagulase</w:t>
      </w:r>
      <w:r>
        <w:rPr>
          <w:rFonts w:ascii="Times New Roman" w:eastAsia="Times New Roman" w:hAnsi="Times New Roman" w:cs="Times New Roman"/>
          <w:i/>
          <w:iCs/>
          <w:sz w:val="16"/>
          <w:szCs w:val="16"/>
        </w:rPr>
        <w:softHyphen/>
        <w:t>negative staphylococci</w:t>
      </w:r>
      <w:r>
        <w:rPr>
          <w:i/>
          <w:iCs/>
        </w:rPr>
        <w:t>,</w:t>
      </w:r>
      <w:r>
        <w:t xml:space="preserve"> CoNS) aislados, están presentes por contaminación del material de cultivo (véase “Métodos diagnósticos”, más adelante en este resumen). De los estafilococos aislados que no provienen de contaminación, algunos son producto de infecciones nosocomiales, y muchos niños con infecciones CoNS tienen transgresiones manifiestas de las defensas del hospedador causadas por cirugía, colocación de catéteres o prótesis o inmunosupresión. Los estafilococos coagulasa-negativos son la causa más frecuente de septicemia tardía en prematuros, en particular los que pesan menos de 1 500 g al nacer, y de episodios de bacteriemia nosocomial en todos los grupos de edad. Los estafilococos mencionados son los que causan la bacteriemia en niños que reciben tratamiento de leucemia, linfoma o tumores sólidos y también entre quienes reciben médula ósea en trasplante. Las infecciones suelen vincularse con la presencia de catéteres intravasculares, derivaciones del líquido cefalorraquídeo, sondas en peritoneo o vejiga, injertos vasculares o parches intracardiacos, prótesis de válvulas cardiacas, electrodos o alambres de marcapasos o prótesis articulares. También se han descrito mediastinitis después de operaciones con corazón abierto, endoftalmitis después de traumatismo de ojos, así como onfalitis y abscesos de piel cabelluda en neonatos. Los estafilococos de esta categoría también pueden penetrar en la corriente sanguínea desde las vías respiratorias en prematuros ventilados mecánicamente, o provenir de las vías gastrointestinales de lactantes con enterocolitis necrosante. Algunas especies de CoNS provienen de infecciones de vías urinarias, incluidos </w:t>
      </w:r>
      <w:r>
        <w:rPr>
          <w:rFonts w:ascii="Times New Roman" w:eastAsia="Times New Roman" w:hAnsi="Times New Roman" w:cs="Times New Roman"/>
          <w:i/>
          <w:iCs/>
          <w:sz w:val="16"/>
          <w:szCs w:val="16"/>
        </w:rPr>
        <w:t>Staphylococcus saprophyticus</w:t>
      </w:r>
      <w:r>
        <w:t xml:space="preserve"> en mujeres adolescentes y adultas jóvenes, a menudo después de coito, y </w:t>
      </w:r>
      <w:r>
        <w:rPr>
          <w:rFonts w:ascii="Times New Roman" w:eastAsia="Times New Roman" w:hAnsi="Times New Roman" w:cs="Times New Roman"/>
          <w:i/>
          <w:iCs/>
          <w:sz w:val="16"/>
          <w:szCs w:val="16"/>
        </w:rPr>
        <w:t>Staphylococcus epidermidis</w:t>
      </w:r>
      <w:r>
        <w:t xml:space="preserve"> y </w:t>
      </w:r>
      <w:r>
        <w:rPr>
          <w:rFonts w:ascii="Times New Roman" w:eastAsia="Times New Roman" w:hAnsi="Times New Roman" w:cs="Times New Roman"/>
          <w:i/>
          <w:iCs/>
          <w:sz w:val="16"/>
          <w:szCs w:val="16"/>
        </w:rPr>
        <w:t>Staphylococcus haemolyticus</w:t>
      </w:r>
      <w:r>
        <w:t xml:space="preserve"> en personas hospitalizadas que tienen sondas en la vejiga. En términos generales, las infecciones por CoNS siguen un curso clínico indolente.</w:t>
      </w:r>
    </w:p>
    <w:p w14:paraId="6464ED3D" w14:textId="77777777" w:rsidR="00D03C17" w:rsidRDefault="00D03C17">
      <w:pPr>
        <w:pStyle w:val="BodyText"/>
        <w:spacing w:line="276" w:lineRule="auto"/>
        <w:ind w:firstLine="0"/>
      </w:pPr>
      <w:r>
        <w:rPr>
          <w:b/>
          <w:bCs/>
        </w:rPr>
        <w:t>C</w:t>
      </w:r>
      <w:r>
        <w:rPr>
          <w:b/>
          <w:bCs/>
          <w:sz w:val="13"/>
          <w:szCs w:val="13"/>
        </w:rPr>
        <w:t>AUSAS</w:t>
      </w:r>
      <w:r>
        <w:rPr>
          <w:b/>
          <w:bCs/>
        </w:rPr>
        <w:t xml:space="preserve">: </w:t>
      </w:r>
      <w:r>
        <w:t xml:space="preserve">Los estafilococos son cocos grampositivos, catalasa-positivos cuyo aspecto microscópico es de cúmulos o racimos de uvas (en griego </w:t>
      </w:r>
      <w:r>
        <w:rPr>
          <w:rFonts w:ascii="Times New Roman" w:eastAsia="Times New Roman" w:hAnsi="Times New Roman" w:cs="Times New Roman"/>
          <w:i/>
          <w:iCs/>
          <w:sz w:val="16"/>
          <w:szCs w:val="16"/>
        </w:rPr>
        <w:t>Staphylos</w:t>
      </w:r>
      <w:r>
        <w:t xml:space="preserve"> significa racimo). Existen 32 especies que guardan relación muy cercana, conforme a la composición de las bases de DNA, pero sólo 17 especies pertenecen al género humano </w:t>
      </w:r>
      <w:r>
        <w:rPr>
          <w:rFonts w:ascii="Times New Roman" w:eastAsia="Times New Roman" w:hAnsi="Times New Roman" w:cs="Times New Roman"/>
          <w:i/>
          <w:iCs/>
          <w:sz w:val="16"/>
          <w:szCs w:val="16"/>
        </w:rPr>
        <w:t>per se. Staphylococcus aureus</w:t>
      </w:r>
      <w:r>
        <w:t xml:space="preserve"> o estafilococo dorado es la única especie que produce coagulasa. De las 16 especies que no producen coagulasa, las que más a menudo originan infecciones son </w:t>
      </w:r>
      <w:r>
        <w:rPr>
          <w:rFonts w:ascii="Times New Roman" w:eastAsia="Times New Roman" w:hAnsi="Times New Roman" w:cs="Times New Roman"/>
          <w:i/>
          <w:iCs/>
          <w:sz w:val="16"/>
          <w:szCs w:val="16"/>
        </w:rPr>
        <w:t>S. epidermidis, S. haemolyticus, S. saprophyticus, Staphylococcus schleiferi</w:t>
      </w:r>
      <w:r>
        <w:t xml:space="preserve"> y </w:t>
      </w:r>
      <w:r>
        <w:rPr>
          <w:rFonts w:ascii="Times New Roman" w:eastAsia="Times New Roman" w:hAnsi="Times New Roman" w:cs="Times New Roman"/>
          <w:i/>
          <w:iCs/>
          <w:sz w:val="16"/>
          <w:szCs w:val="16"/>
        </w:rPr>
        <w:t>Staphylococcus lugdunensis.</w:t>
      </w:r>
      <w:r>
        <w:t xml:space="preserve"> Los estafilococos muestran una distribución amplísima y sobreviven en situaciones extremas de secado, calor y medios hipóxicos e hipernatrémicos. </w:t>
      </w:r>
      <w:r>
        <w:rPr>
          <w:rFonts w:ascii="Times New Roman" w:eastAsia="Times New Roman" w:hAnsi="Times New Roman" w:cs="Times New Roman"/>
          <w:i/>
          <w:iCs/>
          <w:sz w:val="16"/>
          <w:szCs w:val="16"/>
        </w:rPr>
        <w:t>Staphylococcus aureus</w:t>
      </w:r>
      <w:r>
        <w:t xml:space="preserve"> tiene muchas proteínas de superficie, incluidos los receptores MSCRAMM (componentes de superficie microbiana que reconocen las moléculas de matriz adherente </w:t>
      </w:r>
      <w:r>
        <w:rPr>
          <w:i/>
          <w:iCs/>
        </w:rPr>
        <w:t>[</w:t>
      </w:r>
      <w:r>
        <w:rPr>
          <w:rFonts w:ascii="Times New Roman" w:eastAsia="Times New Roman" w:hAnsi="Times New Roman" w:cs="Times New Roman"/>
          <w:i/>
          <w:iCs/>
          <w:sz w:val="16"/>
          <w:szCs w:val="16"/>
        </w:rPr>
        <w:t>microbial surface components recognizing adhesive matrix molecule</w:t>
      </w:r>
      <w:r>
        <w:rPr>
          <w:i/>
          <w:iCs/>
        </w:rPr>
        <w:t>]),</w:t>
      </w:r>
      <w:r>
        <w:t xml:space="preserve"> que permiten al estafilococo ligarse a tejidos y cuerpos extraños recubiertos de fibronectina, fibrinógeno y colágena, y así permiten que un corto número de los microorganismos se adhiera a material de sutura, catéteres, prótesis valvulares y otros dispositivos. Los estafilococos coagulasa-negativos producen una biocapa de depósito de exopolisacáridos que hace que estos microorganismos, al unirse a prótesis o dispositivos como los catéteres, se vuelvan relativamente inaccesibles a las defensas del hospedador y a los antimicrobianos.</w:t>
      </w:r>
    </w:p>
    <w:p w14:paraId="0EEE229E" w14:textId="77777777" w:rsidR="00D03C17" w:rsidRDefault="00D03C17">
      <w:pPr>
        <w:pStyle w:val="Other0"/>
        <w:spacing w:line="257" w:lineRule="auto"/>
        <w:ind w:firstLine="0"/>
        <w:rPr>
          <w:sz w:val="20"/>
          <w:szCs w:val="20"/>
        </w:rPr>
      </w:pPr>
      <w:r>
        <w:rPr>
          <w:b/>
          <w:bCs/>
          <w:smallCaps/>
          <w:sz w:val="20"/>
          <w:szCs w:val="20"/>
        </w:rPr>
        <w:t>A</w:t>
      </w:r>
      <w:r>
        <w:rPr>
          <w:b/>
          <w:bCs/>
          <w:smallCaps/>
          <w:sz w:val="16"/>
          <w:szCs w:val="16"/>
        </w:rPr>
        <w:t>spectos epidemiológicos</w:t>
      </w:r>
      <w:r>
        <w:rPr>
          <w:b/>
          <w:bCs/>
          <w:smallCaps/>
          <w:sz w:val="20"/>
          <w:szCs w:val="20"/>
        </w:rPr>
        <w:t>:</w:t>
      </w:r>
    </w:p>
    <w:p w14:paraId="60B2B8A0" w14:textId="77777777" w:rsidR="00D03C17" w:rsidRDefault="00D03C17">
      <w:pPr>
        <w:pStyle w:val="BodyText"/>
        <w:spacing w:line="276" w:lineRule="auto"/>
        <w:ind w:firstLine="0"/>
      </w:pPr>
      <w:r>
        <w:rPr>
          <w:rFonts w:ascii="Arial" w:eastAsia="Arial" w:hAnsi="Arial" w:cs="Arial"/>
          <w:b/>
          <w:bCs/>
          <w:i/>
          <w:iCs/>
          <w:sz w:val="15"/>
          <w:szCs w:val="15"/>
        </w:rPr>
        <w:t xml:space="preserve">Staphylococcus aureus. </w:t>
      </w:r>
      <w:r>
        <w:rPr>
          <w:rFonts w:ascii="Times New Roman" w:eastAsia="Times New Roman" w:hAnsi="Times New Roman" w:cs="Times New Roman"/>
          <w:i/>
          <w:iCs/>
          <w:sz w:val="16"/>
          <w:szCs w:val="16"/>
        </w:rPr>
        <w:t>Staphylococcus aureus</w:t>
      </w:r>
      <w:r>
        <w:t xml:space="preserve"> o estafilococo dorado, que ocupa el segundo lugar después de los estafilococos coagulasa negativos como causa de bacteriemia nosocomial, ocupa el mismo lugar que </w:t>
      </w:r>
      <w:r>
        <w:rPr>
          <w:rFonts w:ascii="Times New Roman" w:eastAsia="Times New Roman" w:hAnsi="Times New Roman" w:cs="Times New Roman"/>
          <w:i/>
          <w:iCs/>
          <w:sz w:val="16"/>
          <w:szCs w:val="16"/>
        </w:rPr>
        <w:t>Pseudomonas aeruginosa</w:t>
      </w:r>
      <w:r>
        <w:t xml:space="preserve"> como la causa más frecuente de neumonía nosocomial y es el que origina casi todas las infecciones en los sitios en los que se ha practicado cirugía en hospitales. El estafilococo dorado coloniza la piel y las mucosas de 30 a 50% de adultos y niños sanos. Los sitios usuales de tal fenómeno son la porción anterior de las vías nasales, la faringe (lactantes y niños de corta edad), las axilas, el perineo, la vagina o el recto. La porción anterior de las vías nasales son las zonas colonizadas con mayor intensidad y tal fenómeno puede persistir durante años en 10 a 20% de personas afectadas. Se sabe que 25 a 50% de los portadores nasales portan transitoriamente microorganismos en las manos u otras zonas de la piel. Se han observado cifras de transportación mayores de 50% en niños con cuadros exfoliativos de la piel o quemaduras y en personas que utilizan a menudo agujas (como los sujetos con diabetes mellitus, los sometidos a hemodiálisis, quienes usan drogas por afición o los sometidos a tratamientos antialérgicos por vía subcutánea).</w:t>
      </w:r>
    </w:p>
    <w:p w14:paraId="4361B8ED" w14:textId="77777777" w:rsidR="00D03C17" w:rsidRDefault="00D03C17">
      <w:pPr>
        <w:pStyle w:val="BodyText"/>
        <w:spacing w:line="271" w:lineRule="auto"/>
        <w:ind w:firstLine="360"/>
      </w:pPr>
      <w:r>
        <w:rPr>
          <w:rFonts w:ascii="Arial" w:eastAsia="Arial" w:hAnsi="Arial" w:cs="Arial"/>
          <w:b/>
          <w:bCs/>
          <w:i/>
          <w:iCs/>
          <w:sz w:val="15"/>
          <w:szCs w:val="15"/>
        </w:rPr>
        <w:t>Transmisión de</w:t>
      </w:r>
      <w:r>
        <w:rPr>
          <w:rFonts w:ascii="Arial" w:eastAsia="Arial" w:hAnsi="Arial" w:cs="Arial"/>
          <w:b/>
          <w:bCs/>
          <w:w w:val="70"/>
          <w:sz w:val="20"/>
          <w:szCs w:val="20"/>
        </w:rPr>
        <w:t xml:space="preserve"> S. aureus </w:t>
      </w:r>
      <w:r>
        <w:rPr>
          <w:rFonts w:ascii="Arial" w:eastAsia="Arial" w:hAnsi="Arial" w:cs="Arial"/>
          <w:b/>
          <w:bCs/>
          <w:i/>
          <w:iCs/>
          <w:sz w:val="15"/>
          <w:szCs w:val="15"/>
        </w:rPr>
        <w:t>en hospitales.</w:t>
      </w:r>
      <w:r>
        <w:t xml:space="preserve"> El estafilococo dorado es transmitido más a menudo por contacto directo. Los profesionales asistenciales con colonización por dicho microorganismo en las fosas nasales o en la piel pueden constituir un reservorio importante para transmitirlo a los pacientes. Dichos profesionales también pueden presentar colonización transitoria de las manos en tanto atienden a algún paciente y transmitir el microorganismo a otra persona. Los lactantes colonizados poco después de nacer pueden servir de reservorio para la transmisión a otros coetáneos. No se ha precisado la importancia de ropas personales, batas, superficies del entorno y otros objetos inanimados en el contagio de </w:t>
      </w:r>
      <w:r>
        <w:rPr>
          <w:rFonts w:ascii="Times New Roman" w:eastAsia="Times New Roman" w:hAnsi="Times New Roman" w:cs="Times New Roman"/>
          <w:i/>
          <w:iCs/>
          <w:sz w:val="16"/>
          <w:szCs w:val="16"/>
        </w:rPr>
        <w:t>5. aureus.</w:t>
      </w:r>
      <w:r>
        <w:t xml:space="preserve"> La transmisión por gotículas puede observarse cuando los pacientes tienen heridas húmedas, quemaduras o zonas de dermatitis colonizadas o infectadas. El cambio de apósitos o ropas de cama puede hacer que los microorganismos se transformen en núcleos de gotículas, es decir, que se inicie la transmisión aerófora. La diseminación del estafilococo dorado proveniente de personas (incluidos lactantes) con estado de portador nasal depende de la densidad de la colonización (número de microorganismos) y hay una mayor diseminación durante infecciones víricas de la porción alta de vías respiratorias. Otros factores de riesgo del contagio nosocomial del estafilococo dorado incluyen la permanencia y el sitio dentro de una sala de alto riesgo, como sería una sala de cunas o unidades de cuidado intensivo o para quemados; métodos operatorios, hospitalización duradera, la presencia de una cepa epidémica de </w:t>
      </w:r>
      <w:r>
        <w:rPr>
          <w:rFonts w:ascii="Times New Roman" w:eastAsia="Times New Roman" w:hAnsi="Times New Roman" w:cs="Times New Roman"/>
          <w:i/>
          <w:iCs/>
          <w:sz w:val="16"/>
          <w:szCs w:val="16"/>
        </w:rPr>
        <w:t>5. aureus</w:t>
      </w:r>
      <w:r>
        <w:t xml:space="preserve"> en el hospital y también el hecho de tener colocados catéteres en el interior de vasos o prótesis. El tratamiento previo con antimicrobianos incrementa el peligro de contagio con una cepa resistente a ellos.</w:t>
      </w:r>
    </w:p>
    <w:p w14:paraId="17003E08" w14:textId="77777777" w:rsidR="00D03C17" w:rsidRDefault="00D03C17">
      <w:pPr>
        <w:pStyle w:val="BodyText"/>
        <w:spacing w:line="276" w:lineRule="auto"/>
        <w:ind w:firstLine="360"/>
      </w:pPr>
      <w:r>
        <w:rPr>
          <w:rFonts w:ascii="Arial" w:eastAsia="Arial" w:hAnsi="Arial" w:cs="Arial"/>
          <w:b/>
          <w:bCs/>
          <w:i/>
          <w:iCs/>
          <w:sz w:val="15"/>
          <w:szCs w:val="15"/>
        </w:rPr>
        <w:t>Colonización y enfermedad por</w:t>
      </w:r>
      <w:r>
        <w:rPr>
          <w:rFonts w:ascii="Arial" w:eastAsia="Arial" w:hAnsi="Arial" w:cs="Arial"/>
          <w:b/>
          <w:bCs/>
          <w:w w:val="70"/>
          <w:sz w:val="20"/>
          <w:szCs w:val="20"/>
        </w:rPr>
        <w:t xml:space="preserve"> Staphylococcus aureus. </w:t>
      </w:r>
      <w:r>
        <w:t xml:space="preserve">Las personas que son portadores nasales y cutáneos de </w:t>
      </w:r>
      <w:r>
        <w:rPr>
          <w:rFonts w:ascii="Times New Roman" w:eastAsia="Times New Roman" w:hAnsi="Times New Roman" w:cs="Times New Roman"/>
          <w:i/>
          <w:iCs/>
          <w:sz w:val="16"/>
          <w:szCs w:val="16"/>
        </w:rPr>
        <w:t>5. aureus</w:t>
      </w:r>
      <w:r>
        <w:t xml:space="preserve"> son los reservorios primarios del microorganismo. Los adultos que portan el estafilococo en sus vías nasales en el preoperatorio tienen mayor propensión a mostrar infecciones en el sitio operado después de operaciones de tipo general, en corazón, ortopédicas o trasplante de órganos sólidos, en comparación con personas que no son portadoras. La colonización cutánea intensa en el sitio de introducción constituye el elemento de mayor importancia que permite predecir las infecciones por catéteres, en el caso de catéteres percutáneos colocados por corto tiempo. Los individuos con colonización de la piel por el estafilococo, y que son sometidos a hemodiálisis, muestran una incidencia de bacteriemia en el acceso vascular seis veces mayor que las personas sin la colonización mencionada. Después de traumatismo craneoencefálico los adultos portadores nasales del estafilococo tienen más propensión a presenter neumonía por él, que los sujetos no colonizados.</w:t>
      </w:r>
    </w:p>
    <w:p w14:paraId="7F587BE3" w14:textId="77777777" w:rsidR="00D03C17" w:rsidRDefault="00D03C17">
      <w:pPr>
        <w:pStyle w:val="BodyText"/>
        <w:spacing w:line="276" w:lineRule="auto"/>
        <w:ind w:firstLine="360"/>
      </w:pPr>
      <w:r>
        <w:rPr>
          <w:rFonts w:ascii="Times New Roman" w:eastAsia="Times New Roman" w:hAnsi="Times New Roman" w:cs="Times New Roman"/>
          <w:i/>
          <w:iCs/>
          <w:sz w:val="16"/>
          <w:szCs w:val="16"/>
        </w:rPr>
        <w:t>5. aureus</w:t>
      </w:r>
      <w:r>
        <w:t xml:space="preserve"> resistente a meticilina en hospitales. </w:t>
      </w:r>
      <w:r>
        <w:rPr>
          <w:rFonts w:ascii="Times New Roman" w:eastAsia="Times New Roman" w:hAnsi="Times New Roman" w:cs="Times New Roman"/>
          <w:i/>
          <w:iCs/>
          <w:sz w:val="16"/>
          <w:szCs w:val="16"/>
        </w:rPr>
        <w:t>5. aureus</w:t>
      </w:r>
      <w:r>
        <w:t xml:space="preserve"> resistente a meticilina </w:t>
      </w:r>
      <w:r>
        <w:rPr>
          <w:i/>
          <w:iCs/>
        </w:rPr>
        <w:t>(</w:t>
      </w:r>
      <w:r>
        <w:rPr>
          <w:rFonts w:ascii="Times New Roman" w:eastAsia="Times New Roman" w:hAnsi="Times New Roman" w:cs="Times New Roman"/>
          <w:i/>
          <w:iCs/>
          <w:sz w:val="16"/>
          <w:szCs w:val="16"/>
        </w:rPr>
        <w:t>methicillin-resistant 5. aureus,</w:t>
      </w:r>
      <w:r>
        <w:t xml:space="preserve"> MRSA) es el que causa 40% de las infecciones nosocomiales por dicho microorganismo, en hospitales que tienen 500 camas o más. Las cepas de dicha variedad de estafilococo de origen nosocomial por lo común son resistentes a todos los antimicrobianos de tipo cefalosporina, y lactámicos beta resistentes a lactamasa beta </w:t>
      </w:r>
      <w:r>
        <w:rPr>
          <w:i/>
          <w:iCs/>
        </w:rPr>
        <w:t>(</w:t>
      </w:r>
      <w:r>
        <w:rPr>
          <w:rFonts w:ascii="Arial" w:eastAsia="Arial" w:hAnsi="Arial" w:cs="Arial"/>
          <w:i/>
          <w:iCs/>
        </w:rPr>
        <w:t>fi</w:t>
      </w:r>
      <w:r>
        <w:rPr>
          <w:i/>
          <w:iCs/>
        </w:rPr>
        <w:t>-</w:t>
      </w:r>
      <w:r>
        <w:rPr>
          <w:rFonts w:ascii="Times New Roman" w:eastAsia="Times New Roman" w:hAnsi="Times New Roman" w:cs="Times New Roman"/>
          <w:i/>
          <w:iCs/>
          <w:sz w:val="16"/>
          <w:szCs w:val="16"/>
        </w:rPr>
        <w:t>lactamase resistant</w:t>
      </w:r>
      <w:r>
        <w:rPr>
          <w:i/>
          <w:iCs/>
        </w:rPr>
        <w:t>,</w:t>
      </w:r>
      <w:r>
        <w:t xml:space="preserve"> BLR) y también a antimicrobianos de otras clases (resistencia a múltiples fármacos). Las cepas de estafilococos susceptibles a meticilina (MSSA) pueden mostrar heterogeneidad en cuanto a la resistencia a dicho antibiótico (véase “Métodos diagnósticos”, más adelante en este resumen). Dichas cepas heterogéneas o heterotípicas al parecer muestran susceptibilidad según las pruebas con discos. A pesar de ello, si se cultiva una cepa original en un medio que contiene meticilina, se advierten subpoblaciones resistentes, y cuando se cultivan estas últimas en medios sin meticilina siguen siendo mutantes resistentes estables o cambian a cepas susceptibles (resistencia heterogénea). Cuando se utilizan antimicrobianos resistentes a lactamasa beta para tratar infecciones causadas por estas cepas heterotípicas, los estafilococos MSSA son destruidos en tanto que no lo son los estafilococos MRSA y siguen proliferando.</w:t>
      </w:r>
    </w:p>
    <w:p w14:paraId="0095C282" w14:textId="77777777" w:rsidR="00D03C17" w:rsidRDefault="00D03C17">
      <w:pPr>
        <w:pStyle w:val="BodyText"/>
        <w:ind w:firstLine="360"/>
      </w:pPr>
      <w:r>
        <w:t>Entre los factores de riesgo de que surja el estado nasal de portador de estafilococos MRSA nosocomiales están hospitalización en los 12 meses anteriores; uso reciente de antimicrobianos (en los 60 días anteriores), hospitalización duradera, contacto frecuente con el entorno asistencial, tener dentro del cuerpo un catéter intravascular o una sonda endotraqueal; un mayor número de métodos quirúrgicos o el contacto frecuente con una persona que tenga uno o más de los factores de riesgo mencionados. Una vez que el niño sale del hospital, habrá que suponer que si tuvo colonización por MRSA la siga teniendo cuando sea hospitalizado de nuevo porque el estado de portador persiste durante años.</w:t>
      </w:r>
    </w:p>
    <w:p w14:paraId="0C539F44" w14:textId="77777777" w:rsidR="00D03C17" w:rsidRDefault="00D03C17">
      <w:pPr>
        <w:pStyle w:val="BodyText"/>
        <w:spacing w:line="276" w:lineRule="auto"/>
        <w:ind w:firstLine="360"/>
      </w:pPr>
      <w:r>
        <w:rPr>
          <w:rFonts w:ascii="Arial" w:eastAsia="Arial" w:hAnsi="Arial" w:cs="Arial"/>
          <w:b/>
          <w:bCs/>
          <w:i/>
          <w:iCs/>
          <w:sz w:val="15"/>
          <w:szCs w:val="15"/>
        </w:rPr>
        <w:t>Cepas epidémicas de MRSA.</w:t>
      </w:r>
      <w:r>
        <w:t xml:space="preserve"> Casi todas las infecciones nosocomiales por MRSA son resultado de la transmisión del microorganismo que tiene el propio paciente o cepas endémicas que llegan al enfermo por las manos de los profesionales asistenciales. En ocasiones se introducirá a la comunidad o a un entorno hospitalario, una cepa epidémica de MRSA; en dichos sitios se propagará rápidamente a pesar de las medidas que frenen la diseminación de las cepas no epidémicas. Es importante identificar estas cepas epidémicas de MRSA con el uso de electroforesis en gel con campo pulsado, porque la contención de las cepas epidémicas exige el cumplimiento estricto de las normas de erradicación de infecciones y también el refuerzo de las mismas.</w:t>
      </w:r>
    </w:p>
    <w:p w14:paraId="7F11A35B" w14:textId="77777777" w:rsidR="00D03C17" w:rsidRDefault="00D03C17">
      <w:pPr>
        <w:pStyle w:val="BodyText"/>
        <w:ind w:firstLine="360"/>
      </w:pPr>
      <w:r>
        <w:t>El estafilococo dorado resistente a meticilina y el que también tiene esta característica y que es coagulasa negativo son los que causan un número importante de infecciones nosocomiales. Es particularmente difícil combatir tales cepas, porque por lo regular son resistentes a múltiples fármacos y susceptibles predeciblemente sólo al clorhidrato de vancomicina.</w:t>
      </w:r>
    </w:p>
    <w:p w14:paraId="62B4D37A" w14:textId="77777777" w:rsidR="00D03C17" w:rsidRDefault="00D03C17">
      <w:pPr>
        <w:pStyle w:val="BodyText"/>
        <w:spacing w:line="276" w:lineRule="auto"/>
        <w:ind w:firstLine="360"/>
      </w:pPr>
      <w:r>
        <w:rPr>
          <w:rFonts w:ascii="Arial" w:eastAsia="Arial" w:hAnsi="Arial" w:cs="Arial"/>
          <w:b/>
          <w:bCs/>
          <w:i/>
          <w:iCs/>
          <w:sz w:val="15"/>
          <w:szCs w:val="15"/>
        </w:rPr>
        <w:t>MRSA de origen comunitario.</w:t>
      </w:r>
      <w:r>
        <w:t xml:space="preserve"> Las clonas peculiares de MRSA son las causantes con una frecuencia cada vez mayor de infecciones de origen comunitario en niños y adultos sanos sin los típicos factores de riesgo de las cepas de MRSA propias de los medios asistenciales. Los perfiles de susceptibilidad a antimicrobianos que presentan tales cepas son peculiares porque son resistentes a meticilina y oxacilina sódicas, pero no son resistentes a múltiples fármacos (susceptibilidad uniforme a trimetoprim-sulfametoxazol o sulfato de gentamicina). Se han aislado dichas cepas de origen comunitario en personas sin factores de riesgo de diversas ciudades, en centros de atención pediátrica y en sujetos en otros países.</w:t>
      </w:r>
    </w:p>
    <w:p w14:paraId="4E21E9D4" w14:textId="77777777" w:rsidR="00D03C17" w:rsidRDefault="00D03C17">
      <w:pPr>
        <w:pStyle w:val="BodyText"/>
        <w:ind w:firstLine="360"/>
      </w:pPr>
      <w:r>
        <w:t xml:space="preserve">Estafilococo dorado susceptible en grado intermedio a la vancomicina. En 48 adultos en Estados Unidos, de 1996 a 2001 se aislaron cepas de MRSA con susceptibilidad intermedia a la vancomicina (concentración inhibitoria mínima </w:t>
      </w:r>
      <w:r>
        <w:rPr>
          <w:i/>
          <w:iCs/>
        </w:rPr>
        <w:t>[</w:t>
      </w:r>
      <w:r>
        <w:rPr>
          <w:rFonts w:ascii="Times New Roman" w:eastAsia="Times New Roman" w:hAnsi="Times New Roman" w:cs="Times New Roman"/>
          <w:i/>
          <w:iCs/>
          <w:sz w:val="16"/>
          <w:szCs w:val="16"/>
        </w:rPr>
        <w:t>minimum inhibitory concentration</w:t>
      </w:r>
      <w:r>
        <w:rPr>
          <w:i/>
          <w:iCs/>
        </w:rPr>
        <w:t>,</w:t>
      </w:r>
      <w:r>
        <w:t xml:space="preserve"> MIC] mayor de 4 mg/ml y de 16 mg/ml o menos). Cada sujeto había sido sometido a ciclos múltiples con vancomicina contra una infección por MRSA. Algunas cepas de MRSA pueden mostrar heterogeneidad a la resistencia a la vancomicina semejante a MRSA y resistencia a la meticilina (véase “Métodos diagnósticos”, más adelante en este resumen). El uso extenso de vancomicina permite que proliferen las cepas con susceptibilidad intermedia a dicho antibiótico </w:t>
      </w:r>
      <w:r>
        <w:rPr>
          <w:i/>
          <w:iCs/>
        </w:rPr>
        <w:t>(</w:t>
      </w:r>
      <w:r>
        <w:rPr>
          <w:rFonts w:ascii="Times New Roman" w:eastAsia="Times New Roman" w:hAnsi="Times New Roman" w:cs="Times New Roman"/>
          <w:i/>
          <w:iCs/>
          <w:sz w:val="16"/>
          <w:szCs w:val="16"/>
        </w:rPr>
        <w:t>vancomycin-intermediately susceptible S. aureus,</w:t>
      </w:r>
      <w:r>
        <w:t xml:space="preserve"> VISA). Se han orientado medidas de erradicación rápida e intensivas para contener a las cepas de VISA y así evitar su propagación. Entre las medidas recomendadas por los </w:t>
      </w:r>
      <w:r>
        <w:rPr>
          <w:rFonts w:ascii="Times New Roman" w:eastAsia="Times New Roman" w:hAnsi="Times New Roman" w:cs="Times New Roman"/>
          <w:i/>
          <w:iCs/>
          <w:sz w:val="16"/>
          <w:szCs w:val="16"/>
        </w:rPr>
        <w:t>Centers for Disease Control and Prevention</w:t>
      </w:r>
      <w:r>
        <w:t xml:space="preserve"> (CDC) han estado los métodos diagnósticos rápidos para detectar VISA, estudios confirmatorios de las cepas aisladas; medidas para restringir el uso de vancomicina y medidas estrictas de erradicación de la infección en el caso del paciente y la institución infectados. A pesar de que son raros, se han señalado en Francia, España y Japón brotes de ataque de MRSA con menor susceptibilidad a la vancomicina y heterorresistencia. La transmisibilidad subsiste en la medida en que estén presenten y no desaparezcan las lesiones en el individuo portador.</w:t>
      </w:r>
    </w:p>
    <w:p w14:paraId="0614432F" w14:textId="77777777" w:rsidR="00D03C17" w:rsidRDefault="00D03C17">
      <w:pPr>
        <w:pStyle w:val="BodyText"/>
        <w:spacing w:line="276" w:lineRule="auto"/>
        <w:ind w:firstLine="360"/>
      </w:pPr>
      <w:r>
        <w:rPr>
          <w:rFonts w:ascii="Arial" w:eastAsia="Arial" w:hAnsi="Arial" w:cs="Arial"/>
          <w:b/>
          <w:bCs/>
          <w:i/>
          <w:iCs/>
          <w:sz w:val="15"/>
          <w:szCs w:val="15"/>
        </w:rPr>
        <w:t>Estafilococo dorado resistente a vancomicina.</w:t>
      </w:r>
      <w:r>
        <w:t xml:space="preserve"> En el año 2002 en Estados Unidos se identificaron dos cepas de estafilococo dorado resistente a vancomicina </w:t>
      </w:r>
      <w:r>
        <w:rPr>
          <w:i/>
          <w:iCs/>
        </w:rPr>
        <w:t>([</w:t>
      </w:r>
      <w:r>
        <w:rPr>
          <w:rFonts w:ascii="Times New Roman" w:eastAsia="Times New Roman" w:hAnsi="Times New Roman" w:cs="Times New Roman"/>
          <w:i/>
          <w:iCs/>
          <w:sz w:val="16"/>
          <w:szCs w:val="16"/>
        </w:rPr>
        <w:t>vancomycin- resistant S. aureus,</w:t>
      </w:r>
      <w:r>
        <w:t xml:space="preserve"> VRSA]; concentración inhibitoria mínima de 32 mg/ml o mayor) en adultos, en dos estados (uno de cada uno). Las directrices para determinar dichos microorganismos y evitar su propagación son semejantes a los recomendados en el caso de VISA. Es posible obtener directrices de la CDC para evitar la propagación de VRSA en la página </w:t>
      </w:r>
      <w:hyperlink r:id="rId379" w:history="1">
        <w:r>
          <w:t>www.cdc.gov/ncidod/hip/10_20.pdf</w:t>
        </w:r>
      </w:hyperlink>
      <w:r>
        <w:t>.</w:t>
      </w:r>
    </w:p>
    <w:p w14:paraId="52621B65" w14:textId="77777777" w:rsidR="00D03C17" w:rsidRDefault="00D03C17">
      <w:pPr>
        <w:pStyle w:val="BodyText"/>
        <w:spacing w:line="276" w:lineRule="auto"/>
        <w:ind w:firstLine="360"/>
      </w:pPr>
      <w:r>
        <w:rPr>
          <w:rFonts w:ascii="Arial" w:eastAsia="Arial" w:hAnsi="Arial" w:cs="Arial"/>
          <w:b/>
          <w:bCs/>
          <w:i/>
          <w:iCs/>
          <w:sz w:val="15"/>
          <w:szCs w:val="15"/>
        </w:rPr>
        <w:t>Estafilococos coagulasa negativos.</w:t>
      </w:r>
      <w:r>
        <w:t xml:space="preserve"> Los estafilococos recién mencionados habitan comúnmente en la piel y las membranas mucosas. Prácticamente todos los lactantes a los dos a cuatro días de vida muestran colonización en múltiples sitios. Especies diferentes colonizan zonas específicas del cuerpo. </w:t>
      </w:r>
      <w:r>
        <w:rPr>
          <w:rFonts w:ascii="Times New Roman" w:eastAsia="Times New Roman" w:hAnsi="Times New Roman" w:cs="Times New Roman"/>
          <w:i/>
          <w:iCs/>
          <w:sz w:val="16"/>
          <w:szCs w:val="16"/>
        </w:rPr>
        <w:t>Staphylococcus epidermidis</w:t>
      </w:r>
      <w:r>
        <w:t xml:space="preserve"> y </w:t>
      </w:r>
      <w:r>
        <w:rPr>
          <w:rFonts w:ascii="Times New Roman" w:eastAsia="Times New Roman" w:hAnsi="Times New Roman" w:cs="Times New Roman"/>
          <w:i/>
          <w:iCs/>
          <w:sz w:val="16"/>
          <w:szCs w:val="16"/>
        </w:rPr>
        <w:t>S. haemolyticus</w:t>
      </w:r>
      <w:r>
        <w:t xml:space="preserve"> aparecen con mayor frecuencia en zonas de la piel con numerosas glándulas apocrinas. En los últimos 20 años ha aumentado constantemente la frecuencia de infecciones nosocomiales por CoNS. Los lactantes y los niños en unidades de cuidado intensivo, incluidos los neonatos, tienen una mayor incidencia de infecciones en la corriente sanguínea por CoNS. Los estafilococos coagulasa negativos que colonizan la piel pueden ser introducidos en el momento de colocación de un dispositivo médico, a través de soluciones de continuidad de las membranas mucosas o la piel o durante la manipulación por catéteres. Con menor frecuencia transmiten el microorganismo profesionales asistenciales con colonización por CoNS del ambiente. Se desconoce la participación del entorno o de objetos inanimados en la transmisión de estafilococos coagulasa-negativos.</w:t>
      </w:r>
    </w:p>
    <w:p w14:paraId="18C1C9CF" w14:textId="77777777" w:rsidR="00D03C17" w:rsidRDefault="00D03C17">
      <w:pPr>
        <w:pStyle w:val="BodyText"/>
        <w:spacing w:line="276" w:lineRule="auto"/>
        <w:ind w:firstLine="360"/>
      </w:pPr>
      <w:r>
        <w:rPr>
          <w:rFonts w:ascii="Arial" w:eastAsia="Arial" w:hAnsi="Arial" w:cs="Arial"/>
          <w:b/>
          <w:bCs/>
          <w:i/>
          <w:iCs/>
          <w:sz w:val="15"/>
          <w:szCs w:val="15"/>
        </w:rPr>
        <w:t>CoNS resistente a meticilina.</w:t>
      </w:r>
      <w:r>
        <w:t xml:space="preserve"> Los estafilococos coagulasa negativos resistentes a meticilina (CoNS) son los que causan casi todas las infecciones nosocomiales por este tipo de microorganismo. Muchas de las cepas susceptibles a meticilina muestran resistencia heterogénea a dicho antibiótico, como se describió en el caso de MSSA. Las cepas resistentes a dicho antibiótico también lo son a todos los lactámicos beta incluidas cefalosporinas, y por lo común otros tipos de fármacos. Como se observa en el caso de MRSA, una vez que la cepas se tornan endémicas en un hospital es difícil erradicarlas o quizá imposible, incluso si se cumplen técnicas estrictas de erradicación de infecciones.</w:t>
      </w:r>
    </w:p>
    <w:p w14:paraId="5D67D50D" w14:textId="77777777" w:rsidR="00D03C17" w:rsidRDefault="00D03C17">
      <w:pPr>
        <w:pStyle w:val="BodyText"/>
        <w:spacing w:line="276" w:lineRule="auto"/>
        <w:ind w:firstLine="360"/>
      </w:pPr>
      <w:r>
        <w:rPr>
          <w:rFonts w:ascii="Arial" w:eastAsia="Arial" w:hAnsi="Arial" w:cs="Arial"/>
          <w:b/>
          <w:bCs/>
          <w:i/>
          <w:iCs/>
          <w:sz w:val="15"/>
          <w:szCs w:val="15"/>
        </w:rPr>
        <w:t>CoNS con susceptibilidad intermedia a vancomicina.</w:t>
      </w:r>
      <w:r>
        <w:t xml:space="preserve"> CoNS resistentes a meticilina pueden mostrar resistencia heterogénea a la vancomicina, como se describió en el caso de MRSA. El uso de vancomicina para combatir infecciones por CoNS resistentes a meticilina permite que surjan cepas con susceptibilidad intermedia a la vancomicina. Las infecciones causadas por tales cepas, aunque eran poco frecuentes, se han tornado cada vez más comunes. Entre ellas, las más resistentes son las infecciones causadas por </w:t>
      </w:r>
      <w:r>
        <w:rPr>
          <w:rFonts w:ascii="Times New Roman" w:eastAsia="Times New Roman" w:hAnsi="Times New Roman" w:cs="Times New Roman"/>
          <w:i/>
          <w:iCs/>
          <w:sz w:val="16"/>
          <w:szCs w:val="16"/>
        </w:rPr>
        <w:t>S. haemolyticus.</w:t>
      </w:r>
      <w:r>
        <w:t xml:space="preserve"> Para evitar o retrasar la aparición de resistencia en Estados Unidos, los CDC han publicado recomendaciones para el uso prudente de vancomicina (véase “Uso apropiado de antimicrobianos”, sección 4).</w:t>
      </w:r>
    </w:p>
    <w:p w14:paraId="73653F2B" w14:textId="77777777" w:rsidR="00D03C17" w:rsidRDefault="00D03C17">
      <w:pPr>
        <w:pStyle w:val="BodyText"/>
        <w:ind w:firstLine="360"/>
      </w:pPr>
      <w:r>
        <w:t xml:space="preserve">En el caso del síndrome de epidermólisis en neonatos mediada por toxinas el periodo de incubación suele ser de uno a 10 días. En lo que toca a otras infecciones por estafilococos, el periodo de incubación es variable. Puede surgir un periodo largo entre el hecho de infectarse con el microorganismo y el comienzo de la enfermedad. </w:t>
      </w:r>
      <w:r>
        <w:rPr>
          <w:b/>
          <w:bCs/>
        </w:rPr>
        <w:t>M</w:t>
      </w:r>
      <w:r>
        <w:rPr>
          <w:b/>
          <w:bCs/>
          <w:sz w:val="13"/>
          <w:szCs w:val="13"/>
        </w:rPr>
        <w:t>ÉTODOS DIAGNÓSTICOS</w:t>
      </w:r>
      <w:r>
        <w:rPr>
          <w:b/>
          <w:bCs/>
        </w:rPr>
        <w:t xml:space="preserve">: </w:t>
      </w:r>
      <w:r>
        <w:t>Los datos de frotis de material de las lesiones teñido con técnica de Gram pueden aportar pruebas provisionales de la infección. El aislamiento de los microorganismos en el cultivo de un líquido corporal que en otras circunstancias sería estéril es la prueba definitiva. El estafilococo dorado casi nunca es contaminante cuando se aísla de un cultivo de sangre. Aislar CoNS de un cultivo de sangre suele desecharse como “contaminante”. En un neonato, una persona inmunodeficiente o un paciente con una prótesis implantada, aislar repetidamente la misma cepa fenotípica de CoNS (con base en el estudio de antibioticogramas o susceptibilidad a antimicrobianos) en cultivos de la sangre, sugiere infección verdadera y los datos del genotipo refuerzan con mayor intensidad la presencia de la infección. En caso de bacteriemia por un catéter insertado, los cultivos cuantitativos de dicho dispositivo identificarán cinco a 10 veces más microorganismos que los cultivos de algún vaso sanguíneo periférico. Los criterios que pueden sugerir que CoNS es un patógeno y no un simple contaminante incluyen: 1) proliferación en término de 24 h; 2) múltiples cultivos de sangre positivos; 3) perfiles de susceptibilidad idénticos a los antimicrobianos en todos los microorganismos aislados; 4) signos clínicos de infección en el paciente; 5) catéter que ha estado tres días o más dentro de un vaso; y 6) resistencia de la cepa CoNS a múltiples fármacos, o genotipos similares o idénticos entre los gérmenes aislados.</w:t>
      </w:r>
    </w:p>
    <w:p w14:paraId="0E354099" w14:textId="77777777" w:rsidR="00D03C17" w:rsidRDefault="00D03C17">
      <w:pPr>
        <w:pStyle w:val="BodyText"/>
        <w:ind w:firstLine="360"/>
      </w:pPr>
      <w:r>
        <w:t>Es importante practicar métodos cuantitativos de susceptibilidad a antimicrobianos en todos los estafilococos incluidos los coagulasa-negativos aislados de sitios que normalmente son estériles. Algunas de las cepas de estafilococo de origen comunitario mostrarán resistencia a la meticilina y casi todas las cepas de estafilococo de origen nosocomial y más de 90% de CoNS del mismo origen mostrarán resistencia a la meticilina y a múltiples fármacos. Habrá que confirmar y definir con mayor exactitud la presencia de cepas de estafilococo dorado con MIC a la vancomicina de 4 pg/ml o mayor. Detectar VISA asume máxima importancia (cuadro 3-12).</w:t>
      </w:r>
    </w:p>
    <w:p w14:paraId="2BFBD752" w14:textId="77777777" w:rsidR="00D03C17" w:rsidRDefault="00D03C17">
      <w:pPr>
        <w:pStyle w:val="BodyText"/>
        <w:ind w:firstLine="360"/>
        <w:rPr>
          <w:sz w:val="16"/>
          <w:szCs w:val="16"/>
        </w:rPr>
      </w:pPr>
      <w:r>
        <w:t xml:space="preserve">Los estafilococos poseen algunos mecanismos que median la resistencia a antimicrobianos lactámicos beta. La enzima lactamasa beta desdobla las penicilinas que no son semisintéticas. La resistencia a penicilinas semisintéticas resistentes a lactamasa beta (BLR) es mediada por una nueva proteína parietal que se liga a la penicilina llamada PBP2a o PBP2' que muestran una menor afinidad por el antimicrobiano lactámico beta resistente a la lactamasa beta y que es codificado por el gen </w:t>
      </w:r>
      <w:r>
        <w:rPr>
          <w:rFonts w:ascii="Times New Roman" w:eastAsia="Times New Roman" w:hAnsi="Times New Roman" w:cs="Times New Roman"/>
          <w:i/>
          <w:iCs/>
          <w:sz w:val="16"/>
          <w:szCs w:val="16"/>
        </w:rPr>
        <w:t>mecA</w:t>
      </w:r>
      <w:r>
        <w:rPr>
          <w:i/>
          <w:iCs/>
        </w:rPr>
        <w:t>.</w:t>
      </w:r>
      <w:r>
        <w:t xml:space="preserve"> Las cepas de CoNS y de </w:t>
      </w:r>
      <w:r>
        <w:rPr>
          <w:rFonts w:ascii="Times New Roman" w:eastAsia="Times New Roman" w:hAnsi="Times New Roman" w:cs="Times New Roman"/>
          <w:i/>
          <w:iCs/>
          <w:sz w:val="16"/>
          <w:szCs w:val="16"/>
        </w:rPr>
        <w:t>5. aureus</w:t>
      </w:r>
      <w:r>
        <w:t xml:space="preserve"> aisladas de personas que portan el gen </w:t>
      </w:r>
      <w:r>
        <w:rPr>
          <w:rFonts w:ascii="Times New Roman" w:eastAsia="Times New Roman" w:hAnsi="Times New Roman" w:cs="Times New Roman"/>
          <w:i/>
          <w:iCs/>
          <w:sz w:val="16"/>
          <w:szCs w:val="16"/>
        </w:rPr>
        <w:t>mecA</w:t>
      </w:r>
      <w:r>
        <w:t xml:space="preserve"> varían ampliamente en su resistencia a la meticilina (MIC a la meticilina de 4 pg/ml o menos a 1 000 pg/ml o más) en cuanto al número de microorganismos con susceptibilidades diferentes y con base en los factores propios del cultivo. Se conoce al fenómeno anterior como resistencia heterogénea. Las cepas de CoNS y de estafilococo dorado con resistencia heterogénea son estables, en caso de no haber presión selectiva por parte de algunos antimicrobianos. Dichas cepas pueden comprender 10 a 15% de todas las cepas aisladas de CoNS o </w:t>
      </w:r>
      <w:r>
        <w:rPr>
          <w:rFonts w:ascii="Times New Roman" w:eastAsia="Times New Roman" w:hAnsi="Times New Roman" w:cs="Times New Roman"/>
          <w:i/>
          <w:iCs/>
          <w:sz w:val="16"/>
          <w:szCs w:val="16"/>
        </w:rPr>
        <w:t>5. aureus.</w:t>
      </w:r>
    </w:p>
    <w:p w14:paraId="77801EEE" w14:textId="77777777" w:rsidR="00D03C17" w:rsidRDefault="00D03C17">
      <w:pPr>
        <w:pStyle w:val="BodyText"/>
        <w:ind w:firstLine="360"/>
      </w:pPr>
      <w:r>
        <w:t xml:space="preserve">Los puntos límites de MIC en lo que toca a CoNS o </w:t>
      </w:r>
      <w:r>
        <w:rPr>
          <w:rFonts w:ascii="Times New Roman" w:eastAsia="Times New Roman" w:hAnsi="Times New Roman" w:cs="Times New Roman"/>
          <w:i/>
          <w:iCs/>
          <w:sz w:val="16"/>
          <w:szCs w:val="16"/>
        </w:rPr>
        <w:t>5. aureus</w:t>
      </w:r>
      <w:r>
        <w:t xml:space="preserve"> para meticilina se fijan con base en la presencia del gen </w:t>
      </w:r>
      <w:r>
        <w:rPr>
          <w:rFonts w:ascii="Times New Roman" w:eastAsia="Times New Roman" w:hAnsi="Times New Roman" w:cs="Times New Roman"/>
          <w:i/>
          <w:iCs/>
          <w:sz w:val="16"/>
          <w:szCs w:val="16"/>
        </w:rPr>
        <w:t>mecA</w:t>
      </w:r>
      <w:r>
        <w:t xml:space="preserve"> y en consecuencia, la capacidad de que el</w:t>
      </w:r>
    </w:p>
    <w:p w14:paraId="092F8EDE" w14:textId="77777777" w:rsidR="00D03C17" w:rsidRDefault="00D03C17">
      <w:pPr>
        <w:pStyle w:val="Heading31"/>
        <w:keepNext/>
        <w:keepLines/>
        <w:pBdr>
          <w:bottom w:val="single" w:sz="4" w:space="0" w:color="auto"/>
        </w:pBdr>
        <w:spacing w:after="400" w:line="211" w:lineRule="auto"/>
        <w:jc w:val="center"/>
      </w:pPr>
      <w:bookmarkStart w:id="317" w:name="bookmark1323"/>
      <w:bookmarkStart w:id="318" w:name="bookmark1324"/>
      <w:bookmarkStart w:id="319" w:name="bookmark1325"/>
      <w:r>
        <w:rPr>
          <w:b w:val="0"/>
          <w:bCs w:val="0"/>
        </w:rPr>
        <w:t xml:space="preserve">Cuadro 3-12. </w:t>
      </w:r>
      <w:r>
        <w:t>Recomendaciones para detectar y evitar la propagación</w:t>
      </w:r>
      <w:r>
        <w:br/>
        <w:t xml:space="preserve">de </w:t>
      </w:r>
      <w:r>
        <w:rPr>
          <w:i/>
          <w:iCs/>
        </w:rPr>
        <w:t>Staphylococcus aureus</w:t>
      </w:r>
      <w:r>
        <w:t xml:space="preserve"> con menor susceptibilidad a la vancomicina</w:t>
      </w:r>
      <w:r>
        <w:rPr>
          <w:vertAlign w:val="superscript"/>
        </w:rPr>
        <w:t>1</w:t>
      </w:r>
      <w:bookmarkEnd w:id="317"/>
      <w:bookmarkEnd w:id="318"/>
      <w:bookmarkEnd w:id="319"/>
    </w:p>
    <w:p w14:paraId="00889E9D" w14:textId="77777777" w:rsidR="00D03C17" w:rsidRDefault="00D03C17">
      <w:pPr>
        <w:pStyle w:val="Bodytext20"/>
        <w:jc w:val="both"/>
      </w:pPr>
      <w:r>
        <w:rPr>
          <w:b/>
          <w:bCs/>
        </w:rPr>
        <w:t>Estrategias para escoger cepas para practicar métodos adicionales</w:t>
      </w:r>
    </w:p>
    <w:p w14:paraId="143996D9" w14:textId="77777777" w:rsidR="00D03C17" w:rsidRDefault="00D03C17">
      <w:pPr>
        <w:pStyle w:val="Bodytext20"/>
        <w:numPr>
          <w:ilvl w:val="0"/>
          <w:numId w:val="95"/>
        </w:numPr>
        <w:tabs>
          <w:tab w:val="left" w:pos="282"/>
        </w:tabs>
        <w:ind w:left="300" w:hanging="300"/>
      </w:pPr>
      <w:bookmarkStart w:id="320" w:name="bookmark1326"/>
      <w:bookmarkEnd w:id="320"/>
      <w:r>
        <w:t xml:space="preserve">Escoger cepas con MIC de vancomicina de </w:t>
      </w:r>
      <w:r>
        <w:rPr>
          <w:sz w:val="20"/>
          <w:szCs w:val="20"/>
        </w:rPr>
        <w:t>&gt;</w:t>
      </w:r>
      <w:r>
        <w:t>4 pg/ml; ello se basa en la heterogeneidad de las cepas, porque los microorganismos con dichas MIC tienen subpoblaciones con MIC más altas. En infecciones por dichas cepas se han producido casos de ineficacia terapéutica con la vancomicina.</w:t>
      </w:r>
    </w:p>
    <w:p w14:paraId="005CC3F3" w14:textId="77777777" w:rsidR="00D03C17" w:rsidRDefault="00D03C17">
      <w:pPr>
        <w:pStyle w:val="Bodytext20"/>
        <w:numPr>
          <w:ilvl w:val="0"/>
          <w:numId w:val="95"/>
        </w:numPr>
        <w:tabs>
          <w:tab w:val="left" w:pos="282"/>
        </w:tabs>
        <w:ind w:left="300" w:hanging="300"/>
      </w:pPr>
      <w:bookmarkStart w:id="321" w:name="bookmark1327"/>
      <w:bookmarkEnd w:id="321"/>
      <w:r>
        <w:t xml:space="preserve">Escoger cepas con MIC de vancomicina de </w:t>
      </w:r>
      <w:r>
        <w:rPr>
          <w:sz w:val="20"/>
          <w:szCs w:val="20"/>
        </w:rPr>
        <w:t>&gt;</w:t>
      </w:r>
      <w:r>
        <w:t>8 pg/ml (basada en los límites fijados por el National Committee for Clinical Laboratory Standards</w:t>
      </w:r>
      <w:r>
        <w:rPr>
          <w:vertAlign w:val="superscript"/>
        </w:rPr>
        <w:footnoteReference w:id="28"/>
      </w:r>
      <w:r>
        <w:rPr>
          <w:vertAlign w:val="superscript"/>
        </w:rPr>
        <w:t xml:space="preserve"> </w:t>
      </w:r>
      <w:r>
        <w:rPr>
          <w:vertAlign w:val="superscript"/>
        </w:rPr>
        <w:footnoteReference w:id="29"/>
      </w:r>
      <w:r>
        <w:rPr>
          <w:vertAlign w:val="superscript"/>
        </w:rPr>
        <w:t xml:space="preserve"> </w:t>
      </w:r>
      <w:r>
        <w:rPr>
          <w:vertAlign w:val="superscript"/>
        </w:rPr>
        <w:footnoteReference w:id="30"/>
      </w:r>
      <w:r>
        <w:t>).</w:t>
      </w:r>
    </w:p>
    <w:p w14:paraId="01D5FA57" w14:textId="77777777" w:rsidR="00D03C17" w:rsidRDefault="00D03C17">
      <w:pPr>
        <w:pStyle w:val="Bodytext20"/>
        <w:numPr>
          <w:ilvl w:val="0"/>
          <w:numId w:val="95"/>
        </w:numPr>
        <w:tabs>
          <w:tab w:val="left" w:pos="282"/>
        </w:tabs>
        <w:ind w:left="300" w:hanging="300"/>
      </w:pPr>
      <w:bookmarkStart w:id="322" w:name="bookmark1328"/>
      <w:bookmarkEnd w:id="322"/>
      <w:r>
        <w:t>Escoger todas las cepas de estafilococo dorado resistentes a meticilina (MRSA); en todos los gérmenes identificados (estafilococos dorados) con menor susceptibilidad a la vancomicina han sido resistentes a la meticilina.</w:t>
      </w:r>
    </w:p>
    <w:p w14:paraId="08F18828" w14:textId="77777777" w:rsidR="00D03C17" w:rsidRDefault="00D03C17">
      <w:pPr>
        <w:pStyle w:val="Bodytext20"/>
        <w:numPr>
          <w:ilvl w:val="0"/>
          <w:numId w:val="95"/>
        </w:numPr>
        <w:tabs>
          <w:tab w:val="left" w:pos="282"/>
        </w:tabs>
        <w:ind w:left="300" w:hanging="300"/>
      </w:pPr>
      <w:bookmarkStart w:id="323" w:name="bookmark1329"/>
      <w:bookmarkEnd w:id="323"/>
      <w:r>
        <w:t>Escoger todas las cepas de estafilococo dorado; poco se sabe de la magnitud de la resistencia y por ello es posible que el estafilococo dorado pueda mostrar una menor susceptibilidad a la vancomicina.</w:t>
      </w:r>
    </w:p>
    <w:p w14:paraId="350114A4" w14:textId="77777777" w:rsidR="00D03C17" w:rsidRDefault="00D03C17">
      <w:pPr>
        <w:pStyle w:val="Bodytext20"/>
        <w:jc w:val="both"/>
      </w:pPr>
      <w:r>
        <w:rPr>
          <w:b/>
          <w:bCs/>
        </w:rPr>
        <w:t>Pruebas y confirmación:</w:t>
      </w:r>
    </w:p>
    <w:p w14:paraId="058196AC" w14:textId="77777777" w:rsidR="00D03C17" w:rsidRDefault="00D03C17">
      <w:pPr>
        <w:pStyle w:val="Bodytext20"/>
        <w:numPr>
          <w:ilvl w:val="0"/>
          <w:numId w:val="95"/>
        </w:numPr>
        <w:tabs>
          <w:tab w:val="left" w:pos="282"/>
        </w:tabs>
        <w:ind w:left="300" w:hanging="300"/>
        <w:jc w:val="both"/>
      </w:pPr>
      <w:bookmarkStart w:id="324" w:name="bookmark1330"/>
      <w:bookmarkEnd w:id="324"/>
      <w:r>
        <w:t xml:space="preserve">La práctica primaria de pruebas de </w:t>
      </w:r>
      <w:r>
        <w:rPr>
          <w:i/>
          <w:iCs/>
        </w:rPr>
        <w:t>S. aureus</w:t>
      </w:r>
      <w:r>
        <w:t xml:space="preserve"> y su cotejo con la vancomicina obliga a cumplir 24 h de incubación.</w:t>
      </w:r>
    </w:p>
    <w:p w14:paraId="577DF5B6" w14:textId="77777777" w:rsidR="00D03C17" w:rsidRDefault="00D03C17">
      <w:pPr>
        <w:pStyle w:val="Bodytext20"/>
        <w:numPr>
          <w:ilvl w:val="0"/>
          <w:numId w:val="95"/>
        </w:numPr>
        <w:tabs>
          <w:tab w:val="left" w:pos="282"/>
        </w:tabs>
        <w:ind w:left="300" w:hanging="300"/>
        <w:jc w:val="both"/>
      </w:pPr>
      <w:bookmarkStart w:id="325" w:name="bookmark1331"/>
      <w:bookmarkEnd w:id="325"/>
      <w:r>
        <w:t>La difusión en disco no es método aceptable para valorar la susceptibilidad del estafilococo dorado a la vancomicina. Ningunas de las cepas identificadas de VISA han sido detectadas por dicho método o podrían ser identificadas.</w:t>
      </w:r>
    </w:p>
    <w:p w14:paraId="16482DEC" w14:textId="77777777" w:rsidR="00D03C17" w:rsidRDefault="00D03C17">
      <w:pPr>
        <w:pStyle w:val="Bodytext20"/>
        <w:numPr>
          <w:ilvl w:val="0"/>
          <w:numId w:val="95"/>
        </w:numPr>
        <w:tabs>
          <w:tab w:val="left" w:pos="282"/>
        </w:tabs>
        <w:ind w:left="300" w:hanging="300"/>
        <w:jc w:val="both"/>
      </w:pPr>
      <w:bookmarkStart w:id="326" w:name="bookmark1332"/>
      <w:bookmarkEnd w:id="326"/>
      <w:r>
        <w:t>Habrá que utilizar un método de valoración de la susceptibilidad según MIC para confirmar los resultados de pruebas de vancomicina.</w:t>
      </w:r>
    </w:p>
    <w:p w14:paraId="6A16724D" w14:textId="77777777" w:rsidR="00D03C17" w:rsidRDefault="00D03C17">
      <w:pPr>
        <w:pStyle w:val="Bodytext20"/>
        <w:jc w:val="both"/>
      </w:pPr>
      <w:r>
        <w:rPr>
          <w:b/>
          <w:bCs/>
        </w:rPr>
        <w:t>Erradicación de la infección:</w:t>
      </w:r>
    </w:p>
    <w:p w14:paraId="7A2BDD52" w14:textId="77777777" w:rsidR="00D03C17" w:rsidRDefault="00D03C17">
      <w:pPr>
        <w:pStyle w:val="Bodytext20"/>
        <w:jc w:val="both"/>
      </w:pPr>
      <w:r>
        <w:t>Para llevar al mínimo la propagación o evitar la aparición de una cepa endémica:</w:t>
      </w:r>
    </w:p>
    <w:p w14:paraId="7FD67B76" w14:textId="77777777" w:rsidR="00D03C17" w:rsidRDefault="00D03C17">
      <w:pPr>
        <w:pStyle w:val="Bodytext20"/>
        <w:numPr>
          <w:ilvl w:val="0"/>
          <w:numId w:val="95"/>
        </w:numPr>
        <w:tabs>
          <w:tab w:val="left" w:pos="282"/>
        </w:tabs>
        <w:ind w:left="300" w:hanging="300"/>
      </w:pPr>
      <w:bookmarkStart w:id="327" w:name="bookmark1333"/>
      <w:bookmarkEnd w:id="327"/>
      <w:r>
        <w:t>Se aislará al niño en un cuarto privado y se comenzará la atención personalizada por parte de personal especificado, con el uso de precauciones para evitar la transmisión por contacto, que incluyan mascarillas.</w:t>
      </w:r>
    </w:p>
    <w:p w14:paraId="624B54A0" w14:textId="77777777" w:rsidR="00D03C17" w:rsidRDefault="00D03C17">
      <w:pPr>
        <w:pStyle w:val="Bodytext20"/>
        <w:numPr>
          <w:ilvl w:val="0"/>
          <w:numId w:val="95"/>
        </w:numPr>
        <w:tabs>
          <w:tab w:val="left" w:pos="282"/>
        </w:tabs>
        <w:ind w:left="300" w:hanging="300"/>
      </w:pPr>
      <w:bookmarkStart w:id="328" w:name="bookmark1334"/>
      <w:bookmarkEnd w:id="328"/>
      <w:r>
        <w:t>Se emprenderán estudios epidemiológicos y de laboratorio con el auxilio de los departamentos sanitarios estatales y los CDC (en Estados Unidos).</w:t>
      </w:r>
    </w:p>
    <w:p w14:paraId="7EFA7A94" w14:textId="77777777" w:rsidR="00D03C17" w:rsidRDefault="00D03C17">
      <w:pPr>
        <w:pStyle w:val="Bodytext20"/>
        <w:numPr>
          <w:ilvl w:val="0"/>
          <w:numId w:val="95"/>
        </w:numPr>
        <w:tabs>
          <w:tab w:val="left" w:pos="282"/>
        </w:tabs>
        <w:ind w:left="300" w:hanging="300"/>
      </w:pPr>
      <w:bookmarkStart w:id="329" w:name="bookmark1335"/>
      <w:bookmarkEnd w:id="329"/>
      <w:r>
        <w:t>Se señalará a los profesionales asistenciales las consecuencias epidemiológicas y los métodos necesarios para erradicar la infección.</w:t>
      </w:r>
    </w:p>
    <w:p w14:paraId="6A3D74A7" w14:textId="77777777" w:rsidR="00D03C17" w:rsidRDefault="00D03C17">
      <w:pPr>
        <w:pStyle w:val="Bodytext20"/>
        <w:numPr>
          <w:ilvl w:val="0"/>
          <w:numId w:val="95"/>
        </w:numPr>
        <w:tabs>
          <w:tab w:val="left" w:pos="282"/>
        </w:tabs>
        <w:ind w:left="300" w:hanging="300"/>
      </w:pPr>
      <w:bookmarkStart w:id="330" w:name="bookmark1336"/>
      <w:bookmarkEnd w:id="330"/>
      <w:r>
        <w:t>Se vigilarán y haran cumplir estrictamente las órdenes terapéuticas, que incluyan las precauciones para evitar la transmisión por contacto y otras medidas.</w:t>
      </w:r>
    </w:p>
    <w:p w14:paraId="52B1124B" w14:textId="77777777" w:rsidR="00D03C17" w:rsidRDefault="00D03C17">
      <w:pPr>
        <w:pStyle w:val="Bodytext20"/>
        <w:numPr>
          <w:ilvl w:val="0"/>
          <w:numId w:val="95"/>
        </w:numPr>
        <w:tabs>
          <w:tab w:val="left" w:pos="282"/>
        </w:tabs>
        <w:jc w:val="both"/>
      </w:pPr>
      <w:bookmarkStart w:id="331" w:name="bookmark1337"/>
      <w:bookmarkEnd w:id="331"/>
      <w:r>
        <w:t>Se harán como primera estrategia cultivos de material de manos y vías nasales en caso de:</w:t>
      </w:r>
    </w:p>
    <w:p w14:paraId="6E17A91A" w14:textId="77777777" w:rsidR="00D03C17" w:rsidRDefault="00D03C17">
      <w:pPr>
        <w:pStyle w:val="Bodytext20"/>
        <w:numPr>
          <w:ilvl w:val="0"/>
          <w:numId w:val="96"/>
        </w:numPr>
        <w:tabs>
          <w:tab w:val="left" w:pos="578"/>
        </w:tabs>
        <w:ind w:firstLine="300"/>
        <w:jc w:val="both"/>
      </w:pPr>
      <w:bookmarkStart w:id="332" w:name="bookmark1338"/>
      <w:bookmarkEnd w:id="332"/>
      <w:r>
        <w:t>Pacientes que en fecha reciente tuvieron contacto con otros pacientes con VISA</w:t>
      </w:r>
    </w:p>
    <w:p w14:paraId="1CBF2CD4" w14:textId="77777777" w:rsidR="00D03C17" w:rsidRDefault="00D03C17">
      <w:pPr>
        <w:pStyle w:val="Bodytext20"/>
        <w:numPr>
          <w:ilvl w:val="0"/>
          <w:numId w:val="96"/>
        </w:numPr>
        <w:tabs>
          <w:tab w:val="left" w:pos="578"/>
        </w:tabs>
        <w:ind w:firstLine="300"/>
        <w:jc w:val="both"/>
      </w:pPr>
      <w:bookmarkStart w:id="333" w:name="bookmark1339"/>
      <w:bookmarkEnd w:id="333"/>
      <w:r>
        <w:t>Profesionales asistenciales, en lo que toca a pacientes con VISA</w:t>
      </w:r>
    </w:p>
    <w:p w14:paraId="6D278785" w14:textId="77777777" w:rsidR="00D03C17" w:rsidRDefault="00D03C17">
      <w:pPr>
        <w:pStyle w:val="Bodytext20"/>
        <w:numPr>
          <w:ilvl w:val="0"/>
          <w:numId w:val="96"/>
        </w:numPr>
        <w:tabs>
          <w:tab w:val="left" w:pos="578"/>
        </w:tabs>
        <w:ind w:firstLine="300"/>
        <w:jc w:val="both"/>
      </w:pPr>
      <w:bookmarkStart w:id="334" w:name="bookmark1340"/>
      <w:bookmarkEnd w:id="334"/>
      <w:r>
        <w:t>Compañeros de cuarto de pacientes con VISA</w:t>
      </w:r>
    </w:p>
    <w:p w14:paraId="2086F699" w14:textId="77777777" w:rsidR="00D03C17" w:rsidRDefault="00D03C17">
      <w:pPr>
        <w:pStyle w:val="Bodytext20"/>
        <w:numPr>
          <w:ilvl w:val="0"/>
          <w:numId w:val="95"/>
        </w:numPr>
        <w:tabs>
          <w:tab w:val="left" w:pos="282"/>
        </w:tabs>
        <w:ind w:left="300" w:hanging="300"/>
      </w:pPr>
      <w:bookmarkStart w:id="335" w:name="bookmark1341"/>
      <w:bookmarkEnd w:id="335"/>
      <w:r>
        <w:t>Se valorará la eficacia de las precauciones por parte del personal de vigilancia en cuanto al contagio de VISA.</w:t>
      </w:r>
    </w:p>
    <w:p w14:paraId="74AF1A07" w14:textId="77777777" w:rsidR="00D03C17" w:rsidRDefault="00D03C17">
      <w:pPr>
        <w:pStyle w:val="Bodytext20"/>
        <w:numPr>
          <w:ilvl w:val="0"/>
          <w:numId w:val="95"/>
        </w:numPr>
        <w:pBdr>
          <w:bottom w:val="single" w:sz="4" w:space="0" w:color="auto"/>
        </w:pBdr>
        <w:tabs>
          <w:tab w:val="left" w:pos="282"/>
        </w:tabs>
        <w:ind w:left="300" w:hanging="300"/>
        <w:rPr>
          <w:sz w:val="19"/>
          <w:szCs w:val="19"/>
        </w:rPr>
      </w:pPr>
      <w:bookmarkStart w:id="336" w:name="bookmark1342"/>
      <w:bookmarkEnd w:id="336"/>
      <w:r>
        <w:t>Se consultará con el departamento sanitario estatal y los CDC antes de dar de alta, transferir al paciente, o ambas medidas, y se notificará a la institución o la unidad receptora de la presencia de VISA y de precauciones apropiadas.</w:t>
      </w:r>
      <w:r>
        <w:rPr>
          <w:vertAlign w:val="superscript"/>
        </w:rPr>
        <w:footnoteReference w:id="31"/>
      </w:r>
      <w:r>
        <w:t xml:space="preserve"> </w:t>
      </w:r>
      <w:r>
        <w:rPr>
          <w:rStyle w:val="BodyTextChar"/>
        </w:rPr>
        <w:t>microorganismo desarrolle resistencia a la meticilina. Sin embargo, la presencia del gen no es un elemento que prediga una medida exacta de la expresión gènica (susceptibilidad o resistencia).</w:t>
      </w:r>
    </w:p>
    <w:p w14:paraId="7C86858F" w14:textId="77777777" w:rsidR="00D03C17" w:rsidRDefault="00D03C17">
      <w:pPr>
        <w:pStyle w:val="BodyText"/>
        <w:ind w:firstLine="360"/>
      </w:pPr>
      <w:r>
        <w:t xml:space="preserve">Se desconoce el mecanismo de la resistencia intermedia de </w:t>
      </w:r>
      <w:r>
        <w:rPr>
          <w:rFonts w:ascii="Times New Roman" w:eastAsia="Times New Roman" w:hAnsi="Times New Roman" w:cs="Times New Roman"/>
          <w:i/>
          <w:iCs/>
          <w:sz w:val="16"/>
          <w:szCs w:val="16"/>
        </w:rPr>
        <w:t>5. aureus</w:t>
      </w:r>
      <w:r>
        <w:t xml:space="preserve"> o CoNS a la vancomicina. El estafilococo dorado y las cepas de CoNS con resistencia intermedia a la vancomicina muestran paredes engrosadas e irregulares, lentitud en la proliferación y alteración de la autólisis. La resistencia a la vancomicina pudiera depender de un número mayor de sitios de unión a dicho anticuerpo en la pared del germen que impediría su acceso a la membrana citoplásmica.</w:t>
      </w:r>
    </w:p>
    <w:p w14:paraId="4FBECB70" w14:textId="77777777" w:rsidR="00D03C17" w:rsidRDefault="00D03C17">
      <w:pPr>
        <w:pStyle w:val="BodyText"/>
        <w:ind w:firstLine="360"/>
      </w:pPr>
      <w:r>
        <w:t xml:space="preserve">El mètodo de genotipificación de cepas de estafilococo dorado y de CoNS se ha vuelto un complemento necesario para saber si algunos microorganismos aislados de un paciente o de diferentes enfermos son los mismos. La tècnica de tipificación puede facilitar la identificación del punto de origen, la extensión y el mecanismo de transmisión de un brote. La valoración de la susceptibilidad a antimicrobianos (antibioticograma) constituye el método que con mayor facilidad se practica para tipificar, por medio de una característica fenotípica. Otro mètodo fenotípico que puede emplearse es la enzimoelectroforesis de múltiples locus, pero se ha sabido que la electroforesis en gel con campo pulsado, que entraña tipificación por el genotipo, tiene una discriminación más fina para identificar microorganismos afines o similares. </w:t>
      </w:r>
      <w:r>
        <w:rPr>
          <w:b/>
          <w:bCs/>
        </w:rPr>
        <w:t>T</w:t>
      </w:r>
      <w:r>
        <w:rPr>
          <w:b/>
          <w:bCs/>
          <w:sz w:val="13"/>
          <w:szCs w:val="13"/>
        </w:rPr>
        <w:t>RATAMIENTO</w:t>
      </w:r>
      <w:r>
        <w:rPr>
          <w:b/>
          <w:bCs/>
        </w:rPr>
        <w:t xml:space="preserve">: </w:t>
      </w:r>
      <w:r>
        <w:t xml:space="preserve">Las infecciones graves por estafilococos obligan a la administración intravenosa de un antimicrobiano lactámico beta BLR, como la nafcilina o la oxacilina, porque casi todas las cepas de </w:t>
      </w:r>
      <w:r>
        <w:rPr>
          <w:rFonts w:ascii="Times New Roman" w:eastAsia="Times New Roman" w:hAnsi="Times New Roman" w:cs="Times New Roman"/>
          <w:i/>
          <w:iCs/>
          <w:sz w:val="16"/>
          <w:szCs w:val="16"/>
        </w:rPr>
        <w:t>5. aureus</w:t>
      </w:r>
      <w:r>
        <w:t xml:space="preserve"> en la comunidad o en los hospitales producen lactamasa beta y son resistentes a la penicilina y la ampicilina (cuadro 3-13). Algunos expertos consideran que es útil para el tratamiento, una vez que se tienen los datos de la susceptibilidad a antimicrobianos, la combinación de un lactámico beta/inhibidor de lactamasa beta, como la ampicilina-sulbactam sódico. Son eficaces las cefalosporinas de la primera o la segunda generación (cefazolina sódica o cefuroxima), vancomicina y clindamicina, pero son menos eficaces que las penicilinas lactámicas beta BLR. Las cefalosporinas de espectro expandido no tienen la misma actividad </w:t>
      </w:r>
      <w:r>
        <w:rPr>
          <w:rFonts w:ascii="Times New Roman" w:eastAsia="Times New Roman" w:hAnsi="Times New Roman" w:cs="Times New Roman"/>
          <w:i/>
          <w:iCs/>
          <w:sz w:val="16"/>
          <w:szCs w:val="16"/>
        </w:rPr>
        <w:t>in vitro</w:t>
      </w:r>
      <w:r>
        <w:t xml:space="preserve"> contra MSSA o CoNS, y algunas pueden ser ineficaces </w:t>
      </w:r>
      <w:r>
        <w:rPr>
          <w:rFonts w:ascii="Times New Roman" w:eastAsia="Times New Roman" w:hAnsi="Times New Roman" w:cs="Times New Roman"/>
          <w:i/>
          <w:iCs/>
          <w:sz w:val="16"/>
          <w:szCs w:val="16"/>
        </w:rPr>
        <w:t>in vivo.</w:t>
      </w:r>
      <w:r>
        <w:t xml:space="preserve"> Se recomienda usar una presentación parenteral de nafcilina u oxacilina, y no vancomicina para tratar las infecciones con MSSA y así llevar al mínimo la aparición de cepas resistentes a la vancomicina. Los niños alérgicos a la penicilina pueden recibir una cefalosporina de la primera o la segunda generaciones (si el paciente tampoco es alérgico a las cefalosporinas), o clindamicina o vancomicina.</w:t>
      </w:r>
    </w:p>
    <w:p w14:paraId="658F77B4" w14:textId="77777777" w:rsidR="00D03C17" w:rsidRDefault="00D03C17">
      <w:pPr>
        <w:pStyle w:val="BodyText"/>
        <w:ind w:firstLine="360"/>
      </w:pPr>
      <w:r>
        <w:t>En el caso de cepas de estafilococos de origen nosocomial resistentes a los antimicrobianos lactámicos beta BLR (como MRSA y CoNS resistentes a meticilina) se recomienda la vancomicina intravenosa para tratar infecciones graves. En el caso del tratamiento empírico de infecciones graves o letales, por MRSA de origen comunitario (sospechadas), la terapia inicial debe incluir vancomicina y un antimicrobiano lactámico beta BLR (como nafcilina u oxacilina). Hay que seleccionar los nuevos fármacos para uso ulterior por medio de los resultados de susceptibilidad a antimicrobianos. La clindamicina penetra en todos los tejidos adecuadamente, excepto el líquido cefalorraquídeo, y su eficacia quizá sea similar a la de la vancomicina en el caso de microorganismos susceptibles aislados de niños que tienen infecciones distintas de endocarditis, meningitis o ventriculitis (infección de la derivación ventriculoperitoneal).</w:t>
      </w:r>
    </w:p>
    <w:p w14:paraId="4BF0236F" w14:textId="77777777" w:rsidR="00D03C17" w:rsidRDefault="00D03C17">
      <w:pPr>
        <w:pStyle w:val="BodyText"/>
        <w:ind w:firstLine="360"/>
      </w:pPr>
      <w:r>
        <w:t xml:space="preserve">Pocas veces se han aislado cepas de estafilococo dorado con susceptibilidad intermedia a la vancomicina y cepas CoNS con la misma característica. En el caso de niños muy graves con el antecedente de infecciones recurrentes por MRSA o en pacientes en quienes es ineficaz la vancomicina y en que existe la posibilidad de ataque por cepas VISA, las medidas iniciales pueden incluir vancomicina y ampicilina- sulbactam o trimetoprim-sulfametoxazol con sulfato de gentamicina o sin él. En la persona alérgica a la penicilina cabe pensar en el uso de vancomicina, y además gentamicina, y trimetoprim-sulfametoxazol. Si los resultados de los antibioticogramas corroboran que existe resistencia a múltiples fármacos, cabe pensar en el uso de otros agentes como linezolida o quinupristina-dalfopristina. En el cuadro 3-13 se incluyen las opciones terapéuticas posibles respecto a tales microorganismos con base en los estudios </w:t>
      </w:r>
      <w:r>
        <w:rPr>
          <w:rFonts w:ascii="Times New Roman" w:eastAsia="Times New Roman" w:hAnsi="Times New Roman" w:cs="Times New Roman"/>
          <w:i/>
          <w:iCs/>
          <w:sz w:val="16"/>
          <w:szCs w:val="16"/>
        </w:rPr>
        <w:t>in vitro</w:t>
      </w:r>
      <w:r>
        <w:t xml:space="preserve"> y los escasos estudios clínicos asequibles.</w:t>
      </w:r>
    </w:p>
    <w:p w14:paraId="568C3A81" w14:textId="77777777" w:rsidR="00D03C17" w:rsidRDefault="00D03C17">
      <w:pPr>
        <w:pStyle w:val="BodyText"/>
        <w:ind w:firstLine="360"/>
      </w:pPr>
      <w:r>
        <w:t>Se puede agregar gentamicina o rifampicina al régimen antimicrobiano, según la gravedad y el sitio de la infección (endocarditis o meningitis). Surge resistencia rápidamente del microorganismo si se usa rifampicina como agente único. Si se combinan gentamicina o rifampicina con un lactámico beta BLR, suele surgir sinergia in vitro. Habrá que considerar la adición de gentamicina o rifampicina al régimen en caso de infecciones graves y en consulta con un infectólogo.</w:t>
      </w:r>
    </w:p>
    <w:p w14:paraId="5CAD5741" w14:textId="77777777" w:rsidR="00D03C17" w:rsidRDefault="00D03C17">
      <w:pPr>
        <w:pStyle w:val="BodyText"/>
        <w:ind w:firstLine="360"/>
      </w:pPr>
      <w:r>
        <w:t xml:space="preserve">En lo que toca a cepas VISA, se ha obtenido sinergia </w:t>
      </w:r>
      <w:r>
        <w:rPr>
          <w:rFonts w:ascii="Times New Roman" w:eastAsia="Times New Roman" w:hAnsi="Times New Roman" w:cs="Times New Roman"/>
          <w:i/>
          <w:iCs/>
          <w:sz w:val="16"/>
          <w:szCs w:val="16"/>
        </w:rPr>
        <w:t>in vitro</w:t>
      </w:r>
      <w:r>
        <w:t xml:space="preserve"> y eficacia en los modelos de endocarditis en conejo con las combinaciones de vancomicina y nafcilina u oxacilina, o de vancomicina y además ampicilina-sulbactam. En todas las situaciones habrá que llevar al mínimo el uso de vancomicina para que no surjan cepas de estafilococos con resistencia intermedia a ella, a partir de otras cepas heterorresistentes de </w:t>
      </w:r>
      <w:r>
        <w:rPr>
          <w:rFonts w:ascii="Times New Roman" w:eastAsia="Times New Roman" w:hAnsi="Times New Roman" w:cs="Times New Roman"/>
          <w:i/>
          <w:iCs/>
          <w:sz w:val="16"/>
          <w:szCs w:val="16"/>
        </w:rPr>
        <w:t>5. aureus</w:t>
      </w:r>
      <w:r>
        <w:t xml:space="preserve"> resistente a meticilina.</w:t>
      </w:r>
    </w:p>
    <w:p w14:paraId="00F94424" w14:textId="77777777" w:rsidR="00D03C17" w:rsidRDefault="00D03C17">
      <w:pPr>
        <w:pStyle w:val="BodyText"/>
        <w:ind w:firstLine="360"/>
      </w:pPr>
      <w:r>
        <w:t>La duración del tratamiento en caso de infecciones graves por estafilococo dorado depende del sitio y gravedad de la infección, pero por lo común es de cuatro semanas o más. Después de que hay mejoría inicial con la terapia parenteral, habrá que pensar en completar el ciclo recomendado con antimicrobianos a base de un fármaco ingerible si existe seguridad de que se cumplirán las órdenes terapéuticas y se descarta endocarditis. También hay que pensar en la medición seriada de las concentraciones del antimicrobiano en la sangre. En lo que toca a la endocarditis se recomienda que todo el tratamiento sea parenteral. Es conveniente el drenaje de abscesos y la extracción de cuerpos extraños, y casi siempre es una medida necesaria.</w:t>
      </w:r>
    </w:p>
    <w:p w14:paraId="75B7BF4A" w14:textId="77777777" w:rsidR="00D03C17" w:rsidRDefault="00D03C17">
      <w:pPr>
        <w:pStyle w:val="BodyText"/>
        <w:ind w:firstLine="360"/>
      </w:pPr>
      <w:r>
        <w:t xml:space="preserve">El síndrome de dermatitis exfoliativa estafilocócica en lactantes debe tratarse con un lactámico beta BLR parenteral. Cabe pensar en el uso de agentes ingeribles en niños de mayor edad según la gravedad del cuadro. Las infecciones de la piel y partes blandas, como el impétigo o la celulitis atribuible a </w:t>
      </w:r>
      <w:r>
        <w:rPr>
          <w:rFonts w:ascii="Times New Roman" w:eastAsia="Times New Roman" w:hAnsi="Times New Roman" w:cs="Times New Roman"/>
          <w:i/>
          <w:iCs/>
          <w:sz w:val="16"/>
          <w:szCs w:val="16"/>
        </w:rPr>
        <w:t>5. aureus,</w:t>
      </w:r>
      <w:r>
        <w:t xml:space="preserve"> pueden ser tratadas con lactámicos beta ingeribles resistentes a penicilinasa como cloxacilina, dicloxacilina o cefalosporinas de la primera o la segunda generaciones. En el caso del niño alérgico a la penicilina es posible recurrir a trimetoprim-sulfametoxazol o clindamicina. En las lesiones cutáneas superficiales y localizadas puede bastar la aplicación de un antimicrobiano como mupirocina o bacitracina zinc y las medidas de higiene local.</w:t>
      </w:r>
    </w:p>
    <w:p w14:paraId="25326C27" w14:textId="77777777" w:rsidR="00D03C17" w:rsidRDefault="00D03C17">
      <w:pPr>
        <w:pStyle w:val="BodyText"/>
        <w:ind w:firstLine="360"/>
        <w:sectPr w:rsidR="00D03C17" w:rsidSect="00D03C17">
          <w:headerReference w:type="even" r:id="rId380"/>
          <w:headerReference w:type="default" r:id="rId381"/>
          <w:footerReference w:type="even" r:id="rId382"/>
          <w:footerReference w:type="default" r:id="rId383"/>
          <w:footnotePr>
            <w:numFmt w:val="chicago"/>
          </w:footnotePr>
          <w:pgSz w:w="8501" w:h="13022"/>
          <w:pgMar w:top="898" w:right="798" w:bottom="504" w:left="816" w:header="0" w:footer="3" w:gutter="0"/>
          <w:pgNumType w:start="309"/>
          <w:cols w:space="720"/>
          <w:noEndnote/>
          <w:docGrid w:linePitch="360"/>
          <w15:footnoteColumns w:val="1"/>
        </w:sectPr>
      </w:pPr>
      <w:r>
        <w:t xml:space="preserve">La duración del tratamiento en el caso de infecciones de catéteres y vena central es punto de controversia y depende de considerar diversos factores como sería el tipo de microorganismos </w:t>
      </w:r>
      <w:r>
        <w:rPr>
          <w:rFonts w:ascii="Times New Roman" w:eastAsia="Times New Roman" w:hAnsi="Times New Roman" w:cs="Times New Roman"/>
          <w:i/>
          <w:iCs/>
          <w:sz w:val="16"/>
          <w:szCs w:val="16"/>
        </w:rPr>
        <w:t>5. aureus</w:t>
      </w:r>
      <w:r>
        <w:t xml:space="preserve"> en comparación con CoNS, el tipo y sitio en que está el catéter; el sitio de la infección (el sitio de salida en comparación con el túnel, en comparación con bacteriemia); la posibilidad de utilizar otro vaso sanguíneo en fecha ulterior, y la presencia o ausencia de un trombo por la presencia del catéter. Es más difícil tratar las infecciones cuando se acompañan de un trombo, de tromboflebitis o de un trombo intraauricular. Si es posible extraer el catéter, no existe un trombo demostrable y la bacteriemia se resuelve</w:t>
      </w:r>
    </w:p>
    <w:p w14:paraId="1A6BD356" w14:textId="77777777" w:rsidR="00D03C17" w:rsidRDefault="00D03C17">
      <w:pPr>
        <w:pStyle w:val="Heading41"/>
        <w:keepNext/>
        <w:keepLines/>
        <w:framePr w:w="1291" w:h="298" w:wrap="none" w:hAnchor="page" w:x="683" w:y="582"/>
        <w:pBdr>
          <w:top w:val="single" w:sz="0" w:space="0" w:color="231F20"/>
          <w:left w:val="single" w:sz="0" w:space="0" w:color="231F20"/>
          <w:bottom w:val="single" w:sz="0" w:space="0" w:color="231F20"/>
          <w:right w:val="single" w:sz="0" w:space="0" w:color="231F20"/>
        </w:pBdr>
        <w:shd w:val="clear" w:color="auto" w:fill="231F20"/>
      </w:pPr>
      <w:bookmarkStart w:id="337" w:name="bookmark1343"/>
      <w:bookmarkStart w:id="338" w:name="bookmark1344"/>
      <w:bookmarkStart w:id="339" w:name="bookmark1345"/>
      <w:r>
        <w:rPr>
          <w:color w:val="FFFFFF"/>
        </w:rPr>
        <w:t>Susceptibilidad</w:t>
      </w:r>
      <w:bookmarkEnd w:id="337"/>
      <w:bookmarkEnd w:id="338"/>
      <w:bookmarkEnd w:id="339"/>
    </w:p>
    <w:p w14:paraId="35974270" w14:textId="77777777" w:rsidR="00D03C17" w:rsidRDefault="00D03C17">
      <w:pPr>
        <w:pStyle w:val="Heading31"/>
        <w:keepNext/>
        <w:keepLines/>
        <w:framePr w:w="6288" w:h="557" w:wrap="none" w:hAnchor="page" w:x="3207" w:y="1"/>
        <w:spacing w:line="211" w:lineRule="auto"/>
        <w:jc w:val="center"/>
      </w:pPr>
      <w:bookmarkStart w:id="340" w:name="bookmark1346"/>
      <w:bookmarkStart w:id="341" w:name="bookmark1347"/>
      <w:bookmarkStart w:id="342" w:name="bookmark1348"/>
      <w:r>
        <w:rPr>
          <w:b w:val="0"/>
          <w:bCs w:val="0"/>
        </w:rPr>
        <w:t xml:space="preserve">Cuadro 3-13. </w:t>
      </w:r>
      <w:r>
        <w:t>Antimicrobianos parenterales para tratar la bacteriemia</w:t>
      </w:r>
      <w:r>
        <w:br/>
        <w:t xml:space="preserve">y otras infecciones graves por </w:t>
      </w:r>
      <w:r>
        <w:rPr>
          <w:i/>
          <w:iCs/>
        </w:rPr>
        <w:t>Staphylococcus aureus</w:t>
      </w:r>
      <w:bookmarkEnd w:id="340"/>
      <w:bookmarkEnd w:id="341"/>
      <w:bookmarkEnd w:id="342"/>
    </w:p>
    <w:p w14:paraId="06DCA55F" w14:textId="77777777" w:rsidR="00D03C17" w:rsidRDefault="00D03C17">
      <w:pPr>
        <w:pStyle w:val="Heading41"/>
        <w:keepNext/>
        <w:keepLines/>
        <w:framePr w:w="1378" w:h="298" w:wrap="none" w:hAnchor="page" w:x="3495" w:y="582"/>
        <w:pBdr>
          <w:top w:val="single" w:sz="0" w:space="0" w:color="231F20"/>
          <w:left w:val="single" w:sz="0" w:space="0" w:color="231F20"/>
          <w:bottom w:val="single" w:sz="0" w:space="0" w:color="231F20"/>
          <w:right w:val="single" w:sz="0" w:space="0" w:color="231F20"/>
        </w:pBdr>
        <w:shd w:val="clear" w:color="auto" w:fill="231F20"/>
      </w:pPr>
      <w:bookmarkStart w:id="343" w:name="bookmark1349"/>
      <w:bookmarkStart w:id="344" w:name="bookmark1350"/>
      <w:bookmarkStart w:id="345" w:name="bookmark1351"/>
      <w:r>
        <w:rPr>
          <w:color w:val="FFFFFF"/>
        </w:rPr>
        <w:t>Antimicrobianos</w:t>
      </w:r>
      <w:bookmarkEnd w:id="343"/>
      <w:bookmarkEnd w:id="344"/>
      <w:bookmarkEnd w:id="345"/>
    </w:p>
    <w:p w14:paraId="59C0E974" w14:textId="77777777" w:rsidR="00D03C17" w:rsidRDefault="00D03C17">
      <w:pPr>
        <w:pStyle w:val="Heading41"/>
        <w:keepNext/>
        <w:keepLines/>
        <w:framePr w:w="1075" w:h="298" w:wrap="none" w:hAnchor="page" w:x="6918" w:y="582"/>
        <w:pBdr>
          <w:top w:val="single" w:sz="0" w:space="0" w:color="231F20"/>
          <w:left w:val="single" w:sz="0" w:space="0" w:color="231F20"/>
          <w:bottom w:val="single" w:sz="0" w:space="0" w:color="231F20"/>
          <w:right w:val="single" w:sz="0" w:space="0" w:color="231F20"/>
        </w:pBdr>
        <w:shd w:val="clear" w:color="auto" w:fill="231F20"/>
      </w:pPr>
      <w:bookmarkStart w:id="346" w:name="bookmark1352"/>
      <w:bookmarkStart w:id="347" w:name="bookmark1353"/>
      <w:bookmarkStart w:id="348" w:name="bookmark1354"/>
      <w:r>
        <w:rPr>
          <w:color w:val="FFFFFF"/>
        </w:rPr>
        <w:t>Comentarios</w:t>
      </w:r>
      <w:bookmarkEnd w:id="346"/>
      <w:bookmarkEnd w:id="347"/>
      <w:bookmarkEnd w:id="348"/>
    </w:p>
    <w:p w14:paraId="58C8ECF8" w14:textId="77777777" w:rsidR="00D03C17" w:rsidRDefault="00D03C17">
      <w:pPr>
        <w:pStyle w:val="Bodytext20"/>
        <w:framePr w:w="2578" w:h="893" w:wrap="none" w:hAnchor="page" w:x="683" w:y="947"/>
      </w:pPr>
      <w:r>
        <w:t>I. Terapia empírica inicial</w:t>
      </w:r>
    </w:p>
    <w:p w14:paraId="2F37BA2A" w14:textId="77777777" w:rsidR="00D03C17" w:rsidRDefault="00D03C17">
      <w:pPr>
        <w:pStyle w:val="Bodytext20"/>
        <w:framePr w:w="2578" w:h="893" w:wrap="none" w:hAnchor="page" w:x="683" w:y="947"/>
        <w:ind w:left="360"/>
      </w:pPr>
      <w:r>
        <w:t>(se desconoce la susceptibilidad del microorganismo)</w:t>
      </w:r>
    </w:p>
    <w:p w14:paraId="07EDAF75" w14:textId="77777777" w:rsidR="00D03C17" w:rsidRDefault="00D03C17">
      <w:pPr>
        <w:pStyle w:val="Bodytext20"/>
        <w:framePr w:w="2578" w:h="893" w:wrap="none" w:hAnchor="page" w:x="683" w:y="947"/>
        <w:ind w:firstLine="220"/>
      </w:pPr>
      <w:r>
        <w:t>Fármacos más indicados:</w:t>
      </w:r>
    </w:p>
    <w:p w14:paraId="4470D8F2" w14:textId="77777777" w:rsidR="00D03C17" w:rsidRDefault="00D03C17">
      <w:pPr>
        <w:pStyle w:val="Bodytext20"/>
        <w:framePr w:w="2707" w:h="2155" w:wrap="none" w:hAnchor="page" w:x="3462" w:y="1595"/>
        <w:numPr>
          <w:ilvl w:val="0"/>
          <w:numId w:val="97"/>
        </w:numPr>
        <w:tabs>
          <w:tab w:val="left" w:pos="149"/>
        </w:tabs>
        <w:spacing w:line="240" w:lineRule="auto"/>
      </w:pPr>
      <w:bookmarkStart w:id="349" w:name="bookmark1355"/>
      <w:bookmarkEnd w:id="349"/>
      <w:r>
        <w:t>Vancomicina + nafcilina u oxacilina</w:t>
      </w:r>
    </w:p>
    <w:p w14:paraId="383F93A8" w14:textId="77777777" w:rsidR="00D03C17" w:rsidRDefault="00D03C17">
      <w:pPr>
        <w:pStyle w:val="Bodytext20"/>
        <w:framePr w:w="2707" w:h="2155" w:wrap="none" w:hAnchor="page" w:x="3462" w:y="1595"/>
        <w:spacing w:after="440" w:line="240" w:lineRule="auto"/>
        <w:ind w:firstLine="160"/>
      </w:pPr>
      <w:r>
        <w:t>± gentamicina</w:t>
      </w:r>
    </w:p>
    <w:p w14:paraId="7A106267" w14:textId="77777777" w:rsidR="00D03C17" w:rsidRDefault="00D03C17">
      <w:pPr>
        <w:pStyle w:val="Bodytext20"/>
        <w:framePr w:w="2707" w:h="2155" w:wrap="none" w:hAnchor="page" w:x="3462" w:y="1595"/>
        <w:numPr>
          <w:ilvl w:val="0"/>
          <w:numId w:val="97"/>
        </w:numPr>
        <w:tabs>
          <w:tab w:val="left" w:pos="110"/>
        </w:tabs>
        <w:spacing w:after="440" w:line="240" w:lineRule="auto"/>
      </w:pPr>
      <w:bookmarkStart w:id="350" w:name="bookmark1356"/>
      <w:bookmarkEnd w:id="350"/>
      <w:r>
        <w:t>Nafcilina u oxacilina</w:t>
      </w:r>
      <w:r>
        <w:rPr>
          <w:vertAlign w:val="superscript"/>
        </w:rPr>
        <w:t>1</w:t>
      </w:r>
    </w:p>
    <w:p w14:paraId="619C0978" w14:textId="77777777" w:rsidR="00D03C17" w:rsidRDefault="00D03C17">
      <w:pPr>
        <w:pStyle w:val="Bodytext20"/>
        <w:framePr w:w="2707" w:h="2155" w:wrap="none" w:hAnchor="page" w:x="3462" w:y="1595"/>
        <w:numPr>
          <w:ilvl w:val="0"/>
          <w:numId w:val="97"/>
        </w:numPr>
        <w:tabs>
          <w:tab w:val="left" w:pos="120"/>
        </w:tabs>
        <w:spacing w:after="240" w:line="240" w:lineRule="auto"/>
      </w:pPr>
      <w:bookmarkStart w:id="351" w:name="bookmark1357"/>
      <w:bookmarkEnd w:id="351"/>
      <w:r>
        <w:t>Clindamicina</w:t>
      </w:r>
    </w:p>
    <w:p w14:paraId="3A242AC5" w14:textId="77777777" w:rsidR="00D03C17" w:rsidRDefault="00D03C17">
      <w:pPr>
        <w:pStyle w:val="Bodytext20"/>
        <w:framePr w:w="2707" w:h="2155" w:wrap="none" w:hAnchor="page" w:x="3462" w:y="1595"/>
        <w:numPr>
          <w:ilvl w:val="0"/>
          <w:numId w:val="97"/>
        </w:numPr>
        <w:tabs>
          <w:tab w:val="left" w:pos="101"/>
        </w:tabs>
        <w:spacing w:after="340" w:line="240" w:lineRule="auto"/>
      </w:pPr>
      <w:bookmarkStart w:id="352" w:name="bookmark1358"/>
      <w:bookmarkEnd w:id="352"/>
      <w:r>
        <w:t>Vancomicina</w:t>
      </w:r>
    </w:p>
    <w:p w14:paraId="188989CE" w14:textId="77777777" w:rsidR="00D03C17" w:rsidRDefault="00D03C17">
      <w:pPr>
        <w:pStyle w:val="Bodytext20"/>
        <w:framePr w:w="5165" w:h="2189" w:wrap="none" w:hAnchor="page" w:x="6831" w:y="1595"/>
        <w:ind w:left="160" w:hanging="160"/>
      </w:pPr>
      <w:r>
        <w:t>En el caso de infecciones letales (como septicemia, endocarditis, osteomielitis, piartrosis, neumonía o meningitis), se puede agregar ampicilina-sulbactam si la persona ha recibido en fecha reciente varios ciclos con vancomicina</w:t>
      </w:r>
    </w:p>
    <w:p w14:paraId="6F786D30" w14:textId="77777777" w:rsidR="00D03C17" w:rsidRDefault="00D03C17">
      <w:pPr>
        <w:pStyle w:val="Bodytext20"/>
        <w:framePr w:w="5165" w:h="2189" w:wrap="none" w:hAnchor="page" w:x="6831" w:y="1595"/>
        <w:ind w:left="160" w:hanging="160"/>
      </w:pPr>
      <w:r>
        <w:t>En infecciones no letales sin signos de sepsis (como infecciones de la piel, celulitis, osteomielitis o piartrosis) cuando son pequeños los índices de colonización por MRSA e infección en la comunidad</w:t>
      </w:r>
    </w:p>
    <w:p w14:paraId="7A01C3F8" w14:textId="77777777" w:rsidR="00D03C17" w:rsidRDefault="00D03C17">
      <w:pPr>
        <w:pStyle w:val="Bodytext20"/>
        <w:framePr w:w="5165" w:h="2189" w:wrap="none" w:hAnchor="page" w:x="6831" w:y="1595"/>
        <w:ind w:left="160" w:hanging="160"/>
      </w:pPr>
      <w:r>
        <w:t>En el caso de infecciones no letales sin signos de sepsis si son grandes los índices de colonización o infección por MRSA en la comunidad</w:t>
      </w:r>
    </w:p>
    <w:p w14:paraId="30C7F2E9" w14:textId="77777777" w:rsidR="00D03C17" w:rsidRDefault="00D03C17">
      <w:pPr>
        <w:pStyle w:val="Bodytext20"/>
        <w:framePr w:w="5165" w:h="2189" w:wrap="none" w:hAnchor="page" w:x="6831" w:y="1595"/>
        <w:jc w:val="both"/>
      </w:pPr>
      <w:r>
        <w:t>En el caso de infecciones nosocomiales que no son letales</w:t>
      </w:r>
    </w:p>
    <w:p w14:paraId="01BEAB31" w14:textId="77777777" w:rsidR="00D03C17" w:rsidRDefault="00D03C17">
      <w:pPr>
        <w:pStyle w:val="Bodytext20"/>
        <w:framePr w:w="2429" w:h="1123" w:wrap="none" w:hAnchor="page" w:x="683" w:y="3755"/>
        <w:ind w:left="300" w:hanging="300"/>
      </w:pPr>
      <w:r>
        <w:t xml:space="preserve">II. </w:t>
      </w:r>
      <w:r>
        <w:rPr>
          <w:i/>
          <w:iCs/>
        </w:rPr>
        <w:t>S. aureus</w:t>
      </w:r>
      <w:r>
        <w:t xml:space="preserve"> susceptible a la meticilina y resistente a la penicilina (MSSA)</w:t>
      </w:r>
    </w:p>
    <w:p w14:paraId="0ABA226A" w14:textId="77777777" w:rsidR="00D03C17" w:rsidRDefault="00D03C17">
      <w:pPr>
        <w:pStyle w:val="Bodytext20"/>
        <w:framePr w:w="2429" w:h="1123" w:wrap="none" w:hAnchor="page" w:x="683" w:y="3755"/>
        <w:ind w:firstLine="220"/>
      </w:pPr>
      <w:r>
        <w:t>Fármacos más indicados:</w:t>
      </w:r>
    </w:p>
    <w:p w14:paraId="21C6E50C" w14:textId="77777777" w:rsidR="00D03C17" w:rsidRDefault="00D03C17">
      <w:pPr>
        <w:pStyle w:val="Bodytext20"/>
        <w:framePr w:w="2429" w:h="1123" w:wrap="none" w:hAnchor="page" w:x="683" w:y="3755"/>
        <w:ind w:firstLine="220"/>
      </w:pPr>
      <w:r>
        <w:t>Otros fármacos útiles:</w:t>
      </w:r>
    </w:p>
    <w:p w14:paraId="664DD218" w14:textId="77777777" w:rsidR="00D03C17" w:rsidRDefault="00D03C17">
      <w:pPr>
        <w:pStyle w:val="Bodytext20"/>
        <w:framePr w:w="1819" w:h="1109" w:wrap="none" w:hAnchor="page" w:x="3462" w:y="4407"/>
        <w:numPr>
          <w:ilvl w:val="0"/>
          <w:numId w:val="98"/>
        </w:numPr>
        <w:tabs>
          <w:tab w:val="left" w:pos="110"/>
        </w:tabs>
        <w:spacing w:line="240" w:lineRule="auto"/>
      </w:pPr>
      <w:bookmarkStart w:id="353" w:name="bookmark1359"/>
      <w:bookmarkEnd w:id="353"/>
      <w:r>
        <w:t>Nafcilina u oxacilina</w:t>
      </w:r>
      <w:r>
        <w:rPr>
          <w:vertAlign w:val="superscript"/>
        </w:rPr>
        <w:t>1,2</w:t>
      </w:r>
    </w:p>
    <w:p w14:paraId="5281BE05" w14:textId="77777777" w:rsidR="00D03C17" w:rsidRDefault="00D03C17">
      <w:pPr>
        <w:pStyle w:val="Bodytext20"/>
        <w:framePr w:w="1819" w:h="1109" w:wrap="none" w:hAnchor="page" w:x="3462" w:y="4407"/>
        <w:numPr>
          <w:ilvl w:val="0"/>
          <w:numId w:val="98"/>
        </w:numPr>
        <w:tabs>
          <w:tab w:val="left" w:pos="120"/>
        </w:tabs>
        <w:spacing w:line="240" w:lineRule="auto"/>
      </w:pPr>
      <w:bookmarkStart w:id="354" w:name="bookmark1360"/>
      <w:bookmarkEnd w:id="354"/>
      <w:r>
        <w:t>Cefazolina</w:t>
      </w:r>
      <w:r>
        <w:rPr>
          <w:vertAlign w:val="superscript"/>
        </w:rPr>
        <w:t>1</w:t>
      </w:r>
    </w:p>
    <w:p w14:paraId="56639923" w14:textId="77777777" w:rsidR="00D03C17" w:rsidRDefault="00D03C17">
      <w:pPr>
        <w:pStyle w:val="Bodytext20"/>
        <w:framePr w:w="1819" w:h="1109" w:wrap="none" w:hAnchor="page" w:x="3462" w:y="4407"/>
        <w:numPr>
          <w:ilvl w:val="0"/>
          <w:numId w:val="98"/>
        </w:numPr>
        <w:tabs>
          <w:tab w:val="left" w:pos="120"/>
        </w:tabs>
        <w:spacing w:line="240" w:lineRule="auto"/>
      </w:pPr>
      <w:bookmarkStart w:id="355" w:name="bookmark1361"/>
      <w:bookmarkEnd w:id="355"/>
      <w:r>
        <w:t>Clindamicina</w:t>
      </w:r>
    </w:p>
    <w:p w14:paraId="45F6ACF4" w14:textId="77777777" w:rsidR="00D03C17" w:rsidRDefault="00D03C17">
      <w:pPr>
        <w:pStyle w:val="Bodytext20"/>
        <w:framePr w:w="1819" w:h="1109" w:wrap="none" w:hAnchor="page" w:x="3462" w:y="4407"/>
        <w:numPr>
          <w:ilvl w:val="0"/>
          <w:numId w:val="98"/>
        </w:numPr>
        <w:tabs>
          <w:tab w:val="left" w:pos="101"/>
        </w:tabs>
        <w:spacing w:line="240" w:lineRule="auto"/>
      </w:pPr>
      <w:bookmarkStart w:id="356" w:name="bookmark1362"/>
      <w:bookmarkEnd w:id="356"/>
      <w:r>
        <w:t>Vancomicina</w:t>
      </w:r>
    </w:p>
    <w:p w14:paraId="2355F34B" w14:textId="77777777" w:rsidR="00D03C17" w:rsidRDefault="00D03C17">
      <w:pPr>
        <w:pStyle w:val="Bodytext20"/>
        <w:framePr w:w="1819" w:h="1109" w:wrap="none" w:hAnchor="page" w:x="3462" w:y="4407"/>
        <w:numPr>
          <w:ilvl w:val="0"/>
          <w:numId w:val="98"/>
        </w:numPr>
        <w:tabs>
          <w:tab w:val="left" w:pos="106"/>
        </w:tabs>
        <w:spacing w:line="240" w:lineRule="auto"/>
      </w:pPr>
      <w:bookmarkStart w:id="357" w:name="bookmark1363"/>
      <w:bookmarkEnd w:id="357"/>
      <w:r>
        <w:t>Ampicilina + sulbactam</w:t>
      </w:r>
    </w:p>
    <w:p w14:paraId="3363583E" w14:textId="77777777" w:rsidR="00D03C17" w:rsidRDefault="00D03C17">
      <w:pPr>
        <w:pStyle w:val="Bodytext20"/>
        <w:framePr w:w="3826" w:h="235" w:wrap="none" w:hAnchor="page" w:x="6836" w:y="5065"/>
        <w:spacing w:line="240" w:lineRule="auto"/>
      </w:pPr>
      <w:r>
        <w:t>Sólo para niños alérgicos a penicilinas y cefalosporinas</w:t>
      </w:r>
    </w:p>
    <w:p w14:paraId="053D0DC1" w14:textId="77777777" w:rsidR="00D03C17" w:rsidRDefault="00D03C17">
      <w:pPr>
        <w:pStyle w:val="Bodytext20"/>
        <w:framePr w:w="2482" w:h="1330" w:wrap="none" w:hAnchor="page" w:x="683" w:y="5497"/>
        <w:spacing w:line="262" w:lineRule="auto"/>
        <w:ind w:left="400" w:hanging="400"/>
      </w:pPr>
      <w:r>
        <w:t xml:space="preserve">III. </w:t>
      </w:r>
      <w:r>
        <w:rPr>
          <w:i/>
          <w:iCs/>
        </w:rPr>
        <w:t>S. aureus</w:t>
      </w:r>
      <w:r>
        <w:t xml:space="preserve"> resistente a meticilina (MRSA) (MIC de oxacilina, </w:t>
      </w:r>
      <w:r>
        <w:rPr>
          <w:sz w:val="20"/>
          <w:szCs w:val="20"/>
        </w:rPr>
        <w:t>&gt;</w:t>
      </w:r>
      <w:r>
        <w:t>4 pg/ml)</w:t>
      </w:r>
    </w:p>
    <w:p w14:paraId="124566AE" w14:textId="77777777" w:rsidR="00D03C17" w:rsidRDefault="00D03C17">
      <w:pPr>
        <w:pStyle w:val="Bodytext20"/>
        <w:framePr w:w="2482" w:h="1330" w:wrap="none" w:hAnchor="page" w:x="683" w:y="5497"/>
        <w:ind w:right="360"/>
        <w:jc w:val="right"/>
      </w:pPr>
      <w:r>
        <w:t>A. Nosocomial (resistente a múltiples fármacos) Fármacos más indicados</w:t>
      </w:r>
    </w:p>
    <w:p w14:paraId="0B80D238" w14:textId="77777777" w:rsidR="00D03C17" w:rsidRDefault="00D03C17">
      <w:pPr>
        <w:pStyle w:val="Bodytext20"/>
        <w:framePr w:w="3552" w:h="235" w:wrap="none" w:hAnchor="page" w:x="3462" w:y="6582"/>
        <w:spacing w:line="240" w:lineRule="auto"/>
      </w:pPr>
      <w:r>
        <w:t>• Vancomicina ± gentamicina (o) ± rifampicina</w:t>
      </w:r>
      <w:r>
        <w:rPr>
          <w:vertAlign w:val="superscript"/>
        </w:rPr>
        <w:t>2</w:t>
      </w:r>
      <w:r>
        <w:t xml:space="preserve"> ...</w:t>
      </w:r>
    </w:p>
    <w:p w14:paraId="680D59E0" w14:textId="77777777" w:rsidR="00D03C17" w:rsidRDefault="00D03C17">
      <w:pPr>
        <w:pStyle w:val="Bodytext80"/>
        <w:framePr w:w="182" w:h="4565" w:hRule="exact" w:wrap="none" w:hAnchor="page" w:x="12375" w:y="30"/>
        <w:tabs>
          <w:tab w:val="left" w:pos="2309"/>
        </w:tabs>
        <w:textDirection w:val="tbRl"/>
      </w:pPr>
      <w:r>
        <w:rPr>
          <w:sz w:val="16"/>
          <w:szCs w:val="16"/>
        </w:rPr>
        <w:t>318</w:t>
      </w:r>
      <w:r>
        <w:rPr>
          <w:sz w:val="16"/>
          <w:szCs w:val="16"/>
        </w:rPr>
        <w:tab/>
      </w:r>
      <w:r>
        <w:t>ESTAFILOCOCOS, INFECCIONES</w:t>
      </w:r>
    </w:p>
    <w:p w14:paraId="633DD4AB" w14:textId="77777777" w:rsidR="00D03C17" w:rsidRDefault="00D03C17">
      <w:pPr>
        <w:spacing w:line="360" w:lineRule="exact"/>
      </w:pPr>
    </w:p>
    <w:p w14:paraId="56148C58" w14:textId="77777777" w:rsidR="00D03C17" w:rsidRDefault="00D03C17">
      <w:pPr>
        <w:spacing w:line="360" w:lineRule="exact"/>
      </w:pPr>
    </w:p>
    <w:p w14:paraId="6D58FF35" w14:textId="77777777" w:rsidR="00D03C17" w:rsidRDefault="00D03C17">
      <w:pPr>
        <w:spacing w:line="360" w:lineRule="exact"/>
      </w:pPr>
    </w:p>
    <w:p w14:paraId="0A437C08" w14:textId="77777777" w:rsidR="00D03C17" w:rsidRDefault="00D03C17">
      <w:pPr>
        <w:spacing w:line="360" w:lineRule="exact"/>
      </w:pPr>
    </w:p>
    <w:p w14:paraId="59FA0869" w14:textId="77777777" w:rsidR="00D03C17" w:rsidRDefault="00D03C17">
      <w:pPr>
        <w:spacing w:line="360" w:lineRule="exact"/>
      </w:pPr>
    </w:p>
    <w:p w14:paraId="68218540" w14:textId="77777777" w:rsidR="00D03C17" w:rsidRDefault="00D03C17">
      <w:pPr>
        <w:spacing w:line="360" w:lineRule="exact"/>
      </w:pPr>
    </w:p>
    <w:p w14:paraId="6901D1AC" w14:textId="77777777" w:rsidR="00D03C17" w:rsidRDefault="00D03C17">
      <w:pPr>
        <w:spacing w:line="360" w:lineRule="exact"/>
      </w:pPr>
    </w:p>
    <w:p w14:paraId="05D5A322" w14:textId="77777777" w:rsidR="00D03C17" w:rsidRDefault="00D03C17">
      <w:pPr>
        <w:spacing w:line="360" w:lineRule="exact"/>
      </w:pPr>
    </w:p>
    <w:p w14:paraId="6FDFF530" w14:textId="77777777" w:rsidR="00D03C17" w:rsidRDefault="00D03C17">
      <w:pPr>
        <w:spacing w:line="360" w:lineRule="exact"/>
      </w:pPr>
    </w:p>
    <w:p w14:paraId="7DCE2839" w14:textId="77777777" w:rsidR="00D03C17" w:rsidRDefault="00D03C17">
      <w:pPr>
        <w:spacing w:line="360" w:lineRule="exact"/>
      </w:pPr>
    </w:p>
    <w:p w14:paraId="68EA0139" w14:textId="77777777" w:rsidR="00D03C17" w:rsidRDefault="00D03C17">
      <w:pPr>
        <w:spacing w:line="360" w:lineRule="exact"/>
      </w:pPr>
    </w:p>
    <w:p w14:paraId="743DE4E9" w14:textId="77777777" w:rsidR="00D03C17" w:rsidRDefault="00D03C17">
      <w:pPr>
        <w:spacing w:line="360" w:lineRule="exact"/>
      </w:pPr>
    </w:p>
    <w:p w14:paraId="0583AC7E" w14:textId="77777777" w:rsidR="00D03C17" w:rsidRDefault="00D03C17">
      <w:pPr>
        <w:spacing w:line="360" w:lineRule="exact"/>
      </w:pPr>
    </w:p>
    <w:p w14:paraId="277D1C57" w14:textId="77777777" w:rsidR="00D03C17" w:rsidRDefault="00D03C17">
      <w:pPr>
        <w:spacing w:line="360" w:lineRule="exact"/>
      </w:pPr>
    </w:p>
    <w:p w14:paraId="05B502C9" w14:textId="77777777" w:rsidR="00D03C17" w:rsidRDefault="00D03C17">
      <w:pPr>
        <w:spacing w:line="360" w:lineRule="exact"/>
      </w:pPr>
    </w:p>
    <w:p w14:paraId="0C388FF2" w14:textId="77777777" w:rsidR="00D03C17" w:rsidRDefault="00D03C17">
      <w:pPr>
        <w:spacing w:line="360" w:lineRule="exact"/>
      </w:pPr>
    </w:p>
    <w:p w14:paraId="70F6EFDB" w14:textId="77777777" w:rsidR="00D03C17" w:rsidRDefault="00D03C17">
      <w:pPr>
        <w:spacing w:line="360" w:lineRule="exact"/>
      </w:pPr>
    </w:p>
    <w:p w14:paraId="4C5CA68F" w14:textId="77777777" w:rsidR="00D03C17" w:rsidRDefault="00D03C17">
      <w:pPr>
        <w:spacing w:after="705" w:line="1" w:lineRule="exact"/>
      </w:pPr>
    </w:p>
    <w:p w14:paraId="196E9B7C" w14:textId="77777777" w:rsidR="00D03C17" w:rsidRDefault="00D03C17">
      <w:pPr>
        <w:spacing w:line="1" w:lineRule="exact"/>
        <w:sectPr w:rsidR="00D03C17" w:rsidSect="00D03C17">
          <w:headerReference w:type="even" r:id="rId384"/>
          <w:headerReference w:type="default" r:id="rId385"/>
          <w:footerReference w:type="even" r:id="rId386"/>
          <w:footerReference w:type="default" r:id="rId387"/>
          <w:footnotePr>
            <w:numFmt w:val="chicago"/>
          </w:footnotePr>
          <w:pgSz w:w="13022" w:h="8501" w:orient="landscape"/>
          <w:pgMar w:top="475" w:right="465" w:bottom="475" w:left="662" w:header="47" w:footer="3" w:gutter="0"/>
          <w:pgNumType w:start="746"/>
          <w:cols w:space="720"/>
          <w:noEndnote/>
          <w:docGrid w:linePitch="360"/>
          <w15:footnoteColumns w:val="1"/>
        </w:sectPr>
      </w:pPr>
    </w:p>
    <w:p w14:paraId="434FAE3A" w14:textId="77777777" w:rsidR="00D03C17" w:rsidRDefault="00D03C17">
      <w:pPr>
        <w:pStyle w:val="Bodytext20"/>
        <w:framePr w:w="2731" w:h="4349" w:wrap="none" w:hAnchor="page" w:x="683" w:y="1"/>
        <w:ind w:left="600" w:hanging="100"/>
      </w:pPr>
      <w:r>
        <w:t>Otros fármacos útiles: conviene contar con los resultados de los antibioticogramas antes de recurrir a los fármacos alternativos</w:t>
      </w:r>
    </w:p>
    <w:p w14:paraId="62DBBA2A" w14:textId="77777777" w:rsidR="00D03C17" w:rsidRDefault="00D03C17">
      <w:pPr>
        <w:pStyle w:val="Bodytext20"/>
        <w:framePr w:w="2731" w:h="4349" w:wrap="none" w:hAnchor="page" w:x="683" w:y="1"/>
        <w:ind w:firstLine="160"/>
      </w:pPr>
      <w:r>
        <w:t>B. El origen comunitario</w:t>
      </w:r>
    </w:p>
    <w:p w14:paraId="2281C7F5" w14:textId="77777777" w:rsidR="00D03C17" w:rsidRDefault="00D03C17">
      <w:pPr>
        <w:pStyle w:val="Bodytext20"/>
        <w:framePr w:w="2731" w:h="4349" w:wrap="none" w:hAnchor="page" w:x="683" w:y="1"/>
        <w:ind w:left="360"/>
      </w:pPr>
      <w:r>
        <w:t>(no es resistente a múltiples fármacos)</w:t>
      </w:r>
    </w:p>
    <w:p w14:paraId="67E0CEA7" w14:textId="77777777" w:rsidR="00D03C17" w:rsidRDefault="00D03C17">
      <w:pPr>
        <w:pStyle w:val="Bodytext20"/>
        <w:framePr w:w="2731" w:h="4349" w:wrap="none" w:hAnchor="page" w:x="683" w:y="1"/>
        <w:spacing w:after="200"/>
        <w:ind w:firstLine="500"/>
      </w:pPr>
      <w:r>
        <w:t>Fármacos más indicados:</w:t>
      </w:r>
    </w:p>
    <w:p w14:paraId="3664D5E7" w14:textId="77777777" w:rsidR="00D03C17" w:rsidRDefault="00D03C17">
      <w:pPr>
        <w:pStyle w:val="Bodytext20"/>
        <w:framePr w:w="2731" w:h="4349" w:wrap="none" w:hAnchor="page" w:x="683" w:y="1"/>
        <w:ind w:firstLine="500"/>
      </w:pPr>
      <w:r>
        <w:t>Otros fármacos útiles:</w:t>
      </w:r>
    </w:p>
    <w:p w14:paraId="556ED4B6" w14:textId="77777777" w:rsidR="00D03C17" w:rsidRDefault="00D03C17">
      <w:pPr>
        <w:pStyle w:val="Bodytext20"/>
        <w:framePr w:w="2731" w:h="4349" w:wrap="none" w:hAnchor="page" w:x="683" w:y="1"/>
        <w:ind w:left="360" w:hanging="360"/>
      </w:pPr>
      <w:r>
        <w:t xml:space="preserve">IV. </w:t>
      </w:r>
      <w:r>
        <w:rPr>
          <w:i/>
          <w:iCs/>
        </w:rPr>
        <w:t>S. aureus</w:t>
      </w:r>
      <w:r>
        <w:t xml:space="preserve"> con susceptibilidad intermedia a la vancomicina (concentración inhibitoria mínima &gt;4 mg/ml y </w:t>
      </w:r>
      <w:r>
        <w:rPr>
          <w:sz w:val="20"/>
          <w:szCs w:val="20"/>
        </w:rPr>
        <w:t>&lt;</w:t>
      </w:r>
      <w:r>
        <w:t>16 mg/ml)</w:t>
      </w:r>
      <w:r>
        <w:rPr>
          <w:vertAlign w:val="superscript"/>
        </w:rPr>
        <w:t>2</w:t>
      </w:r>
    </w:p>
    <w:p w14:paraId="17E32323" w14:textId="77777777" w:rsidR="00D03C17" w:rsidRDefault="00D03C17">
      <w:pPr>
        <w:pStyle w:val="Bodytext20"/>
        <w:framePr w:w="2731" w:h="4349" w:wrap="none" w:hAnchor="page" w:x="683" w:y="1"/>
        <w:spacing w:after="420"/>
        <w:ind w:firstLine="220"/>
      </w:pPr>
      <w:r>
        <w:t>Fármacos más indicados:</w:t>
      </w:r>
    </w:p>
    <w:p w14:paraId="7FC7A118" w14:textId="77777777" w:rsidR="00D03C17" w:rsidRDefault="00D03C17">
      <w:pPr>
        <w:pStyle w:val="Bodytext20"/>
        <w:framePr w:w="2731" w:h="4349" w:wrap="none" w:hAnchor="page" w:x="683" w:y="1"/>
        <w:spacing w:after="300"/>
        <w:ind w:firstLine="220"/>
      </w:pPr>
      <w:r>
        <w:t>Otros fármacos útiles:</w:t>
      </w:r>
    </w:p>
    <w:p w14:paraId="287C1C71" w14:textId="77777777" w:rsidR="00D03C17" w:rsidRDefault="00D03C17">
      <w:pPr>
        <w:pStyle w:val="Bodytext20"/>
        <w:framePr w:w="2126" w:h="883" w:wrap="none" w:hAnchor="page" w:x="3462" w:y="1"/>
        <w:numPr>
          <w:ilvl w:val="0"/>
          <w:numId w:val="99"/>
        </w:numPr>
        <w:tabs>
          <w:tab w:val="left" w:pos="106"/>
        </w:tabs>
        <w:spacing w:line="240" w:lineRule="auto"/>
      </w:pPr>
      <w:bookmarkStart w:id="358" w:name="bookmark1364"/>
      <w:bookmarkEnd w:id="358"/>
      <w:r>
        <w:t>Trimetoprim-sulfametoxazol</w:t>
      </w:r>
    </w:p>
    <w:p w14:paraId="3C5BE54E" w14:textId="77777777" w:rsidR="00D03C17" w:rsidRDefault="00D03C17">
      <w:pPr>
        <w:pStyle w:val="Bodytext20"/>
        <w:framePr w:w="2126" w:h="883" w:wrap="none" w:hAnchor="page" w:x="3462" w:y="1"/>
        <w:numPr>
          <w:ilvl w:val="0"/>
          <w:numId w:val="99"/>
        </w:numPr>
        <w:tabs>
          <w:tab w:val="left" w:pos="120"/>
        </w:tabs>
        <w:spacing w:line="240" w:lineRule="auto"/>
      </w:pPr>
      <w:bookmarkStart w:id="359" w:name="bookmark1365"/>
      <w:bookmarkEnd w:id="359"/>
      <w:r>
        <w:t>Linezolid</w:t>
      </w:r>
      <w:r>
        <w:rPr>
          <w:vertAlign w:val="superscript"/>
        </w:rPr>
        <w:t>3</w:t>
      </w:r>
    </w:p>
    <w:p w14:paraId="2C78BB67" w14:textId="77777777" w:rsidR="00D03C17" w:rsidRDefault="00D03C17">
      <w:pPr>
        <w:pStyle w:val="Bodytext20"/>
        <w:framePr w:w="2126" w:h="883" w:wrap="none" w:hAnchor="page" w:x="3462" w:y="1"/>
        <w:numPr>
          <w:ilvl w:val="0"/>
          <w:numId w:val="99"/>
        </w:numPr>
        <w:tabs>
          <w:tab w:val="left" w:pos="120"/>
        </w:tabs>
        <w:spacing w:line="240" w:lineRule="auto"/>
      </w:pPr>
      <w:bookmarkStart w:id="360" w:name="bookmark1366"/>
      <w:bookmarkEnd w:id="360"/>
      <w:r>
        <w:t>Quinupristina-dalfopristina</w:t>
      </w:r>
      <w:r>
        <w:rPr>
          <w:vertAlign w:val="superscript"/>
        </w:rPr>
        <w:t>3</w:t>
      </w:r>
    </w:p>
    <w:p w14:paraId="2EBA1EA2" w14:textId="77777777" w:rsidR="00D03C17" w:rsidRDefault="00D03C17">
      <w:pPr>
        <w:pStyle w:val="Bodytext20"/>
        <w:framePr w:w="2126" w:h="883" w:wrap="none" w:hAnchor="page" w:x="3462" w:y="1"/>
        <w:numPr>
          <w:ilvl w:val="0"/>
          <w:numId w:val="99"/>
        </w:numPr>
        <w:tabs>
          <w:tab w:val="left" w:pos="120"/>
        </w:tabs>
        <w:spacing w:line="240" w:lineRule="auto"/>
      </w:pPr>
      <w:bookmarkStart w:id="361" w:name="bookmark1367"/>
      <w:bookmarkEnd w:id="361"/>
      <w:r>
        <w:t>Fluoroquinolonas</w:t>
      </w:r>
    </w:p>
    <w:p w14:paraId="3535F9E1" w14:textId="77777777" w:rsidR="00D03C17" w:rsidRDefault="00D03C17">
      <w:pPr>
        <w:pStyle w:val="Bodytext20"/>
        <w:framePr w:w="2856" w:h="677" w:wrap="none" w:hAnchor="page" w:x="3462" w:y="1729"/>
        <w:numPr>
          <w:ilvl w:val="0"/>
          <w:numId w:val="100"/>
        </w:numPr>
        <w:tabs>
          <w:tab w:val="left" w:pos="106"/>
        </w:tabs>
        <w:ind w:left="160" w:hanging="160"/>
      </w:pPr>
      <w:bookmarkStart w:id="362" w:name="bookmark1368"/>
      <w:bookmarkEnd w:id="362"/>
      <w:r>
        <w:t>Trimetoprim-sulfametoxazol o clindamicina (si la cepa es susceptible)</w:t>
      </w:r>
    </w:p>
    <w:p w14:paraId="72BFFC16" w14:textId="77777777" w:rsidR="00D03C17" w:rsidRDefault="00D03C17">
      <w:pPr>
        <w:pStyle w:val="Bodytext20"/>
        <w:framePr w:w="2856" w:h="677" w:wrap="none" w:hAnchor="page" w:x="3462" w:y="1729"/>
        <w:numPr>
          <w:ilvl w:val="0"/>
          <w:numId w:val="100"/>
        </w:numPr>
        <w:tabs>
          <w:tab w:val="left" w:pos="106"/>
        </w:tabs>
      </w:pPr>
      <w:bookmarkStart w:id="363" w:name="bookmark1369"/>
      <w:bookmarkEnd w:id="363"/>
      <w:r>
        <w:t>Vancomicina</w:t>
      </w:r>
      <w:r>
        <w:rPr>
          <w:vertAlign w:val="superscript"/>
        </w:rPr>
        <w:t>2</w:t>
      </w:r>
    </w:p>
    <w:p w14:paraId="4A36BF8B" w14:textId="77777777" w:rsidR="00D03C17" w:rsidRDefault="00D03C17">
      <w:pPr>
        <w:pStyle w:val="Bodytext20"/>
        <w:framePr w:w="2789" w:h="1541" w:wrap="none" w:hAnchor="page" w:x="3462" w:y="3457"/>
        <w:numPr>
          <w:ilvl w:val="0"/>
          <w:numId w:val="101"/>
        </w:numPr>
        <w:tabs>
          <w:tab w:val="left" w:pos="120"/>
        </w:tabs>
      </w:pPr>
      <w:bookmarkStart w:id="364" w:name="bookmark1370"/>
      <w:bookmarkEnd w:id="364"/>
      <w:r>
        <w:t>Se desconoce la terapia óptima</w:t>
      </w:r>
    </w:p>
    <w:p w14:paraId="315F1289" w14:textId="77777777" w:rsidR="00D03C17" w:rsidRDefault="00D03C17">
      <w:pPr>
        <w:pStyle w:val="Bodytext20"/>
        <w:framePr w:w="2789" w:h="1541" w:wrap="none" w:hAnchor="page" w:x="3462" w:y="3457"/>
        <w:numPr>
          <w:ilvl w:val="0"/>
          <w:numId w:val="101"/>
        </w:numPr>
        <w:tabs>
          <w:tab w:val="left" w:pos="120"/>
        </w:tabs>
      </w:pPr>
      <w:bookmarkStart w:id="365" w:name="bookmark1371"/>
      <w:bookmarkEnd w:id="365"/>
      <w:r>
        <w:t>Linezolid</w:t>
      </w:r>
      <w:r>
        <w:rPr>
          <w:vertAlign w:val="superscript"/>
        </w:rPr>
        <w:t>3</w:t>
      </w:r>
    </w:p>
    <w:p w14:paraId="2756DFD9" w14:textId="77777777" w:rsidR="00D03C17" w:rsidRDefault="00D03C17">
      <w:pPr>
        <w:pStyle w:val="Bodytext20"/>
        <w:framePr w:w="2789" w:h="1541" w:wrap="none" w:hAnchor="page" w:x="3462" w:y="3457"/>
        <w:numPr>
          <w:ilvl w:val="0"/>
          <w:numId w:val="101"/>
        </w:numPr>
        <w:tabs>
          <w:tab w:val="left" w:pos="120"/>
        </w:tabs>
      </w:pPr>
      <w:bookmarkStart w:id="366" w:name="bookmark1372"/>
      <w:bookmarkEnd w:id="366"/>
      <w:r>
        <w:t>Quinupristina-dalfopristina</w:t>
      </w:r>
      <w:r>
        <w:rPr>
          <w:vertAlign w:val="superscript"/>
        </w:rPr>
        <w:t>3</w:t>
      </w:r>
    </w:p>
    <w:p w14:paraId="4AD645A6" w14:textId="77777777" w:rsidR="00D03C17" w:rsidRDefault="00D03C17">
      <w:pPr>
        <w:pStyle w:val="Bodytext20"/>
        <w:framePr w:w="2789" w:h="1541" w:wrap="none" w:hAnchor="page" w:x="3462" w:y="3457"/>
        <w:numPr>
          <w:ilvl w:val="0"/>
          <w:numId w:val="101"/>
        </w:numPr>
        <w:tabs>
          <w:tab w:val="left" w:pos="149"/>
        </w:tabs>
      </w:pPr>
      <w:bookmarkStart w:id="367" w:name="bookmark1373"/>
      <w:bookmarkEnd w:id="367"/>
      <w:r>
        <w:t>Vancomicina + ampicilina-sulbactam</w:t>
      </w:r>
    </w:p>
    <w:p w14:paraId="193AC587" w14:textId="77777777" w:rsidR="00D03C17" w:rsidRDefault="00D03C17">
      <w:pPr>
        <w:pStyle w:val="Bodytext20"/>
        <w:framePr w:w="2789" w:h="1541" w:wrap="none" w:hAnchor="page" w:x="3462" w:y="3457"/>
        <w:ind w:firstLine="220"/>
      </w:pPr>
      <w:r>
        <w:t>± gentamicina</w:t>
      </w:r>
    </w:p>
    <w:p w14:paraId="7EB885CF" w14:textId="77777777" w:rsidR="00D03C17" w:rsidRDefault="00D03C17">
      <w:pPr>
        <w:pStyle w:val="Bodytext20"/>
        <w:framePr w:w="2789" w:h="1541" w:wrap="none" w:hAnchor="page" w:x="3462" w:y="3457"/>
        <w:numPr>
          <w:ilvl w:val="0"/>
          <w:numId w:val="101"/>
        </w:numPr>
        <w:pBdr>
          <w:bottom w:val="single" w:sz="4" w:space="0" w:color="auto"/>
        </w:pBdr>
        <w:tabs>
          <w:tab w:val="left" w:pos="106"/>
        </w:tabs>
      </w:pPr>
      <w:bookmarkStart w:id="368" w:name="bookmark1374"/>
      <w:bookmarkEnd w:id="368"/>
      <w:r>
        <w:t>Vancomicina + trimetoprim- sulfametoxazol</w:t>
      </w:r>
      <w:r>
        <w:rPr>
          <w:vertAlign w:val="superscript"/>
        </w:rPr>
        <w:t>2</w:t>
      </w:r>
    </w:p>
    <w:p w14:paraId="07F25821" w14:textId="77777777" w:rsidR="00D03C17" w:rsidRDefault="00D03C17">
      <w:pPr>
        <w:pStyle w:val="Bodytext20"/>
        <w:framePr w:w="3734" w:h="461" w:wrap="none" w:hAnchor="page" w:x="6827" w:y="649"/>
      </w:pPr>
      <w:r>
        <w:t>No se recomienda para personas menores de 18 años o como fármaco único</w:t>
      </w:r>
    </w:p>
    <w:p w14:paraId="772B9C43" w14:textId="77777777" w:rsidR="00D03C17" w:rsidRDefault="00D03C17">
      <w:pPr>
        <w:pStyle w:val="Bodytext20"/>
        <w:framePr w:w="11275" w:h="936" w:wrap="none" w:hAnchor="page" w:x="678" w:y="5161"/>
        <w:numPr>
          <w:ilvl w:val="0"/>
          <w:numId w:val="102"/>
        </w:numPr>
        <w:tabs>
          <w:tab w:val="left" w:pos="163"/>
        </w:tabs>
        <w:spacing w:line="240" w:lineRule="auto"/>
        <w:rPr>
          <w:sz w:val="15"/>
          <w:szCs w:val="15"/>
        </w:rPr>
      </w:pPr>
      <w:bookmarkStart w:id="369" w:name="bookmark1375"/>
      <w:bookmarkEnd w:id="369"/>
      <w:r>
        <w:rPr>
          <w:sz w:val="15"/>
          <w:szCs w:val="15"/>
        </w:rPr>
        <w:t>Los niños alérgicos a penicilinas y cefalosporinas deben recibir siempre vancomicina como primer fármaco contra infecciones graves.</w:t>
      </w:r>
    </w:p>
    <w:p w14:paraId="5F16B1F8" w14:textId="77777777" w:rsidR="00D03C17" w:rsidRDefault="00D03C17">
      <w:pPr>
        <w:pStyle w:val="Bodytext20"/>
        <w:framePr w:w="11275" w:h="936" w:wrap="none" w:hAnchor="page" w:x="678" w:y="5161"/>
        <w:numPr>
          <w:ilvl w:val="0"/>
          <w:numId w:val="102"/>
        </w:numPr>
        <w:tabs>
          <w:tab w:val="left" w:pos="173"/>
        </w:tabs>
        <w:spacing w:line="240" w:lineRule="auto"/>
        <w:rPr>
          <w:sz w:val="15"/>
          <w:szCs w:val="15"/>
        </w:rPr>
      </w:pPr>
      <w:bookmarkStart w:id="370" w:name="bookmark1376"/>
      <w:bookmarkEnd w:id="370"/>
      <w:r>
        <w:rPr>
          <w:sz w:val="15"/>
          <w:szCs w:val="15"/>
        </w:rPr>
        <w:t>Habrá que agregar al régimen terapéutico agentes complementarios, gentamicina o rifampicina en el caso de infecciones letales como endocarditis o meningitis por la cepa de</w:t>
      </w:r>
    </w:p>
    <w:p w14:paraId="04B66C36" w14:textId="77777777" w:rsidR="00D03C17" w:rsidRDefault="00D03C17">
      <w:pPr>
        <w:pStyle w:val="Bodytext20"/>
        <w:framePr w:w="11275" w:h="936" w:wrap="none" w:hAnchor="page" w:x="678" w:y="5161"/>
        <w:spacing w:line="240" w:lineRule="auto"/>
        <w:ind w:firstLine="180"/>
        <w:rPr>
          <w:sz w:val="15"/>
          <w:szCs w:val="15"/>
        </w:rPr>
      </w:pPr>
      <w:r>
        <w:rPr>
          <w:i/>
          <w:iCs/>
          <w:sz w:val="15"/>
          <w:szCs w:val="15"/>
        </w:rPr>
        <w:t>S. aureus</w:t>
      </w:r>
      <w:r>
        <w:rPr>
          <w:sz w:val="15"/>
          <w:szCs w:val="15"/>
        </w:rPr>
        <w:t xml:space="preserve"> con sensibilidad intermedia a la vancomicina. Hay que consultar con un infectólogo para saber qué agente administrar y por cuánto tiempo.</w:t>
      </w:r>
    </w:p>
    <w:p w14:paraId="6562036B" w14:textId="77777777" w:rsidR="00D03C17" w:rsidRDefault="00D03C17">
      <w:pPr>
        <w:pStyle w:val="Bodytext20"/>
        <w:framePr w:w="11275" w:h="936" w:wrap="none" w:hAnchor="page" w:x="678" w:y="5161"/>
        <w:numPr>
          <w:ilvl w:val="0"/>
          <w:numId w:val="102"/>
        </w:numPr>
        <w:tabs>
          <w:tab w:val="left" w:pos="168"/>
        </w:tabs>
        <w:spacing w:line="240" w:lineRule="auto"/>
        <w:ind w:left="180" w:hanging="180"/>
        <w:rPr>
          <w:sz w:val="15"/>
          <w:szCs w:val="15"/>
        </w:rPr>
      </w:pPr>
      <w:bookmarkStart w:id="371" w:name="bookmark1377"/>
      <w:bookmarkEnd w:id="371"/>
      <w:r>
        <w:rPr>
          <w:sz w:val="15"/>
          <w:szCs w:val="15"/>
        </w:rPr>
        <w:t xml:space="preserve">El linezolid y la quinupristina-dalfopristina son dos agentes con actividad </w:t>
      </w:r>
      <w:r>
        <w:rPr>
          <w:i/>
          <w:iCs/>
          <w:sz w:val="15"/>
          <w:szCs w:val="15"/>
        </w:rPr>
        <w:t>in vitro</w:t>
      </w:r>
      <w:r>
        <w:rPr>
          <w:sz w:val="15"/>
          <w:szCs w:val="15"/>
        </w:rPr>
        <w:t xml:space="preserve"> y eficaz en adultos con microorganismos grampositivos resistentes a múltiples fármacos, incluido el estafilococo dorado. Es escasa la experiencia con dichos fármacos en niños y por ello antes de usarlos habrá que solicitar la consulta con un infectólogo.</w:t>
      </w:r>
    </w:p>
    <w:p w14:paraId="7C2A1BB9" w14:textId="77777777" w:rsidR="00D03C17" w:rsidRDefault="00D03C17">
      <w:pPr>
        <w:pStyle w:val="Bodytext80"/>
        <w:framePr w:w="182" w:h="4550" w:hRule="exact" w:wrap="none" w:hAnchor="page" w:x="12375" w:y="2046"/>
        <w:tabs>
          <w:tab w:val="left" w:pos="4234"/>
        </w:tabs>
        <w:textDirection w:val="tbRl"/>
        <w:rPr>
          <w:sz w:val="16"/>
          <w:szCs w:val="16"/>
        </w:rPr>
      </w:pPr>
      <w:r>
        <w:t>ESTAFILOCOCOS, INFECCIONES</w:t>
      </w:r>
      <w:r>
        <w:tab/>
      </w:r>
      <w:r>
        <w:rPr>
          <w:sz w:val="16"/>
          <w:szCs w:val="16"/>
        </w:rPr>
        <w:t>319</w:t>
      </w:r>
    </w:p>
    <w:p w14:paraId="76769212" w14:textId="77777777" w:rsidR="00D03C17" w:rsidRDefault="00D03C17">
      <w:pPr>
        <w:spacing w:line="360" w:lineRule="exact"/>
      </w:pPr>
    </w:p>
    <w:p w14:paraId="3DCEC522" w14:textId="77777777" w:rsidR="00D03C17" w:rsidRDefault="00D03C17">
      <w:pPr>
        <w:spacing w:line="360" w:lineRule="exact"/>
      </w:pPr>
    </w:p>
    <w:p w14:paraId="406D8849" w14:textId="77777777" w:rsidR="00D03C17" w:rsidRDefault="00D03C17">
      <w:pPr>
        <w:spacing w:line="360" w:lineRule="exact"/>
      </w:pPr>
    </w:p>
    <w:p w14:paraId="451237AE" w14:textId="77777777" w:rsidR="00D03C17" w:rsidRDefault="00D03C17">
      <w:pPr>
        <w:spacing w:line="360" w:lineRule="exact"/>
      </w:pPr>
    </w:p>
    <w:p w14:paraId="66EEDBE9" w14:textId="77777777" w:rsidR="00D03C17" w:rsidRDefault="00D03C17">
      <w:pPr>
        <w:spacing w:line="360" w:lineRule="exact"/>
      </w:pPr>
    </w:p>
    <w:p w14:paraId="74776158" w14:textId="77777777" w:rsidR="00D03C17" w:rsidRDefault="00D03C17">
      <w:pPr>
        <w:spacing w:line="360" w:lineRule="exact"/>
      </w:pPr>
    </w:p>
    <w:p w14:paraId="22DE55CC" w14:textId="77777777" w:rsidR="00D03C17" w:rsidRDefault="00D03C17">
      <w:pPr>
        <w:spacing w:line="360" w:lineRule="exact"/>
      </w:pPr>
    </w:p>
    <w:p w14:paraId="468E2B15" w14:textId="77777777" w:rsidR="00D03C17" w:rsidRDefault="00D03C17">
      <w:pPr>
        <w:spacing w:line="360" w:lineRule="exact"/>
      </w:pPr>
    </w:p>
    <w:p w14:paraId="57179267" w14:textId="77777777" w:rsidR="00D03C17" w:rsidRDefault="00D03C17">
      <w:pPr>
        <w:spacing w:line="360" w:lineRule="exact"/>
      </w:pPr>
    </w:p>
    <w:p w14:paraId="3E586816" w14:textId="77777777" w:rsidR="00D03C17" w:rsidRDefault="00D03C17">
      <w:pPr>
        <w:spacing w:line="360" w:lineRule="exact"/>
      </w:pPr>
    </w:p>
    <w:p w14:paraId="609DF8B2" w14:textId="77777777" w:rsidR="00D03C17" w:rsidRDefault="00D03C17">
      <w:pPr>
        <w:spacing w:line="360" w:lineRule="exact"/>
      </w:pPr>
    </w:p>
    <w:p w14:paraId="275AA34D" w14:textId="77777777" w:rsidR="00D03C17" w:rsidRDefault="00D03C17">
      <w:pPr>
        <w:spacing w:line="360" w:lineRule="exact"/>
      </w:pPr>
    </w:p>
    <w:p w14:paraId="5B378442" w14:textId="77777777" w:rsidR="00D03C17" w:rsidRDefault="00D03C17">
      <w:pPr>
        <w:spacing w:line="360" w:lineRule="exact"/>
      </w:pPr>
    </w:p>
    <w:p w14:paraId="7BD9B628" w14:textId="77777777" w:rsidR="00D03C17" w:rsidRDefault="00D03C17">
      <w:pPr>
        <w:spacing w:line="360" w:lineRule="exact"/>
      </w:pPr>
    </w:p>
    <w:p w14:paraId="6A2E2918" w14:textId="77777777" w:rsidR="00D03C17" w:rsidRDefault="00D03C17">
      <w:pPr>
        <w:spacing w:line="360" w:lineRule="exact"/>
      </w:pPr>
    </w:p>
    <w:p w14:paraId="07EB74A2" w14:textId="77777777" w:rsidR="00D03C17" w:rsidRDefault="00D03C17">
      <w:pPr>
        <w:spacing w:line="360" w:lineRule="exact"/>
      </w:pPr>
    </w:p>
    <w:p w14:paraId="6EE62871" w14:textId="77777777" w:rsidR="00D03C17" w:rsidRDefault="00D03C17">
      <w:pPr>
        <w:spacing w:line="360" w:lineRule="exact"/>
      </w:pPr>
    </w:p>
    <w:p w14:paraId="0EAA5CBB" w14:textId="77777777" w:rsidR="00D03C17" w:rsidRDefault="00D03C17">
      <w:pPr>
        <w:spacing w:after="474" w:line="1" w:lineRule="exact"/>
      </w:pPr>
    </w:p>
    <w:p w14:paraId="38B43824" w14:textId="77777777" w:rsidR="00D03C17" w:rsidRDefault="00D03C17">
      <w:pPr>
        <w:spacing w:line="1" w:lineRule="exact"/>
        <w:sectPr w:rsidR="00D03C17" w:rsidSect="00D03C17">
          <w:footnotePr>
            <w:numFmt w:val="chicago"/>
          </w:footnotePr>
          <w:pgSz w:w="13022" w:h="8501" w:orient="landscape"/>
          <w:pgMar w:top="1402" w:right="466" w:bottom="304" w:left="677" w:header="974" w:footer="3" w:gutter="0"/>
          <w:cols w:space="720"/>
          <w:noEndnote/>
          <w:docGrid w:linePitch="360"/>
          <w15:footnoteColumns w:val="1"/>
        </w:sectPr>
      </w:pPr>
    </w:p>
    <w:p w14:paraId="74DA9E7B" w14:textId="77777777" w:rsidR="00D03C17" w:rsidRDefault="00D03C17">
      <w:pPr>
        <w:pStyle w:val="BodyText"/>
        <w:spacing w:before="220"/>
        <w:ind w:firstLine="0"/>
        <w:rPr>
          <w:sz w:val="16"/>
          <w:szCs w:val="16"/>
        </w:rPr>
      </w:pPr>
      <w:r>
        <w:t xml:space="preserve">rápidamente, al parecer en el caso de infecciones por CoNS bastan tres a cinco días del tratamiento. Se sugiere seguir un ciclo de dos semanas o más cuando el germen patógeno es el estafilococo dorado; los expertos difieren en la duración óptima. Si el niño necesita un nuevo catéter, será mejor esperar algunos días después de que ha cedido la bacteriemia para colocarlo. Si se necesita la hechura de un túnel para el catéter, para la asistencia ininterrumpida, cabe intentar el tratamiento </w:t>
      </w:r>
      <w:r>
        <w:rPr>
          <w:rFonts w:ascii="Times New Roman" w:eastAsia="Times New Roman" w:hAnsi="Times New Roman" w:cs="Times New Roman"/>
          <w:i/>
          <w:iCs/>
          <w:sz w:val="16"/>
          <w:szCs w:val="16"/>
        </w:rPr>
        <w:t>in situ</w:t>
      </w:r>
      <w:r>
        <w:t xml:space="preserve"> de la infección. Si hay mejoría con los antimicrobianos y la bacteriemia por el estafilococo dorado muestra resolución inmediata podrá continuarse el tratamiento durante 10 a 14 días por vía parenteral. Si en los cultivos de sangre se siguen identificando los estafilococos por más de tres a cinco días, habrá que extraer el catéter, continuar la terapia parenteral y valorar al niño en busca de focos metastásicos de la infección. En caso de que surja hipotensión en cualquier momento durante la terapéutica contra la infección por catéter, habrá que extraer inmediatamente tal dispositivo. Habrá que pensar en vegetaciones o un trombo en el corazón o un gran vaso si se infecta un catéter intravascular. La ecocardiografía transesofágica es la técnica más sensible para identificar vegetaciones. Habrá que valorar siempre la posibilidad de diseminación metastásica en niños con bacteriemia por </w:t>
      </w:r>
      <w:r>
        <w:rPr>
          <w:rFonts w:ascii="Times New Roman" w:eastAsia="Times New Roman" w:hAnsi="Times New Roman" w:cs="Times New Roman"/>
          <w:i/>
          <w:iCs/>
          <w:sz w:val="16"/>
          <w:szCs w:val="16"/>
        </w:rPr>
        <w:t>S’, aureus.</w:t>
      </w:r>
    </w:p>
    <w:p w14:paraId="01FED9FC" w14:textId="77777777" w:rsidR="00D03C17" w:rsidRDefault="00D03C17">
      <w:pPr>
        <w:pStyle w:val="BodyText"/>
        <w:ind w:firstLine="0"/>
      </w:pPr>
      <w:r>
        <w:rPr>
          <w:b/>
          <w:bCs/>
          <w:smallCaps/>
          <w:sz w:val="20"/>
          <w:szCs w:val="20"/>
        </w:rPr>
        <w:t>A</w:t>
      </w:r>
      <w:r>
        <w:rPr>
          <w:b/>
          <w:bCs/>
          <w:smallCaps/>
          <w:sz w:val="16"/>
          <w:szCs w:val="16"/>
        </w:rPr>
        <w:t>islamiento del paciente hospitalizado</w:t>
      </w:r>
      <w:r>
        <w:rPr>
          <w:b/>
          <w:bCs/>
          <w:smallCaps/>
          <w:sz w:val="20"/>
          <w:szCs w:val="20"/>
        </w:rPr>
        <w:t>:</w:t>
      </w:r>
      <w:r>
        <w:t xml:space="preserve"> Se recomienda seguir las precauciones estándar en todos los pacientes. En niños con lesiones expuestas (como serían heridas húmedas, síndrome de dermatosis exfoliativa estafilocócica, quemaduras, impétigo ampollar o abscesos causados por MSSA) se recomiendan las precauciones para evitar la transmisión por contacto durante todo el tiempo que dure la enfermedad. En el caso de neumonía por MSSA es recomendable cumplir precauciones para evitar la transmisión por gotículas en las primeras 24 h de emprender el uso de antimicrobianos. Las precauciones contra gotículas deben conservarse todo el tiempo que dure la enfermedad en el caso de traqueítis por MSSA o MRSA, si está colocada una sonda de traqueostomía.</w:t>
      </w:r>
    </w:p>
    <w:p w14:paraId="28FD516B" w14:textId="77777777" w:rsidR="00D03C17" w:rsidRDefault="00D03C17">
      <w:pPr>
        <w:pStyle w:val="BodyText"/>
        <w:spacing w:after="220"/>
        <w:ind w:firstLine="360"/>
      </w:pPr>
      <w:r>
        <w:t>En el caso de niños infectados o colonizados por MRSA hay que cumplir las precauciones para evitar la transmisión por contacto, ante el ataque de microorganismos resistentes a múltiples fármacos, durante todo el tiempo que dure la enfermedad porque el estado de portador de dichos microorganismos puede persistir durante años. En Estados Unidos, los CDC, para evitar la transmisión de VISA y VRSA, han expedido recomendaciones específicas de erradicación de la infección que deben cumplirse (cuadro 3-12). Si el microorganismo patógeno es CoNS resistente a meticilina se recomienda seguir las precauciones estándar. En el caso de CoNS con susceptibilidad intermedia a la vancomicina y cepas epidémicas identificadas de MRSA, habrá que practicar las precauciones para evitar la transmisión por contacto.</w:t>
      </w:r>
    </w:p>
    <w:p w14:paraId="19294A8C" w14:textId="77777777" w:rsidR="00D03C17" w:rsidRDefault="00D03C17">
      <w:pPr>
        <w:pStyle w:val="Other0"/>
        <w:spacing w:line="257" w:lineRule="auto"/>
        <w:ind w:firstLine="0"/>
        <w:rPr>
          <w:sz w:val="20"/>
          <w:szCs w:val="20"/>
        </w:rPr>
      </w:pPr>
      <w:r>
        <w:rPr>
          <w:b/>
          <w:bCs/>
          <w:smallCaps/>
          <w:sz w:val="20"/>
          <w:szCs w:val="20"/>
        </w:rPr>
        <w:t>M</w:t>
      </w:r>
      <w:r>
        <w:rPr>
          <w:b/>
          <w:bCs/>
          <w:smallCaps/>
          <w:sz w:val="16"/>
          <w:szCs w:val="16"/>
        </w:rPr>
        <w:t>edidas preventivas</w:t>
      </w:r>
      <w:r>
        <w:rPr>
          <w:b/>
          <w:bCs/>
          <w:smallCaps/>
          <w:sz w:val="20"/>
          <w:szCs w:val="20"/>
        </w:rPr>
        <w:t>:</w:t>
      </w:r>
    </w:p>
    <w:p w14:paraId="601D8AB7" w14:textId="77777777" w:rsidR="00D03C17" w:rsidRDefault="00D03C17">
      <w:pPr>
        <w:pStyle w:val="BodyText"/>
        <w:spacing w:line="276" w:lineRule="auto"/>
        <w:ind w:firstLine="0"/>
      </w:pPr>
      <w:r>
        <w:rPr>
          <w:rFonts w:ascii="Arial" w:eastAsia="Arial" w:hAnsi="Arial" w:cs="Arial"/>
          <w:b/>
          <w:bCs/>
          <w:i/>
          <w:iCs/>
          <w:sz w:val="15"/>
          <w:szCs w:val="15"/>
        </w:rPr>
        <w:t>Estafilococos coagulasa-negativos.</w:t>
      </w:r>
      <w:r>
        <w:t xml:space="preserve"> Las medidas de prevención y erradicación de las infecciones por CoNS se han orientado a evitar la contaminación transoperatoria por flora de la piel, y también que la introducción de catéteres intravasculares intraperitoneales y otros dispositivos protésicos se haga bajo técnicas estériles. La administración profiláctica de un antimicrobiano durante la operación disminuye la incidencia de infección después de operaciones en el corazón y la colocación de injertos vasculares sintéticos y prótesis. No hay consenso en cuanto a la utilidad de la profilaxia transoperatoria en el momento de colocar una derivación para líquido cefalorraquídeo.</w:t>
      </w:r>
    </w:p>
    <w:p w14:paraId="685F6E9D" w14:textId="77777777" w:rsidR="00D03C17" w:rsidRDefault="00D03C17">
      <w:pPr>
        <w:pStyle w:val="BodyText"/>
        <w:spacing w:line="264" w:lineRule="auto"/>
        <w:ind w:firstLine="360"/>
      </w:pPr>
      <w:r>
        <w:rPr>
          <w:rFonts w:ascii="Arial" w:eastAsia="Arial" w:hAnsi="Arial" w:cs="Arial"/>
          <w:b/>
          <w:bCs/>
          <w:w w:val="70"/>
          <w:sz w:val="20"/>
          <w:szCs w:val="20"/>
        </w:rPr>
        <w:t xml:space="preserve">Staphylococcus aureus. </w:t>
      </w:r>
      <w:r>
        <w:t>Habría que considerar por separado las medidas de prevención y erradicación de infecciones por estafilococo dorado, para el paciente individual y para las instituciones de asistencia.</w:t>
      </w:r>
    </w:p>
    <w:p w14:paraId="30235899" w14:textId="77777777" w:rsidR="00D03C17" w:rsidRDefault="00D03C17">
      <w:pPr>
        <w:pStyle w:val="Bodytext80"/>
        <w:rPr>
          <w:sz w:val="15"/>
          <w:szCs w:val="15"/>
        </w:rPr>
      </w:pPr>
      <w:r>
        <w:rPr>
          <w:b/>
          <w:bCs/>
          <w:i/>
          <w:iCs/>
          <w:sz w:val="15"/>
          <w:szCs w:val="15"/>
        </w:rPr>
        <w:t>Paciente individual</w:t>
      </w:r>
    </w:p>
    <w:p w14:paraId="570ABE12" w14:textId="77777777" w:rsidR="00D03C17" w:rsidRDefault="00D03C17">
      <w:pPr>
        <w:pStyle w:val="BodyText"/>
        <w:ind w:firstLine="0"/>
      </w:pPr>
      <w:r>
        <w:t>Es imposible evitar las infecciones por estafilococo dorado de origen comunitario en hospedadores inmunocompetentes porque el germen está distribuido muy ampliamente y no existe vacuna contra él. La bacteriemia se puede evitar con medidas como lavarse con frecuencia las manos, recibir tratamiento apropiado cuando así convenga y conservar la limpieza de las abrasiones cutáneas. En el caso de pacientes con trastornos de la función de neutrófilos o con cuadros crónicos de la piel predispuestos a infecciones por estafilococos dorados se han utilizado diversas técnicas para evitar infección. Incluyen atención escrupulosa a la higiene de la piel, y a los tipos de ropas personales y de cama utilizados para llevar al mínimo la sudación. Otras de las medidas útiles son erradicar el estado de portador nasal, si lo hay, uso expedito de antimicrobianos contra infecciones sospechadas, y en algunos casos, la administración duradera de trimetoprim-sulfametoxazol.</w:t>
      </w:r>
    </w:p>
    <w:p w14:paraId="522AA63C" w14:textId="77777777" w:rsidR="00D03C17" w:rsidRDefault="00D03C17">
      <w:pPr>
        <w:pStyle w:val="BodyText"/>
        <w:ind w:firstLine="360"/>
      </w:pPr>
      <w:r>
        <w:t xml:space="preserve">Las infecciones </w:t>
      </w:r>
      <w:r>
        <w:rPr>
          <w:b/>
          <w:bCs/>
        </w:rPr>
        <w:t xml:space="preserve">nosocomiales </w:t>
      </w:r>
      <w:r>
        <w:t>por estafilococos dorados se pueden evitar o erradicar en el paciente individual por medio de medidas generales, profilaxia antimicrobiana transoperatoria y erradicación del estado de portador nasal.</w:t>
      </w:r>
    </w:p>
    <w:p w14:paraId="493822A3" w14:textId="77777777" w:rsidR="00D03C17" w:rsidRDefault="00D03C17">
      <w:pPr>
        <w:pStyle w:val="BodyText"/>
        <w:ind w:firstLine="360"/>
      </w:pPr>
      <w:r>
        <w:rPr>
          <w:rFonts w:ascii="Times New Roman" w:eastAsia="Times New Roman" w:hAnsi="Times New Roman" w:cs="Times New Roman"/>
          <w:b/>
          <w:bCs/>
          <w:i/>
          <w:iCs/>
          <w:sz w:val="16"/>
          <w:szCs w:val="16"/>
        </w:rPr>
        <w:t>Medidas generales.</w:t>
      </w:r>
      <w:r>
        <w:t xml:space="preserve"> Las recomendaciones publicadas por el Hospital Infection Control Practices Advisory Committee (HICPAC)</w:t>
      </w:r>
      <w:r>
        <w:footnoteReference w:id="32"/>
      </w:r>
      <w:r>
        <w:t xml:space="preserve"> de los CDC en Estados Unidos para evitar la neumonía nosocomial seguramente disminuirán la incidencia de dicho cuadro por </w:t>
      </w:r>
      <w:r>
        <w:rPr>
          <w:rFonts w:ascii="Times New Roman" w:eastAsia="Times New Roman" w:hAnsi="Times New Roman" w:cs="Times New Roman"/>
          <w:i/>
          <w:iCs/>
          <w:sz w:val="16"/>
          <w:szCs w:val="16"/>
        </w:rPr>
        <w:t>5. aureus.</w:t>
      </w:r>
      <w:r>
        <w:t xml:space="preserve"> La preparación cuidadosa de la piel antes de operaciones y de colocar catéteres intravasculares (por medio de métodos de barrera) disminuirá la incidencia de infecciones en el catéter y en la herida por </w:t>
      </w:r>
      <w:r>
        <w:rPr>
          <w:rFonts w:ascii="Times New Roman" w:eastAsia="Times New Roman" w:hAnsi="Times New Roman" w:cs="Times New Roman"/>
          <w:i/>
          <w:iCs/>
          <w:sz w:val="16"/>
          <w:szCs w:val="16"/>
        </w:rPr>
        <w:t>5. aureus.</w:t>
      </w:r>
      <w:r>
        <w:t xml:space="preserve"> También se llevará al mínimo la posibilidad de infección en la herida o incisión, si se sigue una técnica quirúrgica meticulosa con traumatismo mínimo a los tejidos, conservación de oxigenación satisfactoria y formación mínima de hematoma y de espacios muertos. Adquiere importancia máxima la higiene manual minuciosa que incluya la que se hace antes de colocarse los guantes y después de usarlos, por parte de los profesionales asistenciales, así como el cumplimiento estricto de las precauciones para evitar la transmisión por contacto.</w:t>
      </w:r>
    </w:p>
    <w:p w14:paraId="0995B510" w14:textId="77777777" w:rsidR="00D03C17" w:rsidRDefault="00D03C17">
      <w:pPr>
        <w:pStyle w:val="BodyText"/>
        <w:spacing w:line="276" w:lineRule="auto"/>
        <w:ind w:firstLine="360"/>
      </w:pPr>
      <w:r>
        <w:rPr>
          <w:rFonts w:ascii="Times New Roman" w:eastAsia="Times New Roman" w:hAnsi="Times New Roman" w:cs="Times New Roman"/>
          <w:b/>
          <w:bCs/>
          <w:i/>
          <w:iCs/>
          <w:sz w:val="16"/>
          <w:szCs w:val="16"/>
        </w:rPr>
        <w:t>Profilaxia transoperatoria con antimicrobianos.</w:t>
      </w:r>
      <w:r>
        <w:t xml:space="preserve"> Entre el comienzo y el cierre de la incisión quirúrgica son inoculadas bacterias en las incisiones. Los antimicrobianos se administran para que durante el periodo crítico sus concentraciones sean mayores que las de MIC de </w:t>
      </w:r>
      <w:r>
        <w:rPr>
          <w:rFonts w:ascii="Times New Roman" w:eastAsia="Times New Roman" w:hAnsi="Times New Roman" w:cs="Times New Roman"/>
          <w:i/>
          <w:iCs/>
          <w:sz w:val="16"/>
          <w:szCs w:val="16"/>
        </w:rPr>
        <w:t>5. aureus</w:t>
      </w:r>
      <w:r>
        <w:t xml:space="preserve"> y CoNS en la sangre y tejidos; dicha defensa farmacológica destruirá directamente a algunas de las bacterias inoculadas y facilitará la destrucción de ellas también por los neutrófilos. Se ha definido la eficacia de la profilaxia en la cirugía “limpia”. El antimicrobiano se administra 15 a 30 min antes de la operación y durante toda la técnica se conservan concentraciones séricas altas del mismo. Se recomienda que la terapia dure en su totalidad menos de 24 h. Los estafilococos son los patógenos más comunes en diversos métodos quirúrgicos y la cefazolina es el fármaco más recomendado en casi todas las operaciones en corazón, torácicas generales, vasculares, ortopédicas y neuroquirúrgicas. El uso de vancomicina para profilaxia debe ser ocasional (véase “Principios del uso apropiado de la vancomicina”, sección 4).</w:t>
      </w:r>
    </w:p>
    <w:p w14:paraId="4F4FE53A" w14:textId="77777777" w:rsidR="00D03C17" w:rsidRDefault="00D03C17">
      <w:pPr>
        <w:pStyle w:val="BodyText"/>
        <w:spacing w:line="283" w:lineRule="auto"/>
        <w:ind w:firstLine="360"/>
      </w:pPr>
      <w:r>
        <w:rPr>
          <w:rFonts w:ascii="Times New Roman" w:eastAsia="Times New Roman" w:hAnsi="Times New Roman" w:cs="Times New Roman"/>
          <w:b/>
          <w:bCs/>
          <w:i/>
          <w:iCs/>
          <w:sz w:val="16"/>
          <w:szCs w:val="16"/>
        </w:rPr>
        <w:t>Erradicación del estado de portador nasal.</w:t>
      </w:r>
      <w:r>
        <w:t xml:space="preserve"> La detección y la erradicación del estado de portador nasal por medio de aplicación de mupirocina dos veces al día durante uno a cinco días, disminuye la incidencia de infecciones por </w:t>
      </w:r>
      <w:r>
        <w:rPr>
          <w:rFonts w:ascii="Times New Roman" w:eastAsia="Times New Roman" w:hAnsi="Times New Roman" w:cs="Times New Roman"/>
          <w:i/>
          <w:iCs/>
          <w:sz w:val="16"/>
          <w:szCs w:val="16"/>
        </w:rPr>
        <w:t>5. aureus</w:t>
      </w:r>
      <w:r>
        <w:t xml:space="preserve"> en algunos adultos colonizados, después de procedimientos cardiotorácicos, generales o neuroquirúrgicos. El empleo intermitente o continuo de mupirocina intranasal para erradicar el estado de portador nasal, según se ha demostrado, disminuye la incidencia de infecciones invasoras por </w:t>
      </w:r>
      <w:r>
        <w:rPr>
          <w:rFonts w:ascii="Times New Roman" w:eastAsia="Times New Roman" w:hAnsi="Times New Roman" w:cs="Times New Roman"/>
          <w:i/>
          <w:iCs/>
          <w:sz w:val="16"/>
          <w:szCs w:val="16"/>
        </w:rPr>
        <w:t>5. aureus</w:t>
      </w:r>
      <w:r>
        <w:t xml:space="preserve"> en adultos a quienes se somete a hemodiálisis por largo tiempo o a diálisis peritoneal de tipo ambulatorio. Es difícil erradicar el estado de portador nasal de </w:t>
      </w:r>
      <w:r>
        <w:rPr>
          <w:rFonts w:ascii="Times New Roman" w:eastAsia="Times New Roman" w:hAnsi="Times New Roman" w:cs="Times New Roman"/>
          <w:i/>
          <w:iCs/>
          <w:sz w:val="16"/>
          <w:szCs w:val="16"/>
        </w:rPr>
        <w:t>5. aureus</w:t>
      </w:r>
      <w:r>
        <w:t xml:space="preserve"> y con el empleo repetido o amplio surgen cepas resistentes a dicho antibiótico.</w:t>
      </w:r>
    </w:p>
    <w:p w14:paraId="4719C7AC" w14:textId="77777777" w:rsidR="00D03C17" w:rsidRDefault="00D03C17">
      <w:pPr>
        <w:pStyle w:val="Bodytext80"/>
        <w:rPr>
          <w:sz w:val="15"/>
          <w:szCs w:val="15"/>
        </w:rPr>
      </w:pPr>
      <w:r>
        <w:rPr>
          <w:b/>
          <w:bCs/>
          <w:i/>
          <w:iCs/>
          <w:sz w:val="15"/>
          <w:szCs w:val="15"/>
        </w:rPr>
        <w:t>Instituciones de asistencia</w:t>
      </w:r>
    </w:p>
    <w:p w14:paraId="430DF703" w14:textId="77777777" w:rsidR="00D03C17" w:rsidRDefault="00D03C17">
      <w:pPr>
        <w:pStyle w:val="BodyText"/>
        <w:ind w:firstLine="0"/>
      </w:pPr>
      <w:r>
        <w:t xml:space="preserve">Las medidas para erradicar la propagación de </w:t>
      </w:r>
      <w:r>
        <w:rPr>
          <w:rFonts w:ascii="Times New Roman" w:eastAsia="Times New Roman" w:hAnsi="Times New Roman" w:cs="Times New Roman"/>
          <w:i/>
          <w:iCs/>
          <w:sz w:val="16"/>
          <w:szCs w:val="16"/>
        </w:rPr>
        <w:t>5. aureus</w:t>
      </w:r>
      <w:r>
        <w:t xml:space="preserve"> en hospitales o unidades hospitalarias incluyen la aplicación y la vigilancia cuidadosa de las directrices de Hospital Infection Control Practices Advisory Committee publicadas en 1996.</w:t>
      </w:r>
      <w:r>
        <w:footnoteReference w:id="33"/>
      </w:r>
      <w:r>
        <w:t xml:space="preserve"> Varían ampliamente de un hospital a otro las estrategias para desterrar la transmisión nosocomial de MRSA, y las directrices recomiendan que cada hospital individualice las recomendaciones. Si se identifica a un paciente o a un profesional asistencial como portador crónico de </w:t>
      </w:r>
      <w:r>
        <w:rPr>
          <w:rFonts w:ascii="Times New Roman" w:eastAsia="Times New Roman" w:hAnsi="Times New Roman" w:cs="Times New Roman"/>
          <w:i/>
          <w:iCs/>
          <w:sz w:val="16"/>
          <w:szCs w:val="16"/>
        </w:rPr>
        <w:t>5. aureus,</w:t>
      </w:r>
      <w:r>
        <w:t xml:space="preserve"> incluidas MRSA, por medio de la aplicación de mupirocina se puede erradicar tal situación. A pesar de que un número cada vez mayor de cepas de MRSA son resistentes </w:t>
      </w:r>
      <w:r>
        <w:rPr>
          <w:rFonts w:ascii="Times New Roman" w:eastAsia="Times New Roman" w:hAnsi="Times New Roman" w:cs="Times New Roman"/>
          <w:i/>
          <w:iCs/>
          <w:sz w:val="16"/>
          <w:szCs w:val="16"/>
        </w:rPr>
        <w:t>in vitro</w:t>
      </w:r>
      <w:r>
        <w:t xml:space="preserve"> a dicho antibiótico, las concentraciones en los preparados tópicos (2% o 20 000 pg/ml) son lo suficientemente altas como para ser eficaces contra muchas subespecies. Habría que considerar el empleo de otros preparados tópicos si es ineficaz la mupirocina; incluye pomadas de bacitracina y sulfato de polimixina B o una crema de polividona. Los preparados mencionados no han sido estudiados en niños. Disminuir el abuso de los antimicrobianos hará que aminore la aparición de cepas de VISA. Hay que valorar la restricción y el “ciclado” de los antimicrobianos. En Estados Unidos, los CDC han publicado recomendaciones para contener la propagación de cepas de VISA recientemente identificadas (cuadro 3-12). Es de máxima importancia la revisión constante y la restricción del uso de vancomicina en intentos de erradicar la aparición de VISA y VRSA (véase “Uso apropiado de antimicrobianos”, sección 4). Hasta la fecha no se ha hecho una valoración adecuada en niños, del empleo de catéteres impregnados con diversos antimicrobianos para evitar infecciones nosocomiales.</w:t>
      </w:r>
    </w:p>
    <w:p w14:paraId="09CA0CA7" w14:textId="77777777" w:rsidR="00D03C17" w:rsidRDefault="00D03C17">
      <w:pPr>
        <w:pStyle w:val="BodyText"/>
        <w:spacing w:line="276" w:lineRule="auto"/>
        <w:ind w:firstLine="360"/>
        <w:sectPr w:rsidR="00D03C17" w:rsidSect="00D03C17">
          <w:headerReference w:type="even" r:id="rId388"/>
          <w:headerReference w:type="default" r:id="rId389"/>
          <w:footerReference w:type="even" r:id="rId390"/>
          <w:footerReference w:type="default" r:id="rId391"/>
          <w:footnotePr>
            <w:numFmt w:val="chicago"/>
          </w:footnotePr>
          <w:pgSz w:w="8501" w:h="13022"/>
          <w:pgMar w:top="711" w:right="830" w:bottom="456" w:left="749" w:header="0" w:footer="3" w:gutter="0"/>
          <w:pgNumType w:start="320"/>
          <w:cols w:space="720"/>
          <w:noEndnote/>
          <w:docGrid w:linePitch="360"/>
          <w15:footnoteColumns w:val="1"/>
        </w:sectPr>
      </w:pPr>
      <w:r>
        <w:rPr>
          <w:rFonts w:ascii="Times New Roman" w:eastAsia="Times New Roman" w:hAnsi="Times New Roman" w:cs="Times New Roman"/>
          <w:b/>
          <w:bCs/>
          <w:i/>
          <w:iCs/>
          <w:sz w:val="16"/>
          <w:szCs w:val="16"/>
        </w:rPr>
        <w:t>Salas de cuna.</w:t>
      </w:r>
      <w:r>
        <w:t xml:space="preserve"> Los brotes de infecciones por </w:t>
      </w:r>
      <w:r>
        <w:rPr>
          <w:rFonts w:ascii="Times New Roman" w:eastAsia="Times New Roman" w:hAnsi="Times New Roman" w:cs="Times New Roman"/>
          <w:i/>
          <w:iCs/>
          <w:sz w:val="16"/>
          <w:szCs w:val="16"/>
        </w:rPr>
        <w:t>5. aureus</w:t>
      </w:r>
      <w:r>
        <w:t xml:space="preserve"> en salas de neonatos obligan a practicar medidas peculiares de control. Se ha utilizado la aplicación de triple colorante, la pomada de un yodóforo o el polvo de hexaclorofeno en el muñón umbilical para retrasar o evitar la colonización. En lo que se refiere sólo a los productos de término, cabe utilizar hexaclorofeno al 3% para el baño, seguido de enjuagado minucioso. Otras medidas recomendadas en los brotes comprenden juntar en cohortes a los pequeños enfermos y al personal, aliviar el apiñamiento y la falta de personal y conceder énfasis a la higiene de las manos. Durante el brote se prefiere usar jabones con antimicrobianos. El cultivo del material umbilical y el de las fosas nasales de lactantes y de fosas nasales y lesiones cutáneas del personal en busca de </w:t>
      </w:r>
      <w:r>
        <w:rPr>
          <w:rFonts w:ascii="Times New Roman" w:eastAsia="Times New Roman" w:hAnsi="Times New Roman" w:cs="Times New Roman"/>
          <w:i/>
          <w:iCs/>
          <w:sz w:val="16"/>
          <w:szCs w:val="16"/>
        </w:rPr>
        <w:t>5. aureus</w:t>
      </w:r>
      <w:r>
        <w:t xml:space="preserve"> es útil para identificar a los pequeños colonizados. Habrá que utilizar la electroforesis con gel en campo pulsado, para conocer la identidad de las cepas. El personal afectado según las normas epidemiológicas puede ser tratado con mupirocina, contra el estado de portador nasal.</w:t>
      </w:r>
    </w:p>
    <w:p w14:paraId="27541EFD" w14:textId="77777777" w:rsidR="00D03C17" w:rsidRDefault="00D03C17">
      <w:pPr>
        <w:pStyle w:val="BodyText"/>
        <w:ind w:firstLine="0"/>
      </w:pPr>
      <w:r>
        <w:t>permanencia u orificios de colostomía si los hay), como mínimo en tres ocasiones separadas (con una diferencia mayor de una semana).</w:t>
      </w:r>
    </w:p>
    <w:p w14:paraId="61358BDA" w14:textId="77777777" w:rsidR="00D03C17" w:rsidRDefault="00D03C17">
      <w:pPr>
        <w:pStyle w:val="BodyText"/>
        <w:spacing w:after="100"/>
        <w:ind w:firstLine="0"/>
      </w:pPr>
      <w:r>
        <w:rPr>
          <w:b/>
          <w:bCs/>
        </w:rPr>
        <w:t>M</w:t>
      </w:r>
      <w:r>
        <w:rPr>
          <w:b/>
          <w:bCs/>
          <w:sz w:val="13"/>
          <w:szCs w:val="13"/>
        </w:rPr>
        <w:t>EDIDAS PREVENTIVAS</w:t>
      </w:r>
      <w:r>
        <w:rPr>
          <w:b/>
          <w:bCs/>
        </w:rPr>
        <w:t xml:space="preserve">: </w:t>
      </w:r>
      <w:r>
        <w:t>Los niños con cardiopatìa valvular o congénita deben recibir profilaxia con antimicrobianos para evitar la endocarditis en el momento en que se le practiquen técnicas dentales u otras escogidas de tipo quirúrgico (véase “Prevención de endocarditis bacteriana”, sección 5). El uso de vancomicina y de antimicrobianos de amplio espectro constituyen factores de riesgo de colonización e infección por VRE. Los hospitales deben elaborar directrices específicas de cada institución para el empleo apropiado de vancomicina.</w:t>
      </w:r>
      <w:r>
        <w:footnoteReference w:id="34"/>
      </w:r>
    </w:p>
    <w:p w14:paraId="5E431005" w14:textId="77777777" w:rsidR="00D03C17" w:rsidRDefault="00D03C17">
      <w:pPr>
        <w:pStyle w:val="Bodytext70"/>
        <w:spacing w:after="0"/>
      </w:pPr>
      <w:r>
        <w:t>Estreptococos del grupo A, infecciones</w:t>
      </w:r>
    </w:p>
    <w:p w14:paraId="4DCA8A40" w14:textId="77777777" w:rsidR="00D03C17" w:rsidRDefault="00D03C17">
      <w:pPr>
        <w:pStyle w:val="BodyText"/>
        <w:ind w:firstLine="0"/>
      </w:pPr>
      <w:r>
        <w:rPr>
          <w:b/>
          <w:bCs/>
          <w:smallCaps/>
          <w:sz w:val="20"/>
          <w:szCs w:val="20"/>
        </w:rPr>
        <w:t>M</w:t>
      </w:r>
      <w:r>
        <w:rPr>
          <w:b/>
          <w:bCs/>
          <w:smallCaps/>
          <w:sz w:val="16"/>
          <w:szCs w:val="16"/>
        </w:rPr>
        <w:t>anifestaciones clínicas</w:t>
      </w:r>
      <w:r>
        <w:rPr>
          <w:b/>
          <w:bCs/>
          <w:smallCaps/>
          <w:sz w:val="20"/>
          <w:szCs w:val="20"/>
        </w:rPr>
        <w:t>:</w:t>
      </w:r>
      <w:r>
        <w:t xml:space="preserve"> La infección clínica más frecuente causada por los estreptococos del grupo A </w:t>
      </w:r>
      <w:r>
        <w:rPr>
          <w:i/>
          <w:iCs/>
        </w:rPr>
        <w:t>(</w:t>
      </w:r>
      <w:r>
        <w:rPr>
          <w:rFonts w:ascii="Times New Roman" w:eastAsia="Times New Roman" w:hAnsi="Times New Roman" w:cs="Times New Roman"/>
          <w:i/>
          <w:iCs/>
          <w:sz w:val="16"/>
          <w:szCs w:val="16"/>
        </w:rPr>
        <w:t>group A streptococcal</w:t>
      </w:r>
      <w:r>
        <w:rPr>
          <w:i/>
          <w:iCs/>
        </w:rPr>
        <w:t>,</w:t>
      </w:r>
      <w:r>
        <w:t xml:space="preserve"> GAS) es la faringoamigdalitis aguda. En algunos niños sin tratamiento, surgen complicaciones purulentas que incluyen otitis media, sinusitis, abscesos periamigdalinos y retrofaríngeo y adenitis cervical supurada. La gravedad de la enfermedad de vías respiratorias altas por estreptococos se vincula con las secuelas agudas y las no supuradas (como la fiebre reumática y la glomerulonefritis aguda). La escarlatina surge más a menudo junto con la faringitis y, en raras ocasiones, con la piodermia o la infección de una herida. La fiebre en cuestión incluye una erupción característica, eritematosa y confluyente, de apariencia rugosa, causada por una o más de las exotoxinas eritrógenas producidas por cepas de GAS. Rara vez hay escarlatina grave con efectos tóxicos a nivel sistémico. Salvo la aparición de la erupción, los signos epidemiológicos, síntomas, secuelas y tratamiento de la escarlatina son iguales a los que corresponden a la faringitis estreptocócica.</w:t>
      </w:r>
    </w:p>
    <w:p w14:paraId="6E268B72" w14:textId="77777777" w:rsidR="00D03C17" w:rsidRDefault="00D03C17">
      <w:pPr>
        <w:pStyle w:val="BodyText"/>
        <w:ind w:firstLine="360"/>
      </w:pPr>
      <w:r>
        <w:t>Los niños de uno a tres años de vida que tienen infección de vías respiratorias por GAS en el comienzo pueden tener rinitis intensa y presentar un cuadro tardío que incluye fiebre moderada, irritabilidad y anorexia (fiebre estreptocócica). El cuadro inicial clásico de la infección de vías respiratorias altas por estreptococos, que es la faringitis aguda, es poco común en niños menores de tres años. Tampoco es frecuente en los pequeños de ese grupo de edad la fiebre reumática.</w:t>
      </w:r>
    </w:p>
    <w:p w14:paraId="57C07838" w14:textId="77777777" w:rsidR="00D03C17" w:rsidRDefault="00D03C17">
      <w:pPr>
        <w:pStyle w:val="BodyText"/>
        <w:ind w:firstLine="360"/>
      </w:pPr>
      <w:r>
        <w:t>El segundo sitio de ataque de la infección por GAS de la piel. Las infecciones cutáneas por estreptococos (como piodermia o impétigo) pueden ocasionar glomerulonefritis aguda, que surge en ocasiones en epidemias, pero la fiebre reumática aguda no es una secuela de la infección cutánea por estreptococos.</w:t>
      </w:r>
    </w:p>
    <w:p w14:paraId="0DD0D417" w14:textId="77777777" w:rsidR="00D03C17" w:rsidRDefault="00D03C17">
      <w:pPr>
        <w:pStyle w:val="BodyText"/>
        <w:ind w:firstLine="360"/>
      </w:pPr>
      <w:r>
        <w:t xml:space="preserve">Otras infecciones por GAS incluyen erisipelas, celulitis perianal, vaginitis, bacteriemia (con foco identificado o sin él), neumonía, endocarditis, pericarditis, artritis séptica, celulitis, fascitis necrosante, osteomielitis, miositis, sepsis puerperal, infección de heridas o incisiones quirúrgicas y onfalitis neonatal. La fascitis necrosante y otras infecciones invasoras por GAS en niños suelen aparecer como complicaciones de la varicela. Las infecciones invasoras mencionadas pueden ser graves, con identificación del foco de infección local o sin ella y a veces se acompañan del síndrome de choque tóxico por estreptococos. El punto de entrada de las infecciones invasoras suele ser la piel o las partes blandas, y la infección puede surgir después de traumatismo de poca monta o no percibido. Se ha establecido un vínculo entre la infección estreptocócica y un cuadro conocido como PANDAS (trastornos neuropsiquiátricos autoinmunitarios en niños, que dependen de infecciones estreptocócicas </w:t>
      </w:r>
      <w:r>
        <w:rPr>
          <w:i/>
          <w:iCs/>
        </w:rPr>
        <w:t>[</w:t>
      </w:r>
      <w:r>
        <w:rPr>
          <w:rFonts w:ascii="Times New Roman" w:eastAsia="Times New Roman" w:hAnsi="Times New Roman" w:cs="Times New Roman"/>
          <w:i/>
          <w:iCs/>
          <w:sz w:val="16"/>
          <w:szCs w:val="16"/>
        </w:rPr>
        <w:t>pediatric autoimmune neuropsychiatrie disorders associated with streptococcal infection})</w:t>
      </w:r>
      <w:r>
        <w:rPr>
          <w:i/>
          <w:iCs/>
        </w:rPr>
        <w:t>.</w:t>
      </w:r>
      <w:r>
        <w:t xml:space="preserve"> El cuadro en cuestión tiene como característica el comienzo repentino o una evolución episódica de trastornos obsesivo-compulsivos, tics o alteraciones de ambos tipos, que acompañan a una infección por estreptococos.</w:t>
      </w:r>
    </w:p>
    <w:p w14:paraId="1F651E5F" w14:textId="77777777" w:rsidR="00D03C17" w:rsidRDefault="00D03C17">
      <w:pPr>
        <w:pStyle w:val="BodyText"/>
        <w:ind w:firstLine="360"/>
      </w:pPr>
      <w:r>
        <w:t>El síndrome de choque tóxico causado por infección por GAS se revisa en el resumen de “Tóxico, síndrome de choque” (en esta sección).</w:t>
      </w:r>
    </w:p>
    <w:p w14:paraId="054AD5D7" w14:textId="77777777" w:rsidR="00D03C17" w:rsidRDefault="00D03C17">
      <w:pPr>
        <w:pStyle w:val="BodyText"/>
        <w:ind w:firstLine="0"/>
      </w:pPr>
      <w:r>
        <w:rPr>
          <w:b/>
          <w:bCs/>
        </w:rPr>
        <w:t>C</w:t>
      </w:r>
      <w:r>
        <w:rPr>
          <w:b/>
          <w:bCs/>
          <w:sz w:val="13"/>
          <w:szCs w:val="13"/>
        </w:rPr>
        <w:t>AUSAS</w:t>
      </w:r>
      <w:r>
        <w:rPr>
          <w:b/>
          <w:bCs/>
        </w:rPr>
        <w:t xml:space="preserve">: </w:t>
      </w:r>
      <w:r>
        <w:t xml:space="preserve">Se han identificado más de 100 tipos de proteína M distintos de los estreptococos hemolíticos beta del grupo A </w:t>
      </w:r>
      <w:r>
        <w:rPr>
          <w:rFonts w:ascii="Times New Roman" w:eastAsia="Times New Roman" w:hAnsi="Times New Roman" w:cs="Times New Roman"/>
          <w:i/>
          <w:iCs/>
          <w:sz w:val="16"/>
          <w:szCs w:val="16"/>
        </w:rPr>
        <w:t>(Streptococcuspyogenes).</w:t>
      </w:r>
      <w:r>
        <w:t xml:space="preserve"> También se ha hecho tipificación por empleo de los tipos emm y quizá tenga mayor capacidad de definición o discriminación que la serotipificación por la proteína M. Los estudios epidemiológicos sugieren un vínculo entre algunos serotipos (tipos 1, 3, 5, 6, 18, 19 y 24), y la fiebre reumática, pero no se ha identificado un factor reumatógeno específico. Algunos serotipos (tipos 49, 55, 57 y 59) se acompañan de piodermia y glomerulonefritis aguda. Otros (tipos 1, 6 y 12) han guardado relación con faringitis y glomerulonefritis aguda. Los estreptococos de grupos C y G se han vinculado con faringitis y a veces con nefritis aguda, pero no causan fiebre reumática.</w:t>
      </w:r>
    </w:p>
    <w:p w14:paraId="22FA5CD8" w14:textId="77777777" w:rsidR="00D03C17" w:rsidRDefault="00D03C17">
      <w:pPr>
        <w:pStyle w:val="BodyText"/>
        <w:ind w:firstLine="0"/>
      </w:pPr>
      <w:r>
        <w:rPr>
          <w:b/>
          <w:bCs/>
        </w:rPr>
        <w:t>A</w:t>
      </w:r>
      <w:r>
        <w:rPr>
          <w:b/>
          <w:bCs/>
          <w:sz w:val="13"/>
          <w:szCs w:val="13"/>
        </w:rPr>
        <w:t>SPECTOS EPIDEMIOLÓGICOS</w:t>
      </w:r>
      <w:r>
        <w:rPr>
          <w:b/>
          <w:bCs/>
        </w:rPr>
        <w:t xml:space="preserve">: </w:t>
      </w:r>
      <w:r>
        <w:t>La faringitis suele ser consecuencia del contacto con una persona que tiene faringitis estreptocócica. No son vectores de la infección por GAS los objetos inanimados y las mascotas caseras como los perros. La transmisión de la infección por GAS que incluyen brotes de faringitis en poblaciones escolares casi siempre surgen después del contacto con secreciones de vías respiratorias. La faringitis y el impétigo (y sus complicaciones no supuradas) a veces provienen de situaciones como apiñamiento que suele aparecer en poblaciones con carencias socioeconómicas. El contacto muy cercano que se observa en escuelas, centros de atención pediátrica e instalaciones militares facilita la transmisión. Se ha sabido de brotes provenientes de alimentos y son consecuencia de la contaminación de alimentos por secreciones de seres humanos junto con la preparación o la refrigeración inapropiadas.</w:t>
      </w:r>
    </w:p>
    <w:p w14:paraId="79C885BC" w14:textId="77777777" w:rsidR="00D03C17" w:rsidRDefault="00D03C17">
      <w:pPr>
        <w:pStyle w:val="BodyText"/>
        <w:ind w:firstLine="360"/>
      </w:pPr>
      <w:r>
        <w:t>La faringitis estreptocócica afecta a personas de cualquier edad, pero es más frecuente en niños escolares y en adolescentes. La faringitis y la piodermia por estreptococos del grupo A son menos frecuentes en adultos que en niños.</w:t>
      </w:r>
    </w:p>
    <w:p w14:paraId="1CBF7123" w14:textId="77777777" w:rsidR="00D03C17" w:rsidRDefault="00D03C17">
      <w:pPr>
        <w:pStyle w:val="BodyText"/>
        <w:ind w:firstLine="360"/>
      </w:pPr>
      <w:r>
        <w:t>En lo que se refiere a sus aspectos geográficos, la faringitis y la piodermia estreptocócica muestran distribución muy amplia. La piodermia es más común en climas tropicales y estaciones cálidas, quizá por el antecedente de picaduras de insectos y otros traumatismos de poca monta en la piel. La faringitis mencionada es más común a finales del otoño, en el invierno y en la primavera en climas templados, tal vez por el contacto más cercano directo en las escuelas. La transmisibilidad de niños con la faringitis comentada alcanza su máximo durante la infección aguda, y en personas no tratadas disminuye poco a poco en un lapso de semanas. Los pacientes dejan de ser contagiosos en término de 24 h de haber comenzado el uso de antimicrobianos apropiados.</w:t>
      </w:r>
    </w:p>
    <w:p w14:paraId="77641EA8" w14:textId="77777777" w:rsidR="00D03C17" w:rsidRDefault="00D03C17">
      <w:pPr>
        <w:pStyle w:val="BodyText"/>
        <w:ind w:firstLine="360"/>
      </w:pPr>
      <w:r>
        <w:t>Los estudios a base de cultivos de material faríngeo (exudado faríngeo) de niños asintomáticos durante brotes escolares de faringitis han permitido identificar cifras de prevalencia de GAS incluso de 15 a 50%; comprenden niños con infecciones asintomáticas y portadores faríngeos que ya no tienen respuesta inmunitaria ulterior a antígenos celulares o extracelulares de GAS. El estado de portador de GAS puede persistir muchos meses, pero es muy pequeño el peligro de transmisión a terceros.</w:t>
      </w:r>
    </w:p>
    <w:p w14:paraId="56F91628" w14:textId="77777777" w:rsidR="00D03C17" w:rsidRDefault="00D03C17">
      <w:pPr>
        <w:pStyle w:val="BodyText"/>
        <w:ind w:firstLine="360"/>
      </w:pPr>
      <w:r>
        <w:t>La incidencia de fiebre reumática aguda en Estados Unidos ha disminuido netamente en el curso de algunos decenios, pero algunos brotes focales de la enfermedad en el decenio de 1990 en escolares y diversas zonas geográficas demostró que persistía el riesgo de que la enfermedad no estuviera erradicada. No se han identificado las causas de tales brotes, pero su aparición destaca una vez más la importancia de diagnosticar faringitis por GAS y cumplir con la terapia antimicrobiana, durante todo el tiempo que sea recomendable.</w:t>
      </w:r>
    </w:p>
    <w:p w14:paraId="2CD3D194" w14:textId="77777777" w:rsidR="00D03C17" w:rsidRDefault="00D03C17">
      <w:pPr>
        <w:pStyle w:val="BodyText"/>
        <w:ind w:firstLine="360"/>
      </w:pPr>
      <w:r>
        <w:t>En el impétigo estreptocócico el microorganismo por lo común proviene de otra persona con el mismo trastorno, por contacto físico directo. Antes de que surja la infección cutánea por lo regular la piel sana es colonizada por GAS. Las lesiones impetiginosas aparecen en puntos en que se pierde la continuidad de la piel (picaduras de insectos, quemaduras, lesiones traumáticas), porque los estreptococos del grupo A no penetran en la piel intacta. Una vez que han surgido las lesiones impetiginosas, a menudo se coloniza la porción alta de las vías respiratorias. La infección de incisiones quirúrgicas y la fiebre puerperal o sepsis posparto por lo común son consecuencia de la transmisión directa por contacto, a través de los portadores manuales. Los portadores anales o vaginales y personas con piodermia o infecciones supuradas locales pueden contagiar GAS a pacientes quirúrgicos y obstétricas con lo cual surgen brotes nosocomiales. La infección en los neonatos a veces es consecuencia de la transmisión durante el parto o por contacto; en este último caso, el cuadro suele comenzar con onfalitis.</w:t>
      </w:r>
    </w:p>
    <w:p w14:paraId="551BD476" w14:textId="77777777" w:rsidR="00D03C17" w:rsidRDefault="00D03C17">
      <w:pPr>
        <w:pStyle w:val="BodyText"/>
        <w:ind w:firstLine="360"/>
      </w:pPr>
      <w:r>
        <w:t>En años recientes, al parecer ha aumentado la incidencia de infecciones invasoras graves por GAS que incluyen bacteriemia, síndrome de choque tóxico estreptocócico y fascitis necrosante. La incidencia al parecer alcanza su nivel máximo en lactantes y ancianos. La varicela es el factor de riesgo identificado con mayor frecuencia en los niños. Otros factores de peligro incluyen el uso de drogas intravenosas, la infección por virus de inmunodeficiencia humana, la diabetes mellitus y enfermedades crónicas de corazón o pulmones. Se desconoce el punto de penetración en casi la mitad de las infecciones invasoras por GAS; en casi todos los casos se piensa que es la piel o las mucosas. Las infecciones en cuestión rara vez aparecen después de faringitis por GAS. A pesar de que innumerables señalamientos de casos han descrito un vínculo temporal entre el uso de antiinflamatorios no esteroideos en las infecciones invasoras por GAS en niños con varicela, no se ha corroborado que exista dicha relación causal.</w:t>
      </w:r>
    </w:p>
    <w:p w14:paraId="27B28777" w14:textId="77777777" w:rsidR="00D03C17" w:rsidRDefault="00D03C17">
      <w:pPr>
        <w:pStyle w:val="BodyText"/>
        <w:ind w:firstLine="360"/>
      </w:pPr>
      <w:r>
        <w:t xml:space="preserve">El </w:t>
      </w:r>
      <w:r>
        <w:rPr>
          <w:b/>
          <w:bCs/>
        </w:rPr>
        <w:t xml:space="preserve">periodo de incubación </w:t>
      </w:r>
      <w:r>
        <w:t>de la faringitis estreptocócica es de dos a cinco días. En lo que se refiere al impétigo, se ha demostrado un periodo de siete a 10 días entre la llegada de GAS a la piel sana y la aparición de las lesiones.</w:t>
      </w:r>
    </w:p>
    <w:p w14:paraId="0703967B" w14:textId="77777777" w:rsidR="00D03C17" w:rsidRDefault="00D03C17">
      <w:pPr>
        <w:pStyle w:val="BodyText"/>
        <w:ind w:firstLine="0"/>
      </w:pPr>
      <w:r>
        <w:rPr>
          <w:b/>
          <w:bCs/>
        </w:rPr>
        <w:t>M</w:t>
      </w:r>
      <w:r>
        <w:rPr>
          <w:b/>
          <w:bCs/>
          <w:sz w:val="13"/>
          <w:szCs w:val="13"/>
        </w:rPr>
        <w:t>ÉTODOS DIAGNÓSTICOS</w:t>
      </w:r>
      <w:r>
        <w:rPr>
          <w:b/>
          <w:bCs/>
        </w:rPr>
        <w:t xml:space="preserve">: </w:t>
      </w:r>
      <w:r>
        <w:t>Se ha recomendado confirmar el ataque por GAS por medio de estudios de laboratorio en niños con faringitis porque no es posible la diferenciación exacta entre la faringitis vírica y la causada por GAS sólo sobre bases clínicas. Hay que obtener una muestra por el “frotamiento” vigoroso de las amígdalas y la retrofaringe con un aplicador. El cultivo en agar con sangre de oveja confirma la presencia de la infección por GAS y es posible diferenciar entre los estreptococos del grupo A, de otros hemolíticos beta por métodos como aglutinación por látex, anticuerpos fluorescentes, coaglutinación o técnicas de precipitación hechas en colonias que proliferan en las placas de agar. El uso apropiado de discos con bacitracina para valorar susceptibilidad (que contengan 0.04 unidades del antibiótico) permite la identificación provisional de GAS, pero es un método menos preciso de diagnóstico. Surgen resultados negativos falsos de los cultivos en menos de 10% de pacientes sintomáticos cuando se obtiene una muestra adecuada de exudado faríngeo y se le cultiva adecuadamente, por parte de personal experto y con medios y técnicas apropiadas. La identificación de GAS de la faringe no permite diferenciar a los pacientes con infección estreptocócica verdadera (definida por una respuesta de anticuerpos en estudios serológicos), de portadores estreptocócicos que tienen faringitis vírica intercurrente. Por medio del número de colonias de GAS en la placa de cultivo de agar no se puede diferenciar con exactitud entre la infección verdadera y el estado de portador. Los cultivos en que no se identifica GAS después de 24 h deben ser incubados un día más, para llevar a nivel óptimo el aislamiento de estreptococos del grupo A.</w:t>
      </w:r>
    </w:p>
    <w:p w14:paraId="2FB0B3A4" w14:textId="77777777" w:rsidR="00D03C17" w:rsidRDefault="00D03C17">
      <w:pPr>
        <w:pStyle w:val="BodyText"/>
        <w:ind w:firstLine="360"/>
      </w:pPr>
      <w:r>
        <w:t>Se cuenta con algunos métodos rápidos para diagnosticar la faringitis por GAS, y casi todos se basan en la extracción del antígeno (carbohidrato) de grupo A, por medio del ácido nitroso, de los microorganismos obtenidos en el exudado faríngeo. Por lo común es grande la especificidad de dichos procedimientos aunque las sensibilidades señaladas varían ampliamente. Como se observa en el caso de los cultivos de exudado faríngeo, la exactitud de tales pruebas depende en gran medida de la buena calidad de la muestra del exudado que puede contener secreciones faríngeas, amigdalinas o de ambos tipos, de la experiencia de la persona que realiza la prueba y del rigor con que se aplican las normas de cultivo para comparación. Por todo lo comentado, si un niño en quien se sospecha faringitis por GAS sobre bases clínicas presenta una prueba negativa rápida a estreptococos, habrá que hacer un cultivo de exudado faríngeo para asegurar que él no tiene una infección por GAS. Ante la altísima especificidad de las pruebas rápidas, el resultado positivo en ellas significa que no es necesaria la confirmación por medio del cultivo de dicho exudado. Se han creado métodos diagnósticos rápidos que utilizan elementos como inmunoensayo óptico y sondas de DNA por quimioluminiscencia. Los datos publicados sugieren que ellas pueden tener la misma sensibilidad que los cultivos habituales de exudado faríngeo en el agar-sangre de ovejas. Algunos expertos piensan que el inmunoensayo óptico tiene la suficiente sensibilidad como para ser usado sin el apoyo de los datos del cultivo de exudado faríngeo. Los médicos que utilizan cualquiera de los métodos rápidos sin el apoyo de los cultivos quizá intenten comparar sus resultados con los de los cultivos para validar la sensibilidad adecuada, en la práctica.</w:t>
      </w:r>
    </w:p>
    <w:p w14:paraId="28E874F2" w14:textId="77777777" w:rsidR="00D03C17" w:rsidRDefault="00D03C17">
      <w:pPr>
        <w:pStyle w:val="BodyText"/>
        <w:spacing w:line="276" w:lineRule="auto"/>
        <w:ind w:firstLine="360"/>
      </w:pPr>
      <w:r>
        <w:rPr>
          <w:rFonts w:ascii="Arial" w:eastAsia="Arial" w:hAnsi="Arial" w:cs="Arial"/>
          <w:b/>
          <w:bCs/>
          <w:i/>
          <w:iCs/>
          <w:sz w:val="15"/>
          <w:szCs w:val="15"/>
        </w:rPr>
        <w:t>Indicaciones para practicar la identificación de GAS.</w:t>
      </w:r>
      <w:r>
        <w:t xml:space="preserve"> Entre los factores por considerar en la decisión de obtener una muestra de exudado faríngeo para estudiar en niños con faringitis estarán la edad del menor, signos y síntomas clínicos, la estación del año y aspectos de epidemiología familiar y comunitaria que incluyan contacto con un paciente infectado por GAS o la presencia dentro del núcleo familiar de una persona con fiebre reumática aguda o antecedentes de la misma o de glomerulonefritis posestreptocócica. La infección por estreptococos del grupo A es menos frecuente en niños menores de tres años, pero en algunas unidades de atención infantil o pediátrica se han notificado brotes de la faringitis por dicho microorganismo en los niños de ese grupo de edad. El peligro de fiebre reumática aguda es muy remoto en países desarrollados en los niños de corta edad al grado de que no se recomienda sistemáticamente practicar estudios diagnósticos de la faringitis de ese origen, en los pequeños menores de tres años. Los niños con manifestaciones que sugieren fuertemente infección vírica como coriza, conjuntivitis, ronquera, tos, estomatitis anterior, lesiones ulceradas definidas o diarrea posiblemente no tienen a los estreptococos de grupo A como causa de su cuadro faríngeo y por ello no es necesario emprender estudios para identificar a dichos microorganismos. Los menores con un cuadro que comenzó en forma aguda e incluye faringitis, fiebre, cefalea, dolor al deglutir, dolor abdominal, náuseas, vómitos o agrandamiento y dolor de los ganglios cervicales anteriores muy probablemente tengan al estreptococo del grupo A como causa de su faringitis y en ellos se hará una prueba antigénica rápida o un cultivo de exudado faríngeo.</w:t>
      </w:r>
    </w:p>
    <w:p w14:paraId="78DB1DA2" w14:textId="77777777" w:rsidR="00D03C17" w:rsidRDefault="00D03C17">
      <w:pPr>
        <w:pStyle w:val="BodyText"/>
        <w:ind w:firstLine="360"/>
      </w:pPr>
      <w:r>
        <w:t>Las indicaciones para practicar estudios en contactos de enfermos con infección por GAS varían con las circunstancias. No se recomienda practicar pruebas en los contactos del núcleo familiar asintomáticos en busca de GAS, excepto en brotes o cuando dichos contactos están expuestos a un mayor peligro de presentar secuelas de la infección por GAS. Es importante obtener muestras de exudado faríngeo de los hermanos y de todos los demás contactos del núcleo familiar de un niño que tiene fiebre reumática aguda o glomerulonefritis posestreptocócica, y si los resultados son positivos, habrá que tratar a dichos contactos independientemente de que muestren síntomas o los hayan presentado en fecha reciente. También habrá que practicar pruebas en los contactos del núcleo familiar de un caso primario o índice con faringitis estreptocócica que en fecha reciente tuvo síntomas o aún los tiene que sugieren infección estreptocócica. Habrá que hacer cultivo del material de las lesiones de piodermia en familias con uno o más casos de nefritis aguda o síndrome de choque tóxico estreptocócico para así emprender la administración de antimicrobianos para erradicar estreptococos del grupo A.</w:t>
      </w:r>
    </w:p>
    <w:p w14:paraId="090CD920" w14:textId="77777777" w:rsidR="00D03C17" w:rsidRDefault="00D03C17">
      <w:pPr>
        <w:pStyle w:val="BodyText"/>
        <w:ind w:firstLine="360"/>
      </w:pPr>
      <w:r>
        <w:t>Conviene la práctica de cultivos de exudado faríngeo después del tratamiento sólo en pacientes expuestos al riesgo particularmente grande de fiebre reumática o que siguen mostrando síntomas para esa fecha. No está indicada la repetición de los ciclos con antimicrobianos en sujetos asintomáticos que siguen mostrando estreptococos GAS después de la terapia apropiada con antimicrobianos; las excepciones serían personas que han tenido fiebre reumática, cardiopatía reumática o cuyos miembros de la familia tuvieron uno u otro problemas, o en otras circunstancias epidemiológicas poco frecuentes como serían brotes de fiebre reumática o glomerulonefritis posestreptocócica aguda.</w:t>
      </w:r>
    </w:p>
    <w:p w14:paraId="4CF24B1C" w14:textId="77777777" w:rsidR="00D03C17" w:rsidRDefault="00D03C17">
      <w:pPr>
        <w:pStyle w:val="BodyText"/>
        <w:ind w:firstLine="360"/>
      </w:pPr>
      <w:r>
        <w:t>Los niños que muestran episodios repetidos de faringitis a intervalos cortos, por GAS, corroborado por cultivos o métodos de detección de antígeno constituyen un problema especial. A menudo ellos son portadores a largo plazo de GAS y sufren frecuentemente enfermedades víricas. En la valoración de dichos pacientes hay que pensar en el cumplimiento inadecuado de órdenes respecto a la administración de fármacos ingeribles. A pesar de que es una situación poco común, en algunas zonas aparece a veces resistencia a la eritromicina que culmina en ineficacia terapéutica. Algunas cepas también son resistentes a otros macrólidos como la claritromicina y la azitromicina dihidratada. No es útil someter a prueba a contactos asintomáticos del círculo familiar; sin embargo, si varios miembros de dicho círculo muestran faringitis sintomáticas u otras infecciones por GAS, como piodermia, puede ser útil practicar cultivos simultáneos de todos los miembros de dicho círculo y tratar a todos los integrantes que muestren cultivos positivos o practicar pruebas antigénicas rápidas.</w:t>
      </w:r>
    </w:p>
    <w:p w14:paraId="06384AA4" w14:textId="77777777" w:rsidR="00D03C17" w:rsidRDefault="00D03C17">
      <w:pPr>
        <w:pStyle w:val="BodyText"/>
        <w:ind w:firstLine="360"/>
      </w:pPr>
      <w:r>
        <w:t>En las escuelas, centros de atención infantiles u otros entornos en que existe el contacto muy cercano de un gran número de personas, la prevalencia del estado de portador faríngeo de GAS en niños sanos puede llegar a 15%, incluso sin que exista algún brote de enfermedad por estreptococos. Por tal razón no conviene practicar sistemáticamente campañas para hacer cultivos de los compañeros de clase o grupos más amplios, y su práctica se considerará únicamente si han surgido casos múltiples de fiebre reumática, glomerulonefritis o cuadros invasores graves por estreptococos del grupo A.</w:t>
      </w:r>
    </w:p>
    <w:p w14:paraId="38942469" w14:textId="77777777" w:rsidR="00D03C17" w:rsidRDefault="00D03C17">
      <w:pPr>
        <w:pStyle w:val="BodyText"/>
        <w:ind w:firstLine="360"/>
      </w:pPr>
      <w:r>
        <w:t>No conviene practicar sistemáticamente cultivos del material de las lesiones impetiginosas porque en ambas proliferan estreptococos y estafilococos y quizá no sea posible identificar al patógeno primario.</w:t>
      </w:r>
    </w:p>
    <w:p w14:paraId="264597C7" w14:textId="77777777" w:rsidR="00D03C17" w:rsidRDefault="00D03C17">
      <w:pPr>
        <w:pStyle w:val="BodyText"/>
        <w:spacing w:after="220"/>
        <w:ind w:firstLine="360"/>
      </w:pPr>
      <w:r>
        <w:t>En caso de sospechar infecciones invasoras por GAS, conviene hacer cultivo de sangre y de material de sitios focales de posible infección. En la fascitis necrosante es útil la resonancia magnética para confirmar el diagnóstico anatómico.</w:t>
      </w:r>
    </w:p>
    <w:p w14:paraId="56DC79A5" w14:textId="77777777" w:rsidR="00D03C17" w:rsidRDefault="00D03C17">
      <w:pPr>
        <w:pStyle w:val="Other0"/>
        <w:spacing w:line="240" w:lineRule="auto"/>
        <w:ind w:firstLine="0"/>
        <w:rPr>
          <w:sz w:val="20"/>
          <w:szCs w:val="20"/>
        </w:rPr>
      </w:pPr>
      <w:r>
        <w:rPr>
          <w:b/>
          <w:bCs/>
          <w:smallCaps/>
          <w:sz w:val="20"/>
          <w:szCs w:val="20"/>
        </w:rPr>
        <w:t>T</w:t>
      </w:r>
      <w:r>
        <w:rPr>
          <w:b/>
          <w:bCs/>
          <w:smallCaps/>
          <w:sz w:val="16"/>
          <w:szCs w:val="16"/>
        </w:rPr>
        <w:t>ratamiento</w:t>
      </w:r>
      <w:r>
        <w:rPr>
          <w:b/>
          <w:bCs/>
          <w:smallCaps/>
          <w:sz w:val="20"/>
          <w:szCs w:val="20"/>
        </w:rPr>
        <w:t>:</w:t>
      </w:r>
    </w:p>
    <w:p w14:paraId="63338C4D" w14:textId="77777777" w:rsidR="00D03C17" w:rsidRDefault="00D03C17">
      <w:pPr>
        <w:pStyle w:val="Bodytext80"/>
        <w:rPr>
          <w:sz w:val="15"/>
          <w:szCs w:val="15"/>
        </w:rPr>
      </w:pPr>
      <w:r>
        <w:rPr>
          <w:b/>
          <w:bCs/>
          <w:i/>
          <w:iCs/>
          <w:sz w:val="15"/>
          <w:szCs w:val="15"/>
        </w:rPr>
        <w:t>Faringitis</w:t>
      </w:r>
    </w:p>
    <w:p w14:paraId="4B9A4C40" w14:textId="77777777" w:rsidR="00D03C17" w:rsidRDefault="00D03C17">
      <w:pPr>
        <w:pStyle w:val="BodyText"/>
        <w:numPr>
          <w:ilvl w:val="0"/>
          <w:numId w:val="95"/>
        </w:numPr>
        <w:tabs>
          <w:tab w:val="left" w:pos="341"/>
        </w:tabs>
        <w:ind w:left="360" w:hanging="360"/>
      </w:pPr>
      <w:bookmarkStart w:id="372" w:name="bookmark1378"/>
      <w:bookmarkEnd w:id="372"/>
      <w:r>
        <w:t>La penicilina V es el medicamento más indicado para tratar la faringitis por GAS, excepto en personas alérgicas a dicho antibiótico. Nunca se ha corroborado el aislamiento de estreptococos de grupo A de seres humanos, resistentes a la penicilina. En vez de la penicilina V a menudo se utilizan ampicilina o amoxicilina, pero con ambas no existe ventaja microbiológica respecto a la penicilina. Sin embargo, datos preliminares sugieren que la amoxicilina ingerible en una sola dosis diaria durante 10 días tiene la misma eficacia que la penicilina V ingerida tres veces al día durante 10 días. La administración de penicilina evita la fiebre reumática aguda incluso si tal antibioticoterapia se inicia incluso nueve días después de haber comenzado el cuadro agudo, pues acorta la evolución clínica, disminuye el peligro de transmisión y aminora el riesgo de secuelas supuradas. En el caso de todos los niños con fiebre reumática aguda, habrá que emprender un ciclo completo de penicilinoterapia o el uso de otros antimicrobianos apropiados contra la faringitis por GAS para erradicar dicho microorganismo de la faringe, aunque en el primer cultivo de exudado faríngeo no se aísle tal germen patógeno.</w:t>
      </w:r>
    </w:p>
    <w:p w14:paraId="796C0AC3" w14:textId="77777777" w:rsidR="00D03C17" w:rsidRDefault="00D03C17">
      <w:pPr>
        <w:pStyle w:val="BodyText"/>
        <w:numPr>
          <w:ilvl w:val="0"/>
          <w:numId w:val="95"/>
        </w:numPr>
        <w:tabs>
          <w:tab w:val="left" w:pos="341"/>
        </w:tabs>
        <w:ind w:left="360" w:hanging="360"/>
      </w:pPr>
      <w:bookmarkStart w:id="373" w:name="bookmark1379"/>
      <w:bookmarkEnd w:id="373"/>
      <w:r>
        <w:t>La dosis de penicilina V ingerible es de 400 000 U (250 mg) dos a tres veces al día durante 10 días en niños que pesan menos de 27 kg y 800 000 U (500 mg) dos a tres veces al día en el caso de niños de mayor peso, adolescentes y adultos. Para evitar la fiebre reumática aguda habrá que emprender el tratamiento con penicilina ingerible los 10 días completos, independientemente de la prontitud con que surja la recuperación clínica. Los preparados diversos de penicilina ingerible muestran variaciones en su absorción, pero su eficacia clínica es similar. La ineficacia de la penicilinoterapia puede ocurrir con mayor frecuencia con las formas ingeribles de dicho fármaco que con la penicilina G benzatínica aplicada por vía intramuscular, porque muy a menudo el paciente no cumple adecuadamente con las órdenes terapéuticas, es decir, no ingiere la penicilina.</w:t>
      </w:r>
    </w:p>
    <w:p w14:paraId="40E5E109" w14:textId="77777777" w:rsidR="00D03C17" w:rsidRDefault="00D03C17">
      <w:pPr>
        <w:pStyle w:val="BodyText"/>
        <w:numPr>
          <w:ilvl w:val="0"/>
          <w:numId w:val="95"/>
        </w:numPr>
        <w:tabs>
          <w:tab w:val="left" w:pos="341"/>
        </w:tabs>
        <w:spacing w:after="120"/>
        <w:ind w:left="360" w:hanging="360"/>
      </w:pPr>
      <w:bookmarkStart w:id="374" w:name="bookmark1380"/>
      <w:bookmarkEnd w:id="374"/>
      <w:r>
        <w:t>La penicilina G benzatínica intramuscular es un fármaco apropiado. Garantiza que se produzcan concentraciones adecuadas en la sangre y evita el problema del cumplimiento y colaboración, pero su aplicación es dolorosa. En el caso de niños que pesan menos de 27 kg, la penicilina G benzatínica se aplica en una sola dosis de 600 000 U; para niños con mayor talla y peso y adultos, la dosis es de 1.2 millones de unidades. La molestia es menor si la penicilina mencionada se deja un lapso a la temperatura ambiente antes de inyectarla por vía intramuscular. No se ha demostrado que las mezclas que contienen penicilina de acción más breve (penicilina G procaínica), además de la penicilina G benzatínica, sean más eficaces que esta última sola, pero son menos dolorosas cuando se aplican. Son escasos los datos en pro de su uso, pero la combinación de 900 000 U de penicilina G benzatínica y 300 000 U de penicilina G procaínica es satisfactoria en casi todos los niños; a pesar de ello, no se ha demostrado la eficacia de tal combinación en pacientes de mayor peso como los adolescentes y los adultos.</w:t>
      </w:r>
    </w:p>
    <w:p w14:paraId="4DF6FC65" w14:textId="77777777" w:rsidR="00D03C17" w:rsidRDefault="00D03C17">
      <w:pPr>
        <w:pStyle w:val="BodyText"/>
        <w:numPr>
          <w:ilvl w:val="0"/>
          <w:numId w:val="95"/>
        </w:numPr>
        <w:tabs>
          <w:tab w:val="left" w:pos="339"/>
        </w:tabs>
        <w:ind w:left="360" w:hanging="360"/>
      </w:pPr>
      <w:bookmarkStart w:id="375" w:name="bookmark1381"/>
      <w:bookmarkEnd w:id="375"/>
      <w:r>
        <w:t xml:space="preserve">La eritromicina ingerible conviene en personas alérgicas a la penicilina, y el tratamiento debe hacerse durante 10 días. Son eficaces el estolato (20 a 40 mg/kg al día en dos a cuatro fracciones) o el etilsuccinato de eritromicina (40 mg/kg de peso al día en dos a cuatro fracciones) para combatir la faringitis estreptocócica; la dosis máxima es de 1 g/día. También son eficaces otros macrólidos como la claritromicina durante 10 días o la azitromicina durante cinco días (regímenes aprobados por la </w:t>
      </w:r>
      <w:r>
        <w:rPr>
          <w:rFonts w:ascii="Times New Roman" w:eastAsia="Times New Roman" w:hAnsi="Times New Roman" w:cs="Times New Roman"/>
          <w:i/>
          <w:iCs/>
          <w:sz w:val="16"/>
          <w:szCs w:val="16"/>
        </w:rPr>
        <w:t>Food and Drug Administration</w:t>
      </w:r>
      <w:r>
        <w:rPr>
          <w:i/>
          <w:iCs/>
        </w:rPr>
        <w:t>).</w:t>
      </w:r>
      <w:r>
        <w:t xml:space="preserve"> En algunas zonas del mundo, como Japón y Finlandia, han prevalecido unas cepas de GAS resistentes a la eritromicina y otros macrólidos, y han originado ineficacia terapéutica, pero tales cepas son poco comunes en casi todas las zonas de Estados Unidos.</w:t>
      </w:r>
    </w:p>
    <w:p w14:paraId="173D9EA3" w14:textId="77777777" w:rsidR="00D03C17" w:rsidRDefault="00D03C17">
      <w:pPr>
        <w:pStyle w:val="BodyText"/>
        <w:numPr>
          <w:ilvl w:val="0"/>
          <w:numId w:val="95"/>
        </w:numPr>
        <w:tabs>
          <w:tab w:val="left" w:pos="339"/>
        </w:tabs>
        <w:ind w:left="360" w:hanging="360"/>
      </w:pPr>
      <w:bookmarkStart w:id="376" w:name="bookmark1382"/>
      <w:bookmarkEnd w:id="376"/>
      <w:r>
        <w:t>Otro fármaco aceptable al que cabe recurrir es la cefalosporina ingerible, de la primera generación (espectro angosto) durante 10 días, particularmente en niños alérgicos a la penicilina. Sin embargo, incluso 15% de dichos niños alérgicos también lo son a las cefalosporinas. Es necesario que no reciban una cefalosporina los niños con hipersensibilidad de tipo anafiláctico e inmediata a la penicilina. Algunos señalamientos han sugerido que el ciclo de algunas cefalosporinas ingeridas que dure cinco días es semejante a un ciclo de 10 días de penicilina ingerible para erradicar GAS de las vías respiratorias altas. Sin embargo, convendría hacer más estudios para ampliar y confirmar las observaciones anteriores antes de recomendar tales regímenes. El costo adicional de casi todas las cefalosporinas y su espectro más amplio de actividad antibacteriana en comparación con la penicilina impide recomendarlas para uso corriente en los regímenes comunes o breves en personas con faringitis por GAS que no son alérgicas a la penicilina.</w:t>
      </w:r>
    </w:p>
    <w:p w14:paraId="31FB94EE" w14:textId="77777777" w:rsidR="00D03C17" w:rsidRDefault="00D03C17">
      <w:pPr>
        <w:pStyle w:val="BodyText"/>
        <w:numPr>
          <w:ilvl w:val="0"/>
          <w:numId w:val="95"/>
        </w:numPr>
        <w:tabs>
          <w:tab w:val="left" w:pos="339"/>
        </w:tabs>
        <w:spacing w:after="220"/>
        <w:ind w:left="360" w:hanging="360"/>
      </w:pPr>
      <w:bookmarkStart w:id="377" w:name="bookmark1383"/>
      <w:bookmarkEnd w:id="377"/>
      <w:r>
        <w:t>No deben utilizarse tetraciclinas ni sulfonamidas para tratar la faringitis por GAS. Casi todas las cepas son resistentes a la tetraciclina, y las sulfonamidas no erradican GAS a pesar que son eficaces para la profilaxia ininterrumpida contra la fiebre reumática recurrente (véase “Profilaxia secundaria contra la fiebre reumática”, más adelante).</w:t>
      </w:r>
    </w:p>
    <w:p w14:paraId="1B8D2D67" w14:textId="77777777" w:rsidR="00D03C17" w:rsidRDefault="00D03C17">
      <w:pPr>
        <w:pStyle w:val="BodyText"/>
        <w:ind w:firstLine="360"/>
      </w:pPr>
      <w:r>
        <w:t>Los menores que muestran recidiva de la faringitis por GAS poco después de completar un ciclo de 10 días con el antimicrobiano ingerible recomendado pueden ser tratados de nuevo con el mismo agente, recibir otro agente ingerible o bien una inyección intramuscular de penicilina G benzatínica, en particular si existe la posibilidad de que no se hayan cumplido adecuadamente las órdenes terapéuticas, es decir el menor no ingirió el fármaco. Otros fármacos comprenden una cefalosporina de espectro reducido, amoxicilina-clavulanato potásico, clindamicina, eritromicina u otro macrólido. Las opiniones de expertos difieren en cuanto a la terapia más adecuada en tal circunstancia.</w:t>
      </w:r>
    </w:p>
    <w:p w14:paraId="12139213" w14:textId="77777777" w:rsidR="00D03C17" w:rsidRDefault="00D03C17">
      <w:pPr>
        <w:pStyle w:val="BodyText"/>
        <w:ind w:firstLine="360"/>
      </w:pPr>
      <w:r>
        <w:t>Es un problema tratar a un paciente que muestra episodios repetitivos y frecuentes de faringitis aguda, junto con la identificación de GAS por medio de pruebas de laboratorio (pruebas positivas). Es importante esclarecer los factores siguientes para saber si el paciente es un portador viejo de estreptococos en su faringe y que ha mostrado episodios repetidos de faringitis vírica intercurrente (situación frecuente en muchos casos): 1) si los signos clínicos sugieren más ataque de GAS o un virus patógeno; 2) si los factores epidemiológicos en la comunidad sugieren más bien que GAS es el agente patógeno o un virus lo es; 3) la naturaleza de la respuesta clínica a los antimicrobianos administrados (en caso de ataque verdadero por GAS la respuesta la terapia por lo común es rápida); 4) si entre uno y otro episodios de faringitis aguda se detectan y aíslan en el laboratorio GAS (pruebas positivas), y 5) si ha surgido una respuesta serológica a antígenos extracelulares de GAS (como antiestreptolisina O). Sólo en laboratorios de investigación se practica la serotipificación de GAS aislados, pero en caso de realizarse, identificar repetidas veces el mismo serotipo sugiere que haya un estado de portador, y el aislamiento de serotipos diferentes denota infecciones repetidas.</w:t>
      </w:r>
    </w:p>
    <w:p w14:paraId="13D7AB96" w14:textId="77777777" w:rsidR="00D03C17" w:rsidRDefault="00D03C17">
      <w:pPr>
        <w:pStyle w:val="BodyText"/>
        <w:spacing w:line="276" w:lineRule="auto"/>
        <w:ind w:firstLine="360"/>
      </w:pPr>
      <w:r>
        <w:rPr>
          <w:rFonts w:ascii="Arial" w:eastAsia="Arial" w:hAnsi="Arial" w:cs="Arial"/>
          <w:b/>
          <w:bCs/>
          <w:i/>
          <w:iCs/>
          <w:sz w:val="15"/>
          <w:szCs w:val="15"/>
        </w:rPr>
        <w:t>Portadores faríngeos.</w:t>
      </w:r>
      <w:r>
        <w:t xml:space="preserve"> La terapia antimicrobiana no está indicada en casi todos los portadores faríngeos de GAS. Entre las excepciones (situaciones específicas en que pudiera convenir la erradicación del estado de portador) están: 1) un brote de fiebre reumática aguda o de glomerulonefritis posestreptocócica; 2) un brote de faringitis por GAS en una comunidad cerrada o semicerrada; 3) el antecedente familiar de fiebre reumática; 4) múltiples episodios de faringitis sintomática por GAS que siguen apareciendo en el seno de una familia durante muchas semanas a pesar del tratamiento apropiado; 5) la familia que muestra excesiva ansiedad por las infecciones GAS, o 6) se considera la posibilidad de amigdalectomía sólo por el estado de portador crónico de estreptococos del grupo A.</w:t>
      </w:r>
    </w:p>
    <w:p w14:paraId="53DE544F" w14:textId="77777777" w:rsidR="00D03C17" w:rsidRDefault="00D03C17">
      <w:pPr>
        <w:pStyle w:val="BodyText"/>
        <w:spacing w:line="276" w:lineRule="auto"/>
        <w:ind w:firstLine="360"/>
        <w:rPr>
          <w:sz w:val="15"/>
          <w:szCs w:val="15"/>
        </w:rPr>
      </w:pPr>
      <w:r>
        <w:t xml:space="preserve">El estado de portador estafilocócico es difícil de erradicar con los antimicrobianos corrientes. Se ha demostrado que diversos agentes de ese tipo, que incluyen clindamicina, amoxicilina-clavulanato y una combinación de rifampicina en los últimos cuatro días del tratamiento con penicilinas V o G benzatínica, es más eficaz que la sola penicilina para eliminar el estado de portador crónico de estreptococos. De los fármacos mencionados, según informes, el más eficaz es la clindamicina a razón de 20 mg ingeridos/kg de peso al día en tres dosis (máxima, 1.8 g/día) durante 10 días. Los datos también sugieren que la azitromicina ingerible constituye un fármaco eficaz para un régimen breve orientado a erradicar GAS bucofaríngeo; sin embargo, su empleo generalizado pudiera contribuir a que surjan bacterias resistentes a macrólidos. La erradicación documentada del estado de portador es útil en la valoración de nuevos episodios de faringitis aguda; sin embargo, puede reaparecer el estado de portador por largo tiempo una vez que se contagia de nuevo la persona con estreptococos del grupo A. </w:t>
      </w:r>
      <w:r>
        <w:rPr>
          <w:rFonts w:ascii="Arial" w:eastAsia="Arial" w:hAnsi="Arial" w:cs="Arial"/>
          <w:b/>
          <w:bCs/>
          <w:i/>
          <w:iCs/>
          <w:sz w:val="15"/>
          <w:szCs w:val="15"/>
        </w:rPr>
        <w:t>Impétigo estreptocócico</w:t>
      </w:r>
    </w:p>
    <w:p w14:paraId="13554B18" w14:textId="77777777" w:rsidR="00D03C17" w:rsidRDefault="00D03C17">
      <w:pPr>
        <w:pStyle w:val="BodyText"/>
        <w:numPr>
          <w:ilvl w:val="0"/>
          <w:numId w:val="95"/>
        </w:numPr>
        <w:tabs>
          <w:tab w:val="left" w:pos="341"/>
        </w:tabs>
        <w:spacing w:after="220"/>
        <w:ind w:left="360" w:hanging="360"/>
        <w:rPr>
          <w:sz w:val="16"/>
          <w:szCs w:val="16"/>
        </w:rPr>
      </w:pPr>
      <w:bookmarkStart w:id="378" w:name="bookmark1384"/>
      <w:bookmarkEnd w:id="378"/>
      <w:r>
        <w:t xml:space="preserve">La pomada de mupirocina (local) puede ser útil para limitar el contagio directo de una persona a otra del impétigo con GAS y para erradicar la enfermedad localizada. En el caso de lesiones múltiples o en ataque de impétigo en varios miembros del núcleo familiar, grupos de asistencia pediátrica o equipos deportivos, habrá que tratar el impétigo con regímenes antimicrobianos administrados a nivel sistémico. Los episodios de impétigo pueden ser causados por </w:t>
      </w:r>
      <w:r>
        <w:rPr>
          <w:rFonts w:ascii="Times New Roman" w:eastAsia="Times New Roman" w:hAnsi="Times New Roman" w:cs="Times New Roman"/>
          <w:i/>
          <w:iCs/>
          <w:sz w:val="16"/>
          <w:szCs w:val="16"/>
        </w:rPr>
        <w:t xml:space="preserve">Staphylococcus aureus </w:t>
      </w:r>
      <w:r>
        <w:t xml:space="preserve">o </w:t>
      </w:r>
      <w:r>
        <w:rPr>
          <w:rFonts w:ascii="Times New Roman" w:eastAsia="Times New Roman" w:hAnsi="Times New Roman" w:cs="Times New Roman"/>
          <w:i/>
          <w:iCs/>
          <w:sz w:val="16"/>
          <w:szCs w:val="16"/>
        </w:rPr>
        <w:t>Streptococcus pyogenes,</w:t>
      </w:r>
      <w:r>
        <w:t xml:space="preserve"> pero los menores con impétigo por lo regular serán tratados con un antimicrobiano que sea activo contra GAS y </w:t>
      </w:r>
      <w:r>
        <w:rPr>
          <w:rFonts w:ascii="Times New Roman" w:eastAsia="Times New Roman" w:hAnsi="Times New Roman" w:cs="Times New Roman"/>
          <w:i/>
          <w:iCs/>
          <w:sz w:val="16"/>
          <w:szCs w:val="16"/>
        </w:rPr>
        <w:t>S. aureus.</w:t>
      </w:r>
    </w:p>
    <w:p w14:paraId="4A2E9CE1" w14:textId="77777777" w:rsidR="00D03C17" w:rsidRDefault="00D03C17">
      <w:pPr>
        <w:pStyle w:val="Bodytext80"/>
        <w:rPr>
          <w:sz w:val="15"/>
          <w:szCs w:val="15"/>
        </w:rPr>
      </w:pPr>
      <w:r>
        <w:rPr>
          <w:b/>
          <w:bCs/>
          <w:i/>
          <w:iCs/>
          <w:sz w:val="15"/>
          <w:szCs w:val="15"/>
        </w:rPr>
        <w:t>Otras infecciones</w:t>
      </w:r>
    </w:p>
    <w:p w14:paraId="79453050" w14:textId="77777777" w:rsidR="00D03C17" w:rsidRDefault="00D03C17">
      <w:pPr>
        <w:pStyle w:val="BodyText"/>
        <w:numPr>
          <w:ilvl w:val="0"/>
          <w:numId w:val="95"/>
        </w:numPr>
        <w:tabs>
          <w:tab w:val="left" w:pos="341"/>
        </w:tabs>
        <w:ind w:left="360" w:hanging="360"/>
      </w:pPr>
      <w:bookmarkStart w:id="379" w:name="bookmark1385"/>
      <w:bookmarkEnd w:id="379"/>
      <w:r>
        <w:t>En caso de infecciones graves como endocarditis, neumonía, septicemia, meningitis, artritis, osteomielitis, fascitis necrosante, onfalitis neonatal y síndrome de choque tóxico estreptocócico, se necesitan dosis altas de antimicrobianos parenterales. El tratamiento suele ser duradero (dos a seis semanas).</w:t>
      </w:r>
    </w:p>
    <w:p w14:paraId="6E5B5F53" w14:textId="77777777" w:rsidR="00D03C17" w:rsidRDefault="00D03C17">
      <w:pPr>
        <w:pStyle w:val="BodyText"/>
        <w:numPr>
          <w:ilvl w:val="0"/>
          <w:numId w:val="95"/>
        </w:numPr>
        <w:tabs>
          <w:tab w:val="left" w:pos="341"/>
        </w:tabs>
        <w:spacing w:after="220"/>
        <w:ind w:left="360" w:hanging="360"/>
      </w:pPr>
      <w:bookmarkStart w:id="380" w:name="bookmark1386"/>
      <w:bookmarkEnd w:id="380"/>
      <w:r>
        <w:t>En el tratamiento de niños con infecciones invasora graves por GAS, incluido el síndrome de choque tóxico, véase “Tóxico, síndrome de choque” (en esta sección).</w:t>
      </w:r>
    </w:p>
    <w:p w14:paraId="4264F381" w14:textId="77777777" w:rsidR="00D03C17" w:rsidRDefault="00D03C17">
      <w:pPr>
        <w:pStyle w:val="BodyText"/>
        <w:spacing w:line="288" w:lineRule="auto"/>
        <w:ind w:firstLine="360"/>
        <w:jc w:val="both"/>
      </w:pPr>
      <w:r>
        <w:rPr>
          <w:rFonts w:ascii="Arial" w:eastAsia="Arial" w:hAnsi="Arial" w:cs="Arial"/>
          <w:b/>
          <w:bCs/>
          <w:i/>
          <w:iCs/>
          <w:sz w:val="15"/>
          <w:szCs w:val="15"/>
        </w:rPr>
        <w:t>Prevención de secuelas.</w:t>
      </w:r>
      <w:r>
        <w:t xml:space="preserve"> La fiebre reumática aguda y la glomerulonefritis aguda son secuelas no supuradas graves de las infecciones por GAS. En las epidemias de infecciones por dicho microorganismo en bases militares estadounidenses en el decenio de 1950 apareció fiebre reumática en 3% de pacientes no tratados, que mostraban faringitis estreptocócica aguda. Se desconoce la cifra de ataque actual después de infecciones endémicas pero según se piensa es mucho menor. El riesgo de fiebre reumática prácticamente se ha eliminado por el tratamiento adecuado de la infección previa por GAS; sin embargo, han surgido casos raros de fiebre reumática incluso después de la terapia al parecer inapropiada. No se ha definido la eficacia de los antimicrobianos para evitar la glomerulonefritis posestreptocócica aguda después de piodermia. Las secuelas supuradas, como los abscesos periamigdalinos y la adenitis cervical, por lo común son evitables con el tratamiento de la infección primaria. </w:t>
      </w:r>
      <w:r>
        <w:rPr>
          <w:b/>
          <w:bCs/>
        </w:rPr>
        <w:t>A</w:t>
      </w:r>
      <w:r>
        <w:rPr>
          <w:b/>
          <w:bCs/>
          <w:sz w:val="13"/>
          <w:szCs w:val="13"/>
        </w:rPr>
        <w:t xml:space="preserve">ISLAMIENTO </w:t>
      </w:r>
      <w:r>
        <w:rPr>
          <w:b/>
          <w:bCs/>
          <w:smallCaps/>
          <w:sz w:val="16"/>
          <w:szCs w:val="16"/>
        </w:rPr>
        <w:t>del</w:t>
      </w:r>
      <w:r>
        <w:rPr>
          <w:b/>
          <w:bCs/>
          <w:sz w:val="13"/>
          <w:szCs w:val="13"/>
        </w:rPr>
        <w:t xml:space="preserve"> PACIENTE HOSPITALIZADO</w:t>
      </w:r>
      <w:r>
        <w:rPr>
          <w:b/>
          <w:bCs/>
        </w:rPr>
        <w:t xml:space="preserve">: </w:t>
      </w:r>
      <w:r>
        <w:t>Además de las precauciones estándar, se recomienda seguir las que evitan la transmisión por gotículas en niños con faringitis o neumonía, incluso 24 h después de haber comenzado la terapia apropiada. En el caso de quemados con infección secundaria por GAS e infecciones cutáneas extensas o húmedas que no pueden ser cubiertas o contenidas adecuadamente por apósitos, habrá que recurrir a las precauciones de contacto durante 24 h, como mínimo, después de haber comenzado la terapia apropiada.</w:t>
      </w:r>
    </w:p>
    <w:p w14:paraId="35DE7B8C" w14:textId="77777777" w:rsidR="00D03C17" w:rsidRDefault="00D03C17">
      <w:pPr>
        <w:pStyle w:val="BodyText"/>
        <w:ind w:firstLine="0"/>
      </w:pPr>
      <w:r>
        <w:rPr>
          <w:b/>
          <w:bCs/>
        </w:rPr>
        <w:t>M</w:t>
      </w:r>
      <w:r>
        <w:rPr>
          <w:b/>
          <w:bCs/>
          <w:sz w:val="13"/>
          <w:szCs w:val="13"/>
        </w:rPr>
        <w:t>EDIDAS PREVENTIVAS</w:t>
      </w:r>
      <w:r>
        <w:rPr>
          <w:b/>
          <w:bCs/>
        </w:rPr>
        <w:t xml:space="preserve">: </w:t>
      </w:r>
      <w:r>
        <w:t>Los medios más importantes para erradicar la enfermedad por GAS y sus secuelas es la identificación y tratamiento inmediatos de las infecciones.</w:t>
      </w:r>
    </w:p>
    <w:p w14:paraId="333681FA" w14:textId="77777777" w:rsidR="00D03C17" w:rsidRDefault="00D03C17">
      <w:pPr>
        <w:pStyle w:val="BodyText"/>
        <w:spacing w:line="276" w:lineRule="auto"/>
        <w:ind w:firstLine="360"/>
      </w:pPr>
      <w:r>
        <w:rPr>
          <w:rFonts w:ascii="Arial" w:eastAsia="Arial" w:hAnsi="Arial" w:cs="Arial"/>
          <w:b/>
          <w:bCs/>
          <w:i/>
          <w:iCs/>
          <w:sz w:val="15"/>
          <w:szCs w:val="15"/>
        </w:rPr>
        <w:t>Actividades escolares y atención infantil.</w:t>
      </w:r>
      <w:r>
        <w:t xml:space="preserve"> Los niños con faringitis estreptocócica o infecciones de la piel no deben retornar a la escuela o al centro de atención pediátrico antes de haber transcurrido como mínimo 24 h del comienzo de la terapia antimicrobiana apropiada. Será mejor evitar el contacto muy cercano con otros niños durante tal lapso, si es posible.</w:t>
      </w:r>
    </w:p>
    <w:p w14:paraId="4D251EAC" w14:textId="77777777" w:rsidR="00D03C17" w:rsidRDefault="00D03C17">
      <w:pPr>
        <w:pStyle w:val="BodyText"/>
        <w:spacing w:line="271" w:lineRule="auto"/>
        <w:ind w:firstLine="360"/>
      </w:pPr>
      <w:r>
        <w:rPr>
          <w:rFonts w:ascii="Arial" w:eastAsia="Arial" w:hAnsi="Arial" w:cs="Arial"/>
          <w:b/>
          <w:bCs/>
          <w:i/>
          <w:iCs/>
          <w:sz w:val="15"/>
          <w:szCs w:val="15"/>
        </w:rPr>
        <w:t>Cuidado de personas expuestas.</w:t>
      </w:r>
      <w:r>
        <w:t xml:space="preserve"> Las personas que son contactos de casos corroborados de infección por estreptococos y que en fecha reciente o en la actualidad tienen manifestaciones clínicas de infección por GAS, deben ser sometidas a métodos adecuados de laboratorio y tratadas en caso de que los resultados de los estudios sean positivos. Las cifras del estado de portador de GAS son mayores en hermanos (contactos) que en progenitores (contactos) en situaciones no epidémicas; durante las epidemias se han señalado cifras incluso de 50% en lo que toca a los hermanos contactos y 20% para los padres contactos. Más de la mitad de los contactos que se contagian del microorganismo enfermarán. El contagio asintomático de GAS pudiera imponer un riesgo moderado de que surjan complicaciones no supuradas; los estudios indican que incluso 33% de niños con fiebre reumática no tuvieron antecedentes de infecciones estreptocócicas recientes y que otro 33% tuvo síntomas leves de vías respiratorias que no culminaron en la búsqueda de atención médica. Sin embargo, no está indicada la valoración por medio de técnicas de laboratorio, de contactos asintomáticos del núcleo familiar, excepto durante brotes o cuando los contactos están expuestos a un mayor peligro de presentar secuelas de infección (véase “Indicaciones para emprender estudios en busca de GAS”, páginas anteriores en este resumen). No conviene administrar por menos de 10 días antimicrobianos a los contactos. En circunstancias raras como el caso de una gran familia con transmisión corroborada, repetida e intrafamiliar que origina episodios frecuentes de faringitis por GAS durante un lapso duradero, los médicos pueden decidirse por el tratamiento de todos los miembros de la familia identificados como portadores de GAS, según datos de estudios de laboratorio.</w:t>
      </w:r>
    </w:p>
    <w:p w14:paraId="241697EF" w14:textId="77777777" w:rsidR="00D03C17" w:rsidRDefault="00D03C17">
      <w:pPr>
        <w:pStyle w:val="BodyText"/>
        <w:ind w:firstLine="360"/>
      </w:pPr>
      <w:r>
        <w:t>Algunos expertos recomiendan la profilaxia con penicilina ingerible en el año o 12 meses de máximo riesgo para niños con episodios repetitivos de faringitis por GAS.</w:t>
      </w:r>
    </w:p>
    <w:p w14:paraId="11CF7170" w14:textId="77777777" w:rsidR="00D03C17" w:rsidRDefault="00D03C17">
      <w:pPr>
        <w:pStyle w:val="BodyText"/>
        <w:ind w:firstLine="0"/>
      </w:pPr>
      <w:r>
        <w:t>Sin embargo, tal estrategia debe ser frenada ante las preocupaciones de que surjan patógenos resistentes como serían Streptococcus pneumoniae pero no estreptococos del grupo A.</w:t>
      </w:r>
    </w:p>
    <w:p w14:paraId="5E3F7F59" w14:textId="77777777" w:rsidR="00D03C17" w:rsidRDefault="00D03C17">
      <w:pPr>
        <w:pStyle w:val="BodyText"/>
        <w:ind w:firstLine="360"/>
      </w:pPr>
      <w:r>
        <w:t>Los contactos del núcleo familiar de pacientes con enfermedad invasora y grave con GAS, incluido el síndrome de choque tóxico por estreptococos están expuestos a un mayor peligro de presentar enfermedad invasora y grave por GAS, en comparación con la población general, pero el peligro no es lo suficientemente alto como para justificar la búsqueda sistemática de colonización por GAS o la quimioprofilaxia sistemática de todos los contactos del núcleo familiar de personas con enfermedad invasora por dicho microorganismo. Sin embargo, ante el mayor peligro de enfermedad esporádica e invasora por GAS en algunas poblaciones, y ante el riesgo de muerte de individuos de 65 años y mayores que terminan por mostrar enfermedad invasora por dicho microorganismo, los profesionales asistenciales deben considerar la quimioprofilaxia particularizada a contactos del núcleo familiar que tengan 65 años de vida o más o que sean miembros de otras poblaciones de alto riesgo (como serían los grupos con infección por virus de inmunodeficiencia humana, varicela, diabetes mellitus). No se recomienda la quimioprofilaxia en escuelas ni unidades de atención infantil ante la rareza de casos subsecuentes y el bajo riesgo de infecciones invasoras por GAS en niños, en términos generales.</w:t>
      </w:r>
    </w:p>
    <w:p w14:paraId="450552DF" w14:textId="77777777" w:rsidR="00D03C17" w:rsidRDefault="00D03C17">
      <w:pPr>
        <w:pStyle w:val="BodyText"/>
        <w:spacing w:line="276" w:lineRule="auto"/>
        <w:ind w:firstLine="360"/>
      </w:pPr>
      <w:r>
        <w:rPr>
          <w:rFonts w:ascii="Arial" w:eastAsia="Arial" w:hAnsi="Arial" w:cs="Arial"/>
          <w:b/>
          <w:bCs/>
          <w:i/>
          <w:iCs/>
          <w:sz w:val="15"/>
          <w:szCs w:val="15"/>
        </w:rPr>
        <w:t>Profilaxia secundaria contra fiebre reumática.</w:t>
      </w:r>
      <w:r>
        <w:t xml:space="preserve"> Los niños que poseen antecedentes perfectamente corroborados de fiebre reumática aguda (incluidos casos que se manifiestan sólo por corea de Sydenham) y los pacientes con signos corroborados de cardiopatía reumática deben recibir profilaxia antimicrobiana continua para evitar ataques recurrentes (profilaxia secundaria) porque las infecciones por GAS, asintomáticas o sintomáticas, pueden hacer que reaparezca el cuadro reumático. Habrá que emprender la profilaxia continua tan pronto se corrobore el diagnóstico de fiebre reumática aguda o cardiopatía reumática.</w:t>
      </w:r>
    </w:p>
    <w:p w14:paraId="7849112C" w14:textId="77777777" w:rsidR="00D03C17" w:rsidRDefault="00D03C17">
      <w:pPr>
        <w:pStyle w:val="BodyText"/>
        <w:spacing w:line="276" w:lineRule="auto"/>
        <w:ind w:firstLine="360"/>
      </w:pPr>
      <w:r>
        <w:rPr>
          <w:rFonts w:ascii="Arial" w:eastAsia="Arial" w:hAnsi="Arial" w:cs="Arial"/>
          <w:b/>
          <w:bCs/>
          <w:i/>
          <w:iCs/>
          <w:sz w:val="15"/>
          <w:szCs w:val="15"/>
        </w:rPr>
        <w:t>Duración.</w:t>
      </w:r>
      <w:r>
        <w:t xml:space="preserve"> La profilaxia secundaria debe durar largo tiempo y quizá ser permanente en sujetos con cardiopatía reumática (incluso después de la colocación de una prótesis valvular porque tales pacientes siempre tendrán el peligro de que reaparezca la fiebre reumática). El riesgo de recurrencia disminuye conforme se amplía el intervalo a partir del episodio más reciente y los niños sin cardiopatía reumática están expuestos a un menor peligro de recurrencia que los que tienen afección del corazón. Las consideraciones anteriores influyen en la duración de la profilaxia secundaria en adultos, pero no alteran la práctica de profilaxia secundaria en niños y adolescentes. Es importante continuar durante cinco años, como mínimo o hasta que la persona tenga 21 años de vida con la profilaxia secundaria de todo paciente que ha mostrado fiebre reumática, sea cual sea su duración (véase cuadro 3-14). La profilaxia también debe continuar si es grande el peligro de contacto con personas con infección con GAS, como serían los padres de escolares y los maestros.</w:t>
      </w:r>
    </w:p>
    <w:p w14:paraId="2624AEDC" w14:textId="77777777" w:rsidR="00D03C17" w:rsidRDefault="00D03C17">
      <w:pPr>
        <w:pStyle w:val="BodyText"/>
        <w:ind w:firstLine="360"/>
      </w:pPr>
      <w:r>
        <w:t>Cuando las infecciones estreptocócicas afectan a contactos del círculo familiar de pacientes con el antecedente de fiebre reumática, habrá que tratar inmediatamente con un antimicrobiano apropiado a las personas infectadas (véase “Indicaciones para pruebas en busca de GAS” y “Tratamiento”, en páginas anteriores en este resumen).</w:t>
      </w:r>
    </w:p>
    <w:p w14:paraId="6854FAB9" w14:textId="77777777" w:rsidR="00D03C17" w:rsidRDefault="00D03C17">
      <w:pPr>
        <w:pStyle w:val="BodyText"/>
        <w:ind w:firstLine="360"/>
      </w:pPr>
      <w:r>
        <w:t>Los regímenes medicamentosos del cuadro 3-15 son eficaces como profilaxia secundaria. El régimen intramuscular ha sido el más fiable, porque los buenos resultados de la profilaxia con productos ingeribles depende más bien del cumplimiento de órdenes terapéuticas por parte del paciente; sin embargo, la incomodidad y el dolor</w:t>
      </w:r>
    </w:p>
    <w:tbl>
      <w:tblPr>
        <w:tblOverlap w:val="never"/>
        <w:tblW w:w="0" w:type="auto"/>
        <w:jc w:val="center"/>
        <w:tblLayout w:type="fixed"/>
        <w:tblCellMar>
          <w:left w:w="10" w:type="dxa"/>
          <w:right w:w="10" w:type="dxa"/>
        </w:tblCellMar>
        <w:tblLook w:val="04A0" w:firstRow="1" w:lastRow="0" w:firstColumn="1" w:lastColumn="0" w:noHBand="0" w:noVBand="1"/>
      </w:tblPr>
      <w:tblGrid>
        <w:gridCol w:w="2942"/>
        <w:gridCol w:w="3979"/>
      </w:tblGrid>
      <w:tr w:rsidR="00D03C17" w14:paraId="2CF3A301" w14:textId="77777777">
        <w:tblPrEx>
          <w:tblCellMar>
            <w:top w:w="0" w:type="dxa"/>
            <w:bottom w:w="0" w:type="dxa"/>
          </w:tblCellMar>
        </w:tblPrEx>
        <w:trPr>
          <w:trHeight w:hRule="exact" w:val="869"/>
          <w:jc w:val="center"/>
        </w:trPr>
        <w:tc>
          <w:tcPr>
            <w:tcW w:w="6921" w:type="dxa"/>
            <w:gridSpan w:val="2"/>
            <w:tcBorders>
              <w:top w:val="single" w:sz="4" w:space="0" w:color="auto"/>
            </w:tcBorders>
            <w:shd w:val="clear" w:color="auto" w:fill="FFFFFF"/>
            <w:vAlign w:val="bottom"/>
          </w:tcPr>
          <w:p w14:paraId="1F236C04" w14:textId="77777777" w:rsidR="00D03C17" w:rsidRDefault="00D03C17">
            <w:pPr>
              <w:pStyle w:val="Other0"/>
              <w:spacing w:line="211" w:lineRule="auto"/>
              <w:ind w:firstLine="0"/>
              <w:jc w:val="center"/>
              <w:rPr>
                <w:sz w:val="26"/>
                <w:szCs w:val="26"/>
              </w:rPr>
            </w:pPr>
            <w:r>
              <w:rPr>
                <w:rFonts w:ascii="Arial" w:eastAsia="Arial" w:hAnsi="Arial" w:cs="Arial"/>
                <w:w w:val="70"/>
                <w:sz w:val="26"/>
                <w:szCs w:val="26"/>
              </w:rPr>
              <w:t xml:space="preserve">Cuadro 3-14. </w:t>
            </w:r>
            <w:r>
              <w:rPr>
                <w:rFonts w:ascii="Arial" w:eastAsia="Arial" w:hAnsi="Arial" w:cs="Arial"/>
                <w:b/>
                <w:bCs/>
                <w:w w:val="70"/>
                <w:sz w:val="26"/>
                <w:szCs w:val="26"/>
              </w:rPr>
              <w:t>Duración de la profilaxia en personas que han tenido fiebre reumática: recomendaciones de la American Heart Association</w:t>
            </w:r>
            <w:r>
              <w:rPr>
                <w:rFonts w:ascii="Arial" w:eastAsia="Arial" w:hAnsi="Arial" w:cs="Arial"/>
                <w:b/>
                <w:bCs/>
                <w:w w:val="70"/>
                <w:sz w:val="26"/>
                <w:szCs w:val="26"/>
                <w:vertAlign w:val="superscript"/>
              </w:rPr>
              <w:t>1</w:t>
            </w:r>
          </w:p>
        </w:tc>
      </w:tr>
      <w:tr w:rsidR="00D03C17" w14:paraId="79CFDECF" w14:textId="77777777">
        <w:tblPrEx>
          <w:tblCellMar>
            <w:top w:w="0" w:type="dxa"/>
            <w:bottom w:w="0" w:type="dxa"/>
          </w:tblCellMar>
        </w:tblPrEx>
        <w:trPr>
          <w:trHeight w:hRule="exact" w:val="264"/>
          <w:jc w:val="center"/>
        </w:trPr>
        <w:tc>
          <w:tcPr>
            <w:tcW w:w="2942" w:type="dxa"/>
            <w:shd w:val="clear" w:color="auto" w:fill="231F20"/>
          </w:tcPr>
          <w:p w14:paraId="19C13721" w14:textId="77777777" w:rsidR="00D03C17" w:rsidRDefault="00D03C17">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¡Categoría</w:t>
            </w:r>
          </w:p>
        </w:tc>
        <w:tc>
          <w:tcPr>
            <w:tcW w:w="3979" w:type="dxa"/>
            <w:shd w:val="clear" w:color="auto" w:fill="231F20"/>
          </w:tcPr>
          <w:p w14:paraId="246CB7B2" w14:textId="77777777" w:rsidR="00D03C17" w:rsidRDefault="00D03C17">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220"/>
              <w:jc w:val="both"/>
              <w:rPr>
                <w:sz w:val="24"/>
                <w:szCs w:val="24"/>
              </w:rPr>
            </w:pPr>
            <w:r>
              <w:rPr>
                <w:rFonts w:ascii="Arial" w:eastAsia="Arial" w:hAnsi="Arial" w:cs="Arial"/>
                <w:b/>
                <w:bCs/>
                <w:color w:val="FFFFFF"/>
                <w:w w:val="70"/>
                <w:sz w:val="24"/>
                <w:szCs w:val="24"/>
              </w:rPr>
              <w:t>Duración</w:t>
            </w:r>
          </w:p>
        </w:tc>
      </w:tr>
      <w:tr w:rsidR="00D03C17" w14:paraId="1B0AB251" w14:textId="77777777">
        <w:tblPrEx>
          <w:tblCellMar>
            <w:top w:w="0" w:type="dxa"/>
            <w:bottom w:w="0" w:type="dxa"/>
          </w:tblCellMar>
        </w:tblPrEx>
        <w:trPr>
          <w:trHeight w:hRule="exact" w:val="1896"/>
          <w:jc w:val="center"/>
        </w:trPr>
        <w:tc>
          <w:tcPr>
            <w:tcW w:w="2942" w:type="dxa"/>
            <w:tcBorders>
              <w:bottom w:val="single" w:sz="4" w:space="0" w:color="auto"/>
            </w:tcBorders>
            <w:shd w:val="clear" w:color="auto" w:fill="FFFFFF"/>
            <w:vAlign w:val="center"/>
          </w:tcPr>
          <w:p w14:paraId="36A39F6A" w14:textId="77777777" w:rsidR="00D03C17" w:rsidRDefault="00D03C17">
            <w:pPr>
              <w:pStyle w:val="Other0"/>
              <w:spacing w:after="200" w:line="283" w:lineRule="auto"/>
              <w:ind w:firstLine="0"/>
              <w:rPr>
                <w:sz w:val="16"/>
                <w:szCs w:val="16"/>
              </w:rPr>
            </w:pPr>
            <w:r>
              <w:rPr>
                <w:rFonts w:ascii="Times New Roman" w:eastAsia="Times New Roman" w:hAnsi="Times New Roman" w:cs="Times New Roman"/>
                <w:sz w:val="16"/>
                <w:szCs w:val="16"/>
              </w:rPr>
              <w:t>Fiebre reumática sin carditis</w:t>
            </w:r>
          </w:p>
          <w:p w14:paraId="3E2774DB" w14:textId="77777777" w:rsidR="00D03C17" w:rsidRDefault="00D03C17">
            <w:pPr>
              <w:pStyle w:val="Other0"/>
              <w:spacing w:line="283" w:lineRule="auto"/>
              <w:ind w:left="200" w:hanging="200"/>
              <w:rPr>
                <w:sz w:val="16"/>
                <w:szCs w:val="16"/>
              </w:rPr>
            </w:pPr>
            <w:r>
              <w:rPr>
                <w:rFonts w:ascii="Times New Roman" w:eastAsia="Times New Roman" w:hAnsi="Times New Roman" w:cs="Times New Roman"/>
                <w:sz w:val="16"/>
                <w:szCs w:val="16"/>
              </w:rPr>
              <w:t>Fiebre reumática con carditis pero sin cardiopatia residual (no hay ataque valvular</w:t>
            </w:r>
            <w:r>
              <w:rPr>
                <w:rFonts w:ascii="Times New Roman" w:eastAsia="Times New Roman" w:hAnsi="Times New Roman" w:cs="Times New Roman"/>
                <w:sz w:val="16"/>
                <w:szCs w:val="16"/>
                <w:vertAlign w:val="superscript"/>
              </w:rPr>
              <w:t>2</w:t>
            </w:r>
            <w:r>
              <w:rPr>
                <w:rFonts w:ascii="Times New Roman" w:eastAsia="Times New Roman" w:hAnsi="Times New Roman" w:cs="Times New Roman"/>
                <w:sz w:val="16"/>
                <w:szCs w:val="16"/>
              </w:rPr>
              <w:t>)</w:t>
            </w:r>
          </w:p>
          <w:p w14:paraId="0ABADD1D" w14:textId="77777777" w:rsidR="00D03C17" w:rsidRDefault="00D03C17">
            <w:pPr>
              <w:pStyle w:val="Other0"/>
              <w:spacing w:line="283" w:lineRule="auto"/>
              <w:ind w:firstLine="0"/>
              <w:rPr>
                <w:sz w:val="16"/>
                <w:szCs w:val="16"/>
              </w:rPr>
            </w:pPr>
            <w:r>
              <w:rPr>
                <w:rFonts w:ascii="Times New Roman" w:eastAsia="Times New Roman" w:hAnsi="Times New Roman" w:cs="Times New Roman"/>
                <w:sz w:val="16"/>
                <w:szCs w:val="16"/>
              </w:rPr>
              <w:t>Fiebre reumática con carditis</w:t>
            </w:r>
          </w:p>
          <w:p w14:paraId="3DC1560F" w14:textId="77777777" w:rsidR="00D03C17" w:rsidRDefault="00D03C17">
            <w:pPr>
              <w:pStyle w:val="Other0"/>
              <w:spacing w:line="283" w:lineRule="auto"/>
              <w:ind w:left="200" w:firstLine="0"/>
              <w:rPr>
                <w:sz w:val="16"/>
                <w:szCs w:val="16"/>
              </w:rPr>
            </w:pPr>
            <w:r>
              <w:rPr>
                <w:rFonts w:ascii="Times New Roman" w:eastAsia="Times New Roman" w:hAnsi="Times New Roman" w:cs="Times New Roman"/>
                <w:sz w:val="16"/>
                <w:szCs w:val="16"/>
              </w:rPr>
              <w:t>y cardiopatía residual (valvulopatía persistente</w:t>
            </w:r>
            <w:r>
              <w:rPr>
                <w:rFonts w:ascii="Times New Roman" w:eastAsia="Times New Roman" w:hAnsi="Times New Roman" w:cs="Times New Roman"/>
                <w:sz w:val="16"/>
                <w:szCs w:val="16"/>
                <w:vertAlign w:val="superscript"/>
              </w:rPr>
              <w:t>2</w:t>
            </w:r>
            <w:r>
              <w:rPr>
                <w:rFonts w:ascii="Times New Roman" w:eastAsia="Times New Roman" w:hAnsi="Times New Roman" w:cs="Times New Roman"/>
                <w:sz w:val="16"/>
                <w:szCs w:val="16"/>
              </w:rPr>
              <w:t>)</w:t>
            </w:r>
          </w:p>
        </w:tc>
        <w:tc>
          <w:tcPr>
            <w:tcW w:w="3979" w:type="dxa"/>
            <w:tcBorders>
              <w:bottom w:val="single" w:sz="4" w:space="0" w:color="auto"/>
            </w:tcBorders>
            <w:shd w:val="clear" w:color="auto" w:fill="FFFFFF"/>
            <w:vAlign w:val="center"/>
          </w:tcPr>
          <w:p w14:paraId="3D0F63F4" w14:textId="77777777" w:rsidR="00D03C17" w:rsidRDefault="00D03C17">
            <w:pPr>
              <w:pStyle w:val="Other0"/>
              <w:spacing w:line="283" w:lineRule="auto"/>
              <w:ind w:left="320" w:hanging="100"/>
              <w:rPr>
                <w:sz w:val="16"/>
                <w:szCs w:val="16"/>
              </w:rPr>
            </w:pPr>
            <w:r>
              <w:rPr>
                <w:rFonts w:ascii="Times New Roman" w:eastAsia="Times New Roman" w:hAnsi="Times New Roman" w:cs="Times New Roman"/>
                <w:sz w:val="16"/>
                <w:szCs w:val="16"/>
              </w:rPr>
              <w:t>5 años o hasta cumplir los 21 años de edad, cualquiera de los dos lapsos que sea más largo</w:t>
            </w:r>
          </w:p>
          <w:p w14:paraId="127A4DB4" w14:textId="77777777" w:rsidR="00D03C17" w:rsidRDefault="00D03C17">
            <w:pPr>
              <w:pStyle w:val="Other0"/>
              <w:spacing w:after="200" w:line="283" w:lineRule="auto"/>
              <w:ind w:left="320" w:hanging="100"/>
              <w:rPr>
                <w:sz w:val="16"/>
                <w:szCs w:val="16"/>
              </w:rPr>
            </w:pPr>
            <w:r>
              <w:rPr>
                <w:rFonts w:ascii="Times New Roman" w:eastAsia="Times New Roman" w:hAnsi="Times New Roman" w:cs="Times New Roman"/>
                <w:sz w:val="16"/>
                <w:szCs w:val="16"/>
              </w:rPr>
              <w:t>10 años o dentro de la vida adulta, cualquiera de los dos lapsos más largos</w:t>
            </w:r>
          </w:p>
          <w:p w14:paraId="79039F7F" w14:textId="77777777" w:rsidR="00D03C17" w:rsidRDefault="00D03C17">
            <w:pPr>
              <w:pStyle w:val="Other0"/>
              <w:spacing w:line="283" w:lineRule="auto"/>
              <w:ind w:left="320" w:hanging="100"/>
              <w:rPr>
                <w:sz w:val="16"/>
                <w:szCs w:val="16"/>
              </w:rPr>
            </w:pPr>
            <w:r>
              <w:rPr>
                <w:rFonts w:ascii="Times New Roman" w:eastAsia="Times New Roman" w:hAnsi="Times New Roman" w:cs="Times New Roman"/>
                <w:sz w:val="16"/>
                <w:szCs w:val="16"/>
              </w:rPr>
              <w:t>Cuando menos 10 años desde el último episodio como mínimo hasta los 40 años de vida, a veces se requiere la profilaxia permanente</w:t>
            </w:r>
          </w:p>
        </w:tc>
      </w:tr>
    </w:tbl>
    <w:p w14:paraId="0467858D" w14:textId="77777777" w:rsidR="00D03C17" w:rsidRDefault="00D03C17">
      <w:pPr>
        <w:pStyle w:val="Tablecaption0"/>
        <w:numPr>
          <w:ilvl w:val="0"/>
          <w:numId w:val="103"/>
        </w:numPr>
        <w:tabs>
          <w:tab w:val="left" w:pos="-53"/>
        </w:tabs>
        <w:spacing w:line="240" w:lineRule="auto"/>
        <w:ind w:left="24"/>
      </w:pPr>
      <w:r>
        <w:t xml:space="preserve">Modificado de Dajani A, Taubert K, Terrieri P Peter G, Shulman S. Treatment of acute streptococcal pharyngitis and prevention of rheumatic fever: a statement for health professionals: Committee on Rheumatic Fever, Endocarditis, and Kawasaki Disease of the Council on Cardiovascular Disease in the Young. The American Heart Association. </w:t>
      </w:r>
      <w:r>
        <w:rPr>
          <w:i/>
          <w:iCs/>
        </w:rPr>
        <w:t>Pediatrics.</w:t>
      </w:r>
      <w:r>
        <w:t xml:space="preserve"> 1995;96:758-764.</w:t>
      </w:r>
    </w:p>
    <w:p w14:paraId="127B2793" w14:textId="77777777" w:rsidR="00D03C17" w:rsidRDefault="00D03C17">
      <w:pPr>
        <w:pStyle w:val="Tablecaption0"/>
        <w:numPr>
          <w:ilvl w:val="0"/>
          <w:numId w:val="103"/>
        </w:numPr>
        <w:tabs>
          <w:tab w:val="left" w:pos="202"/>
        </w:tabs>
        <w:spacing w:line="240" w:lineRule="auto"/>
        <w:ind w:left="24"/>
      </w:pPr>
      <w:r>
        <w:t>Pruebas clínicas o ecocardiográficas.</w:t>
      </w:r>
    </w:p>
    <w:p w14:paraId="19A9F278" w14:textId="77777777" w:rsidR="00D03C17" w:rsidRDefault="00D03C17">
      <w:pPr>
        <w:spacing w:after="579" w:line="1" w:lineRule="exact"/>
      </w:pPr>
    </w:p>
    <w:p w14:paraId="27C7A4AF" w14:textId="77777777" w:rsidR="00D03C17" w:rsidRDefault="00D03C17">
      <w:pPr>
        <w:pStyle w:val="BodyText"/>
        <w:ind w:firstLine="0"/>
      </w:pPr>
      <w:r>
        <w:t>de la inyección puede hacer que algunos pacientes interrumpan la profilaxia intramuscular. En algunos países y en situaciones en que es particularmente grande el riesgo de infección por GAS, se aplicará penicilina G benzatínica cada tres semanas porque tiene mayor eficacia. En Estados Unidos la administración cada cuatro semanas al parecer es adecuada en casi todas las circunstancias. La sulfadiazina ingerible tiene la misma eficacia que la penicilina oral en la profilaxia secundaria, pero quizá no se le pueda obtener fácilmente en Estados Unidos. Al extrapolar información de datos que demuestran eficacia de la sulfadiazina al parecer una alternativa adecuada sería el acetil sulfisoxazol.</w:t>
      </w:r>
    </w:p>
    <w:p w14:paraId="3105A52B" w14:textId="77777777" w:rsidR="00D03C17" w:rsidRDefault="00D03C17">
      <w:pPr>
        <w:pStyle w:val="BodyText"/>
        <w:ind w:firstLine="380"/>
      </w:pPr>
      <w:r>
        <w:t>Las reacciones alérgicas a la penicilina ingerible son similares a las que ocurren con la presentación intramuscular, pero por lo común son menos intensas y surgen con menor frecuencia. Dichas reacciones también aparecen con menor frecuencia en niños, que en adultos. La anafilaxia es rara en quienes reciben penicilina ingerible. También son raras las reacciones alérgicas intensas en pacientes que reciben profilaxia continua con penicilina G benzatínica. Los señalamientos ocasionales de la anafilaxia y muerte por lo común han correspondido a pacientes mayores de 12 años de vida con cardiopatía reumática grave. Muchas de las reacciones graves en cuestión al parecer representan respuestas vasovagales y no anafilaxia. Las reacciones incluyen también una reacción similar a la enfermedad del suero que se caracteriza por fiebre y dolores articulares que han sido tomados erróneamente como reaparición de la fiebre reumática aguda.</w:t>
      </w:r>
    </w:p>
    <w:p w14:paraId="409E230F" w14:textId="77777777" w:rsidR="00D03C17" w:rsidRDefault="00D03C17">
      <w:pPr>
        <w:pStyle w:val="BodyText"/>
        <w:ind w:firstLine="380"/>
      </w:pPr>
      <w:r>
        <w:t>Las reacciones a la profilaxia continua con sulfadiazina o sulfisoxazol son raras y de poca monta; es conveniente valorar los recuentos de elementos figurados de la sangre después de dos semanas de profilaxia porque se ha sabido de casos de leucopenia. Está contraindicada la profilaxia con una sulfonamida a finales del embarazo, porque interfiere en el metabolismo de bilirrubina del feto. Los síndromes mucocutáneos febriles (eritema multiforme, síndrome de Stevens-Johnson o necrólisis epidérmica tóxica) se han vinculado con el uso de penicilina y con el de sulfonamidas. Al surgir un hecho adverso con cualquiera de los regímenes terapéuticos mencionados, habrá que interrumpir inmediatamente el consumo o aplicación del fármaco y escoger otro fármaco. Para el paciente ocasional que es alérgico a ambas penicilinas y sulfonamidas,</w:t>
      </w:r>
      <w:r>
        <w:br w:type="page"/>
      </w:r>
    </w:p>
    <w:p w14:paraId="0DB3D862" w14:textId="77777777" w:rsidR="00D03C17" w:rsidRDefault="00D03C17">
      <w:pPr>
        <w:pStyle w:val="Heading31"/>
        <w:keepNext/>
        <w:keepLines/>
        <w:spacing w:after="80" w:line="216" w:lineRule="auto"/>
        <w:jc w:val="center"/>
      </w:pPr>
      <w:bookmarkStart w:id="381" w:name="bookmark1387"/>
      <w:bookmarkStart w:id="382" w:name="bookmark1388"/>
      <w:bookmarkStart w:id="383" w:name="bookmark1389"/>
      <w:r>
        <w:rPr>
          <w:b w:val="0"/>
          <w:bCs w:val="0"/>
        </w:rPr>
        <w:t xml:space="preserve">Cuadro 3-15. </w:t>
      </w:r>
      <w:r>
        <w:t>Quimioprofilaxia contra recidivas</w:t>
      </w:r>
      <w:r>
        <w:br/>
        <w:t>de la fiebre reumática</w:t>
      </w:r>
      <w:r>
        <w:rPr>
          <w:vertAlign w:val="superscript"/>
        </w:rPr>
        <w:t>1</w:t>
      </w:r>
      <w:bookmarkEnd w:id="381"/>
      <w:bookmarkEnd w:id="382"/>
      <w:bookmarkEnd w:id="383"/>
    </w:p>
    <w:tbl>
      <w:tblPr>
        <w:tblOverlap w:val="never"/>
        <w:tblW w:w="0" w:type="auto"/>
        <w:jc w:val="center"/>
        <w:tblLayout w:type="fixed"/>
        <w:tblCellMar>
          <w:left w:w="10" w:type="dxa"/>
          <w:right w:w="10" w:type="dxa"/>
        </w:tblCellMar>
        <w:tblLook w:val="04A0" w:firstRow="1" w:lastRow="0" w:firstColumn="1" w:lastColumn="0" w:noHBand="0" w:noVBand="1"/>
      </w:tblPr>
      <w:tblGrid>
        <w:gridCol w:w="2040"/>
        <w:gridCol w:w="3034"/>
        <w:gridCol w:w="1214"/>
      </w:tblGrid>
      <w:tr w:rsidR="00D03C17" w14:paraId="1309FCF7" w14:textId="77777777">
        <w:tblPrEx>
          <w:tblCellMar>
            <w:top w:w="0" w:type="dxa"/>
            <w:bottom w:w="0" w:type="dxa"/>
          </w:tblCellMar>
        </w:tblPrEx>
        <w:trPr>
          <w:trHeight w:hRule="exact" w:val="254"/>
          <w:jc w:val="center"/>
        </w:trPr>
        <w:tc>
          <w:tcPr>
            <w:tcW w:w="2040" w:type="dxa"/>
            <w:shd w:val="clear" w:color="auto" w:fill="231F20"/>
          </w:tcPr>
          <w:p w14:paraId="4780EA96" w14:textId="77777777" w:rsidR="00D03C17" w:rsidRDefault="00D03C17">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Fármaco</w:t>
            </w:r>
          </w:p>
        </w:tc>
        <w:tc>
          <w:tcPr>
            <w:tcW w:w="3034" w:type="dxa"/>
            <w:shd w:val="clear" w:color="auto" w:fill="231F20"/>
          </w:tcPr>
          <w:p w14:paraId="37B4652B" w14:textId="77777777" w:rsidR="00D03C17" w:rsidRDefault="00D03C17">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200"/>
              <w:rPr>
                <w:sz w:val="24"/>
                <w:szCs w:val="24"/>
              </w:rPr>
            </w:pPr>
            <w:r>
              <w:rPr>
                <w:rFonts w:ascii="Arial" w:eastAsia="Arial" w:hAnsi="Arial" w:cs="Arial"/>
                <w:b/>
                <w:bCs/>
                <w:color w:val="FFFFFF"/>
                <w:w w:val="70"/>
                <w:sz w:val="24"/>
                <w:szCs w:val="24"/>
              </w:rPr>
              <w:t>Dosis</w:t>
            </w:r>
          </w:p>
        </w:tc>
        <w:tc>
          <w:tcPr>
            <w:tcW w:w="1214" w:type="dxa"/>
            <w:shd w:val="clear" w:color="auto" w:fill="231F20"/>
          </w:tcPr>
          <w:p w14:paraId="1E99F2F2" w14:textId="77777777" w:rsidR="00D03C17" w:rsidRDefault="00D03C17">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180"/>
              <w:rPr>
                <w:sz w:val="24"/>
                <w:szCs w:val="24"/>
              </w:rPr>
            </w:pPr>
            <w:r>
              <w:rPr>
                <w:rFonts w:ascii="Arial" w:eastAsia="Arial" w:hAnsi="Arial" w:cs="Arial"/>
                <w:b/>
                <w:bCs/>
                <w:color w:val="FFFFFF"/>
                <w:w w:val="70"/>
                <w:sz w:val="24"/>
                <w:szCs w:val="24"/>
              </w:rPr>
              <w:t>Vía</w:t>
            </w:r>
          </w:p>
        </w:tc>
      </w:tr>
      <w:tr w:rsidR="00D03C17" w14:paraId="6ACA3097" w14:textId="77777777">
        <w:tblPrEx>
          <w:tblCellMar>
            <w:top w:w="0" w:type="dxa"/>
            <w:bottom w:w="0" w:type="dxa"/>
          </w:tblCellMar>
        </w:tblPrEx>
        <w:trPr>
          <w:trHeight w:hRule="exact" w:val="278"/>
          <w:jc w:val="center"/>
        </w:trPr>
        <w:tc>
          <w:tcPr>
            <w:tcW w:w="2040" w:type="dxa"/>
            <w:shd w:val="clear" w:color="auto" w:fill="FFFFFF"/>
            <w:vAlign w:val="bottom"/>
          </w:tcPr>
          <w:p w14:paraId="013A5B6A"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Penicilina G benzatínica</w:t>
            </w:r>
          </w:p>
        </w:tc>
        <w:tc>
          <w:tcPr>
            <w:tcW w:w="3034" w:type="dxa"/>
            <w:shd w:val="clear" w:color="auto" w:fill="FFFFFF"/>
            <w:vAlign w:val="bottom"/>
          </w:tcPr>
          <w:p w14:paraId="36D19028" w14:textId="77777777" w:rsidR="00D03C17" w:rsidRDefault="00D03C17">
            <w:pPr>
              <w:pStyle w:val="Other0"/>
              <w:spacing w:line="240" w:lineRule="auto"/>
              <w:ind w:firstLine="200"/>
              <w:rPr>
                <w:sz w:val="16"/>
                <w:szCs w:val="16"/>
              </w:rPr>
            </w:pPr>
            <w:r>
              <w:rPr>
                <w:rFonts w:ascii="Times New Roman" w:eastAsia="Times New Roman" w:hAnsi="Times New Roman" w:cs="Times New Roman"/>
                <w:sz w:val="16"/>
                <w:szCs w:val="16"/>
              </w:rPr>
              <w:t>1.2 millones de U cada 4 semanas</w:t>
            </w:r>
            <w:r>
              <w:rPr>
                <w:rFonts w:ascii="Times New Roman" w:eastAsia="Times New Roman" w:hAnsi="Times New Roman" w:cs="Times New Roman"/>
                <w:sz w:val="16"/>
                <w:szCs w:val="16"/>
                <w:vertAlign w:val="superscript"/>
              </w:rPr>
              <w:footnoteReference w:id="35"/>
            </w:r>
            <w:r>
              <w:rPr>
                <w:rFonts w:ascii="Times New Roman" w:eastAsia="Times New Roman" w:hAnsi="Times New Roman" w:cs="Times New Roman"/>
                <w:sz w:val="16"/>
                <w:szCs w:val="16"/>
                <w:vertAlign w:val="superscript"/>
              </w:rPr>
              <w:t xml:space="preserve"> </w:t>
            </w:r>
            <w:r>
              <w:rPr>
                <w:rFonts w:ascii="Times New Roman" w:eastAsia="Times New Roman" w:hAnsi="Times New Roman" w:cs="Times New Roman"/>
                <w:sz w:val="16"/>
                <w:szCs w:val="16"/>
                <w:vertAlign w:val="superscript"/>
              </w:rPr>
              <w:footnoteReference w:id="36"/>
            </w:r>
          </w:p>
        </w:tc>
        <w:tc>
          <w:tcPr>
            <w:tcW w:w="1214" w:type="dxa"/>
            <w:shd w:val="clear" w:color="auto" w:fill="FFFFFF"/>
            <w:vAlign w:val="bottom"/>
          </w:tcPr>
          <w:p w14:paraId="20940D2D" w14:textId="77777777" w:rsidR="00D03C17" w:rsidRDefault="00D03C17">
            <w:pPr>
              <w:pStyle w:val="Other0"/>
              <w:spacing w:line="240" w:lineRule="auto"/>
              <w:ind w:firstLine="180"/>
              <w:rPr>
                <w:sz w:val="16"/>
                <w:szCs w:val="16"/>
              </w:rPr>
            </w:pPr>
            <w:r>
              <w:rPr>
                <w:rFonts w:ascii="Times New Roman" w:eastAsia="Times New Roman" w:hAnsi="Times New Roman" w:cs="Times New Roman"/>
                <w:sz w:val="16"/>
                <w:szCs w:val="16"/>
              </w:rPr>
              <w:t>Intramuscular</w:t>
            </w:r>
          </w:p>
        </w:tc>
      </w:tr>
      <w:tr w:rsidR="00D03C17" w14:paraId="0B74E935" w14:textId="77777777">
        <w:tblPrEx>
          <w:tblCellMar>
            <w:top w:w="0" w:type="dxa"/>
            <w:bottom w:w="0" w:type="dxa"/>
          </w:tblCellMar>
        </w:tblPrEx>
        <w:trPr>
          <w:trHeight w:hRule="exact" w:val="211"/>
          <w:jc w:val="center"/>
        </w:trPr>
        <w:tc>
          <w:tcPr>
            <w:tcW w:w="2040" w:type="dxa"/>
            <w:shd w:val="clear" w:color="auto" w:fill="FFFFFF"/>
            <w:vAlign w:val="bottom"/>
          </w:tcPr>
          <w:p w14:paraId="69B7085D" w14:textId="77777777" w:rsidR="00D03C17" w:rsidRDefault="00D03C17">
            <w:pPr>
              <w:pStyle w:val="Other0"/>
              <w:spacing w:line="240" w:lineRule="auto"/>
              <w:ind w:firstLine="780"/>
              <w:rPr>
                <w:sz w:val="16"/>
                <w:szCs w:val="16"/>
              </w:rPr>
            </w:pPr>
            <w:r>
              <w:rPr>
                <w:rFonts w:ascii="Times New Roman" w:eastAsia="Times New Roman" w:hAnsi="Times New Roman" w:cs="Times New Roman"/>
                <w:b/>
                <w:bCs/>
                <w:sz w:val="16"/>
                <w:szCs w:val="16"/>
              </w:rPr>
              <w:t>O</w:t>
            </w:r>
          </w:p>
        </w:tc>
        <w:tc>
          <w:tcPr>
            <w:tcW w:w="4248" w:type="dxa"/>
            <w:gridSpan w:val="2"/>
            <w:shd w:val="clear" w:color="auto" w:fill="FFFFFF"/>
          </w:tcPr>
          <w:p w14:paraId="2DC8CD33" w14:textId="77777777" w:rsidR="00D03C17" w:rsidRDefault="00D03C17">
            <w:pPr>
              <w:rPr>
                <w:sz w:val="10"/>
                <w:szCs w:val="10"/>
              </w:rPr>
            </w:pPr>
          </w:p>
        </w:tc>
      </w:tr>
      <w:tr w:rsidR="00D03C17" w14:paraId="105A13B4" w14:textId="77777777">
        <w:tblPrEx>
          <w:tblCellMar>
            <w:top w:w="0" w:type="dxa"/>
            <w:bottom w:w="0" w:type="dxa"/>
          </w:tblCellMar>
        </w:tblPrEx>
        <w:trPr>
          <w:trHeight w:hRule="exact" w:val="221"/>
          <w:jc w:val="center"/>
        </w:trPr>
        <w:tc>
          <w:tcPr>
            <w:tcW w:w="2040" w:type="dxa"/>
            <w:shd w:val="clear" w:color="auto" w:fill="FFFFFF"/>
            <w:vAlign w:val="bottom"/>
          </w:tcPr>
          <w:p w14:paraId="1F235B44"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Penicilina V</w:t>
            </w:r>
          </w:p>
        </w:tc>
        <w:tc>
          <w:tcPr>
            <w:tcW w:w="3034" w:type="dxa"/>
            <w:shd w:val="clear" w:color="auto" w:fill="FFFFFF"/>
            <w:vAlign w:val="bottom"/>
          </w:tcPr>
          <w:p w14:paraId="2A70FE58" w14:textId="77777777" w:rsidR="00D03C17" w:rsidRDefault="00D03C17">
            <w:pPr>
              <w:pStyle w:val="Other0"/>
              <w:spacing w:line="240" w:lineRule="auto"/>
              <w:ind w:firstLine="200"/>
              <w:rPr>
                <w:sz w:val="16"/>
                <w:szCs w:val="16"/>
              </w:rPr>
            </w:pPr>
            <w:r>
              <w:rPr>
                <w:rFonts w:ascii="Times New Roman" w:eastAsia="Times New Roman" w:hAnsi="Times New Roman" w:cs="Times New Roman"/>
                <w:sz w:val="16"/>
                <w:szCs w:val="16"/>
              </w:rPr>
              <w:t>250 mg dos veces al día</w:t>
            </w:r>
          </w:p>
        </w:tc>
        <w:tc>
          <w:tcPr>
            <w:tcW w:w="1214" w:type="dxa"/>
            <w:shd w:val="clear" w:color="auto" w:fill="FFFFFF"/>
            <w:vAlign w:val="bottom"/>
          </w:tcPr>
          <w:p w14:paraId="4BDA4A1D" w14:textId="77777777" w:rsidR="00D03C17" w:rsidRDefault="00D03C17">
            <w:pPr>
              <w:pStyle w:val="Other0"/>
              <w:spacing w:line="240" w:lineRule="auto"/>
              <w:ind w:firstLine="180"/>
              <w:rPr>
                <w:sz w:val="16"/>
                <w:szCs w:val="16"/>
              </w:rPr>
            </w:pPr>
            <w:r>
              <w:rPr>
                <w:rFonts w:ascii="Times New Roman" w:eastAsia="Times New Roman" w:hAnsi="Times New Roman" w:cs="Times New Roman"/>
                <w:sz w:val="16"/>
                <w:szCs w:val="16"/>
              </w:rPr>
              <w:t>Oral</w:t>
            </w:r>
          </w:p>
        </w:tc>
      </w:tr>
      <w:tr w:rsidR="00D03C17" w14:paraId="354BCFA7" w14:textId="77777777">
        <w:tblPrEx>
          <w:tblCellMar>
            <w:top w:w="0" w:type="dxa"/>
            <w:bottom w:w="0" w:type="dxa"/>
          </w:tblCellMar>
        </w:tblPrEx>
        <w:trPr>
          <w:trHeight w:hRule="exact" w:val="211"/>
          <w:jc w:val="center"/>
        </w:trPr>
        <w:tc>
          <w:tcPr>
            <w:tcW w:w="2040" w:type="dxa"/>
            <w:shd w:val="clear" w:color="auto" w:fill="FFFFFF"/>
            <w:vAlign w:val="bottom"/>
          </w:tcPr>
          <w:p w14:paraId="6AB299B5" w14:textId="77777777" w:rsidR="00D03C17" w:rsidRDefault="00D03C17">
            <w:pPr>
              <w:pStyle w:val="Other0"/>
              <w:spacing w:line="240" w:lineRule="auto"/>
              <w:ind w:firstLine="780"/>
              <w:rPr>
                <w:sz w:val="16"/>
                <w:szCs w:val="16"/>
              </w:rPr>
            </w:pPr>
            <w:r>
              <w:rPr>
                <w:rFonts w:ascii="Times New Roman" w:eastAsia="Times New Roman" w:hAnsi="Times New Roman" w:cs="Times New Roman"/>
                <w:b/>
                <w:bCs/>
                <w:sz w:val="16"/>
                <w:szCs w:val="16"/>
              </w:rPr>
              <w:t>O</w:t>
            </w:r>
          </w:p>
        </w:tc>
        <w:tc>
          <w:tcPr>
            <w:tcW w:w="4248" w:type="dxa"/>
            <w:gridSpan w:val="2"/>
            <w:shd w:val="clear" w:color="auto" w:fill="FFFFFF"/>
          </w:tcPr>
          <w:p w14:paraId="60BFB33B" w14:textId="77777777" w:rsidR="00D03C17" w:rsidRDefault="00D03C17">
            <w:pPr>
              <w:rPr>
                <w:sz w:val="10"/>
                <w:szCs w:val="10"/>
              </w:rPr>
            </w:pPr>
          </w:p>
        </w:tc>
      </w:tr>
      <w:tr w:rsidR="00D03C17" w14:paraId="11FE809F" w14:textId="77777777">
        <w:tblPrEx>
          <w:tblCellMar>
            <w:top w:w="0" w:type="dxa"/>
            <w:bottom w:w="0" w:type="dxa"/>
          </w:tblCellMar>
        </w:tblPrEx>
        <w:trPr>
          <w:trHeight w:hRule="exact" w:val="898"/>
          <w:jc w:val="center"/>
        </w:trPr>
        <w:tc>
          <w:tcPr>
            <w:tcW w:w="2040" w:type="dxa"/>
            <w:shd w:val="clear" w:color="auto" w:fill="FFFFFF"/>
          </w:tcPr>
          <w:p w14:paraId="3869FEC1"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Sulfadiazina o sulfisoxazol</w:t>
            </w:r>
          </w:p>
        </w:tc>
        <w:tc>
          <w:tcPr>
            <w:tcW w:w="3034" w:type="dxa"/>
            <w:shd w:val="clear" w:color="auto" w:fill="FFFFFF"/>
            <w:vAlign w:val="bottom"/>
          </w:tcPr>
          <w:p w14:paraId="555EF7B8" w14:textId="77777777" w:rsidR="00D03C17" w:rsidRDefault="00D03C17">
            <w:pPr>
              <w:pStyle w:val="Other0"/>
              <w:spacing w:line="283" w:lineRule="auto"/>
              <w:ind w:left="300" w:hanging="100"/>
              <w:rPr>
                <w:sz w:val="16"/>
                <w:szCs w:val="16"/>
              </w:rPr>
            </w:pPr>
            <w:r>
              <w:rPr>
                <w:rFonts w:ascii="Times New Roman" w:eastAsia="Times New Roman" w:hAnsi="Times New Roman" w:cs="Times New Roman"/>
                <w:sz w:val="16"/>
                <w:szCs w:val="16"/>
              </w:rPr>
              <w:t>0.5 g una vez al día para personas que pesan menos de 27 kg</w:t>
            </w:r>
          </w:p>
          <w:p w14:paraId="3752443B" w14:textId="77777777" w:rsidR="00D03C17" w:rsidRDefault="00D03C17">
            <w:pPr>
              <w:pStyle w:val="Other0"/>
              <w:spacing w:line="283" w:lineRule="auto"/>
              <w:ind w:left="300" w:hanging="100"/>
              <w:rPr>
                <w:sz w:val="16"/>
                <w:szCs w:val="16"/>
              </w:rPr>
            </w:pPr>
            <w:r>
              <w:rPr>
                <w:rFonts w:ascii="Times New Roman" w:eastAsia="Times New Roman" w:hAnsi="Times New Roman" w:cs="Times New Roman"/>
                <w:sz w:val="16"/>
                <w:szCs w:val="16"/>
              </w:rPr>
              <w:t>1.0 g una vez al día para personas que pesan más de 27 kg</w:t>
            </w:r>
          </w:p>
        </w:tc>
        <w:tc>
          <w:tcPr>
            <w:tcW w:w="1214" w:type="dxa"/>
            <w:shd w:val="clear" w:color="auto" w:fill="FFFFFF"/>
          </w:tcPr>
          <w:p w14:paraId="6A1064F8" w14:textId="77777777" w:rsidR="00D03C17" w:rsidRDefault="00D03C17">
            <w:pPr>
              <w:pStyle w:val="Other0"/>
              <w:spacing w:line="240" w:lineRule="auto"/>
              <w:ind w:firstLine="180"/>
              <w:rPr>
                <w:sz w:val="16"/>
                <w:szCs w:val="16"/>
              </w:rPr>
            </w:pPr>
            <w:r>
              <w:rPr>
                <w:rFonts w:ascii="Times New Roman" w:eastAsia="Times New Roman" w:hAnsi="Times New Roman" w:cs="Times New Roman"/>
                <w:sz w:val="16"/>
                <w:szCs w:val="16"/>
              </w:rPr>
              <w:t>Oral</w:t>
            </w:r>
          </w:p>
        </w:tc>
      </w:tr>
    </w:tbl>
    <w:p w14:paraId="6B991745" w14:textId="77777777" w:rsidR="00D03C17" w:rsidRDefault="00D03C17">
      <w:pPr>
        <w:pStyle w:val="Tablecaption0"/>
        <w:spacing w:line="240" w:lineRule="auto"/>
        <w:ind w:left="10"/>
        <w:rPr>
          <w:sz w:val="16"/>
          <w:szCs w:val="16"/>
        </w:rPr>
      </w:pPr>
      <w:r>
        <w:rPr>
          <w:b/>
          <w:bCs/>
          <w:sz w:val="16"/>
          <w:szCs w:val="16"/>
        </w:rPr>
        <w:t xml:space="preserve">Para personas alérgicas a la penicilina </w:t>
      </w:r>
      <w:r>
        <w:rPr>
          <w:b/>
          <w:bCs/>
          <w:i/>
          <w:iCs/>
          <w:sz w:val="16"/>
          <w:szCs w:val="16"/>
        </w:rPr>
        <w:t>y</w:t>
      </w:r>
      <w:r>
        <w:rPr>
          <w:b/>
          <w:bCs/>
          <w:sz w:val="16"/>
          <w:szCs w:val="16"/>
        </w:rPr>
        <w:t xml:space="preserve"> las sulfonamidas</w:t>
      </w:r>
    </w:p>
    <w:p w14:paraId="6B1EA527" w14:textId="77777777" w:rsidR="00D03C17" w:rsidRDefault="00D03C17">
      <w:pPr>
        <w:pStyle w:val="Tablecaption0"/>
        <w:tabs>
          <w:tab w:val="left" w:pos="2222"/>
          <w:tab w:val="left" w:pos="5251"/>
        </w:tabs>
        <w:spacing w:line="240" w:lineRule="auto"/>
        <w:ind w:left="10"/>
        <w:rPr>
          <w:sz w:val="16"/>
          <w:szCs w:val="16"/>
        </w:rPr>
      </w:pPr>
      <w:r>
        <w:rPr>
          <w:sz w:val="16"/>
          <w:szCs w:val="16"/>
        </w:rPr>
        <w:t>Eritromicina</w:t>
      </w:r>
      <w:r>
        <w:rPr>
          <w:sz w:val="16"/>
          <w:szCs w:val="16"/>
        </w:rPr>
        <w:tab/>
        <w:t>250 mg dos veces al día</w:t>
      </w:r>
      <w:r>
        <w:rPr>
          <w:sz w:val="16"/>
          <w:szCs w:val="16"/>
        </w:rPr>
        <w:tab/>
        <w:t>Oral</w:t>
      </w:r>
    </w:p>
    <w:p w14:paraId="11B2C960" w14:textId="77777777" w:rsidR="00D03C17" w:rsidRDefault="00D03C17">
      <w:pPr>
        <w:pStyle w:val="Bodytext70"/>
        <w:spacing w:after="0"/>
      </w:pPr>
      <w:r>
        <w:t>Estreptococos del grupo B, infecciones</w:t>
      </w:r>
    </w:p>
    <w:p w14:paraId="12E41343" w14:textId="77777777" w:rsidR="00D03C17" w:rsidRDefault="00D03C17">
      <w:pPr>
        <w:pStyle w:val="BodyText"/>
        <w:ind w:firstLine="0"/>
      </w:pPr>
      <w:r>
        <w:rPr>
          <w:b/>
          <w:bCs/>
        </w:rPr>
        <w:t>M</w:t>
      </w:r>
      <w:r>
        <w:rPr>
          <w:b/>
          <w:bCs/>
          <w:sz w:val="13"/>
          <w:szCs w:val="13"/>
        </w:rPr>
        <w:t>ANIFESTACIONES CLÍNICAS</w:t>
      </w:r>
      <w:r>
        <w:rPr>
          <w:b/>
          <w:bCs/>
        </w:rPr>
        <w:t xml:space="preserve">: </w:t>
      </w:r>
      <w:r>
        <w:t>Los estreptococos del grupo B constituyen una causa importante de infecciones bacterianas perinatales, como bacteriemia, endometritis, corioamnionitis e infecciones de vías urinarias en parturientas e infecciones sistémicas y focales en lactantes desde su nacimiento a los tres meses de vida o más. La enfermedad invasora de lactantes de corta edad se divide en dos entidades con base en la edad cronológica en el comienzo del cuadro. La enfermedad de comienzo temprano por lo común surge en las primeras 24 h de vida (límites, cero a seis días) y se caracteriza por signos de infección sistémica, cuadro disneico, apnea, choque, neumonía y con menor frecuencia, meningitis (5 a 10% de los casos). La enfermedad de comienzo tardío que aparece en forma típica entre las tres y cuatro semanas de vida (límites, siete días a tres meses) se manifiesta por bacteriemia o meningitis ocultas; pueden surgir otras infecciones focales como osteomielitis, artritis séptica, adenitis y celulitis. Los estreptococos del grupo B también originan infecciones sistémicas en mujeres adultas no embarazadas con trastornos médicos primarios como diabetes mellitus, hepatopatía o nefropatía crónicas, cánceres u otros cuadros inmunodeficientes y adultos que tienen 65 años de vida y más.</w:t>
      </w:r>
    </w:p>
    <w:p w14:paraId="52C3AB55" w14:textId="77777777" w:rsidR="00D03C17" w:rsidRDefault="00D03C17">
      <w:pPr>
        <w:pStyle w:val="BodyText"/>
        <w:ind w:firstLine="0"/>
      </w:pPr>
      <w:r>
        <w:rPr>
          <w:b/>
          <w:bCs/>
        </w:rPr>
        <w:t>C</w:t>
      </w:r>
      <w:r>
        <w:rPr>
          <w:b/>
          <w:bCs/>
          <w:sz w:val="13"/>
          <w:szCs w:val="13"/>
        </w:rPr>
        <w:t>AUSAS</w:t>
      </w:r>
      <w:r>
        <w:rPr>
          <w:b/>
          <w:bCs/>
        </w:rPr>
        <w:t xml:space="preserve">: </w:t>
      </w:r>
      <w:r>
        <w:t xml:space="preserve">Los estreptococos del grupo B </w:t>
      </w:r>
      <w:r>
        <w:rPr>
          <w:rFonts w:ascii="Times New Roman" w:eastAsia="Times New Roman" w:hAnsi="Times New Roman" w:cs="Times New Roman"/>
          <w:i/>
          <w:iCs/>
          <w:sz w:val="16"/>
          <w:szCs w:val="16"/>
        </w:rPr>
        <w:t>(Streptococcus agalactiae)</w:t>
      </w:r>
      <w:r>
        <w:t xml:space="preserve"> son diplococos aerobios grampositivos que en forma típica producen hemólisis beta y se dividen en nueve serotipos con base en la presencia de polisacáridos capsulares (Ia, Ib, II y III a VIII). Los serotipos Ia, Ib, II, III y V son los que causan alrededor de 95% de los casos de infección por este microorganismo en Estados Unidos. El serotipo III es la causa predominante de meningitis de comienzo temprano y casi todas las infecciones de comienzo tardío.</w:t>
      </w:r>
    </w:p>
    <w:p w14:paraId="3790CC59" w14:textId="77777777" w:rsidR="00D03C17" w:rsidRDefault="00D03C17">
      <w:pPr>
        <w:pStyle w:val="BodyText"/>
        <w:ind w:firstLine="0"/>
      </w:pPr>
      <w:r>
        <w:rPr>
          <w:b/>
          <w:bCs/>
        </w:rPr>
        <w:t>A</w:t>
      </w:r>
      <w:r>
        <w:rPr>
          <w:b/>
          <w:bCs/>
          <w:sz w:val="13"/>
          <w:szCs w:val="13"/>
        </w:rPr>
        <w:t>SPECTOS EPIDEMIOLÓGICOS</w:t>
      </w:r>
      <w:r>
        <w:rPr>
          <w:b/>
          <w:bCs/>
        </w:rPr>
        <w:t xml:space="preserve">: </w:t>
      </w:r>
      <w:r>
        <w:t xml:space="preserve">Los estreptococos del grupo B son pobladores comunes de las vías gastrointestinales y genitourinarias. Con menor frecuencia colonizan la faringe. La cifras de colonización en embarazadas y neonatos varía de 15 a 40%. La colonización en el embarazo puede ser constante o intermitente. Antes de que se plantearan las recomendaciones para evitar el ataque de comienzo temprano por estreptococos del grupo B </w:t>
      </w:r>
      <w:r>
        <w:rPr>
          <w:i/>
          <w:iCs/>
        </w:rPr>
        <w:t>(</w:t>
      </w:r>
      <w:r>
        <w:rPr>
          <w:rFonts w:ascii="Times New Roman" w:eastAsia="Times New Roman" w:hAnsi="Times New Roman" w:cs="Times New Roman"/>
          <w:i/>
          <w:iCs/>
          <w:sz w:val="16"/>
          <w:szCs w:val="16"/>
        </w:rPr>
        <w:t>group B streptococcal</w:t>
      </w:r>
      <w:r>
        <w:rPr>
          <w:i/>
          <w:iCs/>
        </w:rPr>
        <w:t>,</w:t>
      </w:r>
      <w:r>
        <w:t xml:space="preserve"> GBS) en la profilaxia durante el parto, con antimicrobianos (véase “Medidas preventivas”, más adelante en este resumen) la incidencia era de uno a cuatro casos por 1 000 neonatos vivos; el ataque de comienzo temprano provocaba cerca del 75% de los casos en lactantes, y la frecuencia era de un lactante, aproximadamente por cada 100 a 200 mujeres colonizadas. En vinculación con la profilaxia durante el parto con antimicrobianos en la parturienta, la incidencia de enfermedad de comienzo temprano ha disminuido de aproximadamente 70% a 0.5 casos por 1 000 productos vivos. Las razones de letalidad varían de 5 a 85% pero son mayores en neonatos pretérmino. La transmisión de la madre al pequeño surge antes de su expulsión o durante el parto. Después del parto la transmisión es directa, de una persona a otra. La GBS, a pesar de ser poco común, se puede contagiar en la sala de cunas a partir del personal hospitalario (quizá por contaminación de las manos) o con mayor frecuencia, en la comunidad, desde personas sanas colonizadas. El peligro de enfermedad de comienzo temprano aumenta en productos pretérmino que nacen con menos de 37 semanas de gestación, en productos que nacen después de que las membranas amnióticas se han roto por 18 h o más y en pequeños de mujeres con un gran número de GBS en su aparato genital (inóculo), con fiebre durante el parto (temperatura de 38°C o mayor), corioamnionitis o bacteriemia por GBS durante el embarazo. Otro factor predisponente sería la concentración baja o nula de anticuerpos séricos con especificidad contra serotipos. Otros factores de riesgo más son edad de la mujer menor de 20 años y pertenecer a etnias como la negra o la hispánica. El periodo de transmisibilidad no se conoce pero puede abarcar todo lo que dure la colonización o la enfermedad. Los pequeños pueden permanecer colonizados varios meses después de nacer y después de recibir tratamiento contra infección sistémica. Se ha calculado que el ataque recurrente por GBS afecta 1 a 3% de los lactantes tratados apropiadamente.</w:t>
      </w:r>
    </w:p>
    <w:p w14:paraId="48FC3E75" w14:textId="77777777" w:rsidR="00D03C17" w:rsidRDefault="00D03C17">
      <w:pPr>
        <w:pStyle w:val="BodyText"/>
        <w:ind w:firstLine="360"/>
      </w:pPr>
      <w:r>
        <w:t xml:space="preserve">El </w:t>
      </w:r>
      <w:r>
        <w:rPr>
          <w:b/>
          <w:bCs/>
        </w:rPr>
        <w:t xml:space="preserve">periodo de incubación </w:t>
      </w:r>
      <w:r>
        <w:t>de la enfermedad de comienzo temprano es menor de siete días. En el caso de la enfermedad de comienzo tardío, se desconoce el periodo de incubación que va desde el contagio por el microorganismo hasta la aparición del cuadro clínico. La enfermedad de comienzo tardío por lo común surge desde los siete días hasta los tres meses de vida, pero incluso 10% de los casos en niños aparece después de la primera infancia, y muchos (no todos) de ellos corresponden a prematuros.</w:t>
      </w:r>
    </w:p>
    <w:p w14:paraId="0FF4FD53" w14:textId="77777777" w:rsidR="00D03C17" w:rsidRDefault="00D03C17">
      <w:pPr>
        <w:pStyle w:val="BodyText"/>
        <w:spacing w:after="220"/>
        <w:ind w:firstLine="0"/>
      </w:pPr>
      <w:r>
        <w:rPr>
          <w:b/>
          <w:bCs/>
        </w:rPr>
        <w:t>M</w:t>
      </w:r>
      <w:r>
        <w:rPr>
          <w:b/>
          <w:bCs/>
          <w:sz w:val="13"/>
          <w:szCs w:val="13"/>
        </w:rPr>
        <w:t>ÉTODOS DIAGNÓSTICOS</w:t>
      </w:r>
      <w:r>
        <w:rPr>
          <w:b/>
          <w:bCs/>
        </w:rPr>
        <w:t xml:space="preserve">: </w:t>
      </w:r>
      <w:r>
        <w:t>La presencia de cocos grampositivos en líquidos corporales que normalmente son estériles (como el cefalorraquídeo [LCR], el pleural o el sinovial) constituye una prueba provisional de infección. La identificación de los microorganismos en los cultivos de sangre, otros líquidos corporales que en situaciones normales son estériles o un foco supurado, es una condición necesaria para corroborar el diagnóstico. En los laboratorios especializados se practica la identificación del serotipo. No es recomendable usar métodos rápidos que identifiquen el antígeno del estreptococo B en líquidos corporales excepto en líquido cefalorraquídeo.</w:t>
      </w:r>
    </w:p>
    <w:p w14:paraId="44A7256E" w14:textId="77777777" w:rsidR="00D03C17" w:rsidRDefault="00D03C17">
      <w:pPr>
        <w:pStyle w:val="Other0"/>
        <w:spacing w:line="257" w:lineRule="auto"/>
        <w:ind w:firstLine="0"/>
        <w:rPr>
          <w:sz w:val="16"/>
          <w:szCs w:val="16"/>
        </w:rPr>
      </w:pPr>
      <w:r>
        <w:rPr>
          <w:b/>
          <w:bCs/>
          <w:smallCaps/>
          <w:sz w:val="20"/>
          <w:szCs w:val="20"/>
        </w:rPr>
        <w:t>T</w:t>
      </w:r>
      <w:r>
        <w:rPr>
          <w:b/>
          <w:bCs/>
          <w:smallCaps/>
          <w:sz w:val="16"/>
          <w:szCs w:val="16"/>
        </w:rPr>
        <w:t>ratamiento</w:t>
      </w:r>
    </w:p>
    <w:p w14:paraId="5B53C35A" w14:textId="77777777" w:rsidR="00D03C17" w:rsidRDefault="00D03C17">
      <w:pPr>
        <w:pStyle w:val="BodyText"/>
        <w:numPr>
          <w:ilvl w:val="0"/>
          <w:numId w:val="95"/>
        </w:numPr>
        <w:tabs>
          <w:tab w:val="left" w:pos="341"/>
        </w:tabs>
        <w:ind w:left="360" w:hanging="360"/>
      </w:pPr>
      <w:bookmarkStart w:id="384" w:name="bookmark1390"/>
      <w:bookmarkEnd w:id="384"/>
      <w:r>
        <w:t>El tratamiento inicial más indicado en un neonato con supuesta infección invasora por GBS es la combinación de ampicilina-aminoglucósido.</w:t>
      </w:r>
    </w:p>
    <w:p w14:paraId="377A3E18" w14:textId="77777777" w:rsidR="00D03C17" w:rsidRDefault="00D03C17">
      <w:pPr>
        <w:pStyle w:val="BodyText"/>
        <w:numPr>
          <w:ilvl w:val="0"/>
          <w:numId w:val="95"/>
        </w:numPr>
        <w:tabs>
          <w:tab w:val="left" w:pos="341"/>
        </w:tabs>
        <w:ind w:left="360" w:hanging="360"/>
      </w:pPr>
      <w:bookmarkStart w:id="385" w:name="bookmark1391"/>
      <w:bookmarkEnd w:id="385"/>
      <w:r>
        <w:t>Se puede administrar la penicilina G sola si se identifica a GBS como la causa de la infección y se ha corroborado que origina respuestas clínica y microbiológica.</w:t>
      </w:r>
    </w:p>
    <w:p w14:paraId="67ACF5DC" w14:textId="77777777" w:rsidR="00D03C17" w:rsidRDefault="00D03C17">
      <w:pPr>
        <w:pStyle w:val="BodyText"/>
        <w:numPr>
          <w:ilvl w:val="0"/>
          <w:numId w:val="95"/>
        </w:numPr>
        <w:tabs>
          <w:tab w:val="left" w:pos="341"/>
        </w:tabs>
        <w:ind w:left="360" w:hanging="360"/>
      </w:pPr>
      <w:bookmarkStart w:id="386" w:name="bookmark1392"/>
      <w:bookmarkEnd w:id="386"/>
      <w:r>
        <w:t>En el caso de lactantes con meningitis atribuible a GBS, la dosis recomendada de penicilina G para los que tienen siete días de vida o menos es de 250 000 a 450 000 U/kg de peso al día por vía intravenosa en tres fracciones; para los pequeños que tienen más de siete días de vida, se recomienda usar 450 000 a 500 000 U/kg de peso al día por vía intravenosa en cuatro a seis fracciones. En el caso de la ampicilina, la dosis recomendada para pequeños de siete días de vida o menos con meningitis es de 200 a 300 mg/kg de peso al día por vía intravenosa, en tres fracciones; para los que tienen más de tal edad, se recomienda usar 300 mg/kg de peso al día por vía intravenosa en cuatro a seis fracciones.</w:t>
      </w:r>
    </w:p>
    <w:p w14:paraId="7160DC46" w14:textId="77777777" w:rsidR="00D03C17" w:rsidRDefault="00D03C17">
      <w:pPr>
        <w:pStyle w:val="BodyText"/>
        <w:numPr>
          <w:ilvl w:val="0"/>
          <w:numId w:val="95"/>
        </w:numPr>
        <w:tabs>
          <w:tab w:val="left" w:pos="341"/>
        </w:tabs>
        <w:ind w:left="360" w:hanging="360"/>
      </w:pPr>
      <w:bookmarkStart w:id="387" w:name="bookmark1393"/>
      <w:bookmarkEnd w:id="387"/>
      <w:r>
        <w:t>En lo que toca a meningitis, algunos expertos piensan que es útil en el tratamiento y el pronóstico una nueva punción lumbar, 24 a 48 h después de comenzar el tratamiento. Conviene practicar más punciones lumbares de estudios imagenológicos diagnósticos si hay duda en la mejoría con el tratamiento o persisten las anormalidades del sistema nervioso. Es útil consultar con un pediatra infectólogo.</w:t>
      </w:r>
    </w:p>
    <w:p w14:paraId="2BEF6417" w14:textId="77777777" w:rsidR="00D03C17" w:rsidRDefault="00D03C17">
      <w:pPr>
        <w:pStyle w:val="BodyText"/>
        <w:numPr>
          <w:ilvl w:val="0"/>
          <w:numId w:val="95"/>
        </w:numPr>
        <w:tabs>
          <w:tab w:val="left" w:pos="341"/>
        </w:tabs>
        <w:spacing w:after="100"/>
        <w:ind w:left="360" w:hanging="360"/>
      </w:pPr>
      <w:bookmarkStart w:id="388" w:name="bookmark1394"/>
      <w:bookmarkEnd w:id="388"/>
      <w:r>
        <w:t>En el caso de pequeños con bacteriemia sin un foco definido habrá que continuar el tratamiento durante 10 días. En los pequeños con meningitis no complicada bastan 14 días de tratamiento, aunque se necesitan periodos más largos en aquellos que tienen una evolución más larga o complicada. La osteomielitis o la ventriculitis obliga a seguir el tratamiento durante cuatro semanas.</w:t>
      </w:r>
    </w:p>
    <w:p w14:paraId="19DF872C" w14:textId="77777777" w:rsidR="00D03C17" w:rsidRDefault="00D03C17">
      <w:pPr>
        <w:pStyle w:val="BodyText"/>
        <w:numPr>
          <w:ilvl w:val="0"/>
          <w:numId w:val="95"/>
        </w:numPr>
        <w:tabs>
          <w:tab w:val="left" w:pos="338"/>
        </w:tabs>
        <w:ind w:left="360" w:hanging="360"/>
      </w:pPr>
      <w:bookmarkStart w:id="389" w:name="bookmark1395"/>
      <w:bookmarkEnd w:id="389"/>
      <w:r>
        <w:t>Ante el riesgo señalado de que existan también otras infecciones, habrá que observar con gran cuidado el gemelo o cualquier múltiplo del primer caso con enfermedad de comienzo temprano o tardío y valorar y tratar sobre bases empíricas como si se tratara de una infección sistémica sospechada, en caso de surgir cualquier manifestación de la enfermedad.</w:t>
      </w:r>
    </w:p>
    <w:p w14:paraId="2F515B08" w14:textId="77777777" w:rsidR="00D03C17" w:rsidRDefault="00D03C17">
      <w:pPr>
        <w:pStyle w:val="BodyText"/>
        <w:spacing w:after="220" w:line="266" w:lineRule="auto"/>
        <w:ind w:firstLine="0"/>
      </w:pPr>
      <w:r>
        <w:rPr>
          <w:b/>
          <w:bCs/>
          <w:smallCaps/>
          <w:sz w:val="20"/>
          <w:szCs w:val="20"/>
        </w:rPr>
        <w:t>A</w:t>
      </w:r>
      <w:r>
        <w:rPr>
          <w:b/>
          <w:bCs/>
          <w:smallCaps/>
          <w:sz w:val="16"/>
          <w:szCs w:val="16"/>
        </w:rPr>
        <w:t>islamiento del paciente hospitalizado</w:t>
      </w:r>
      <w:r>
        <w:rPr>
          <w:b/>
          <w:bCs/>
          <w:smallCaps/>
          <w:sz w:val="20"/>
          <w:szCs w:val="20"/>
        </w:rPr>
        <w:t>:</w:t>
      </w:r>
      <w:r>
        <w:t xml:space="preserve"> Se recomienda seguir sólo las precauciones estándar, excepto durante un brote en una sala de cunas de enfermedad atribuible a GBS (véase “Medidas preventivas, brotes en salas de cuna”, más adelante en este resumen).</w:t>
      </w:r>
    </w:p>
    <w:p w14:paraId="5F1E16A6" w14:textId="77777777" w:rsidR="00D03C17" w:rsidRDefault="00D03C17">
      <w:pPr>
        <w:pStyle w:val="Other0"/>
        <w:spacing w:line="257" w:lineRule="auto"/>
        <w:ind w:firstLine="0"/>
        <w:rPr>
          <w:sz w:val="20"/>
          <w:szCs w:val="20"/>
        </w:rPr>
      </w:pPr>
      <w:r>
        <w:rPr>
          <w:b/>
          <w:bCs/>
          <w:smallCaps/>
          <w:sz w:val="20"/>
          <w:szCs w:val="20"/>
        </w:rPr>
        <w:t>M</w:t>
      </w:r>
      <w:r>
        <w:rPr>
          <w:b/>
          <w:bCs/>
          <w:smallCaps/>
          <w:sz w:val="16"/>
          <w:szCs w:val="16"/>
        </w:rPr>
        <w:t>edidas preventivas</w:t>
      </w:r>
      <w:r>
        <w:rPr>
          <w:b/>
          <w:bCs/>
          <w:smallCaps/>
          <w:sz w:val="20"/>
          <w:szCs w:val="20"/>
        </w:rPr>
        <w:t>:</w:t>
      </w:r>
    </w:p>
    <w:p w14:paraId="2057C8DB" w14:textId="77777777" w:rsidR="00D03C17" w:rsidRDefault="00D03C17">
      <w:pPr>
        <w:pStyle w:val="BodyText"/>
        <w:spacing w:line="276" w:lineRule="auto"/>
        <w:ind w:firstLine="0"/>
      </w:pPr>
      <w:r>
        <w:rPr>
          <w:rFonts w:ascii="Arial" w:eastAsia="Arial" w:hAnsi="Arial" w:cs="Arial"/>
          <w:b/>
          <w:bCs/>
          <w:i/>
          <w:iCs/>
          <w:sz w:val="15"/>
          <w:szCs w:val="15"/>
        </w:rPr>
        <w:t>Quimioprofilaxia.</w:t>
      </w:r>
      <w:r>
        <w:t xml:space="preserve"> Las recomendaciones para evitar la infección neonatal de comienzo temprano por GBS se basan en datos que comparan un método de detección sistemática (cultivo) con otro método basado en riesgos para identificar a mujeres que deben recibir durante el parto antimicrobianos como profilácticos y que han demostrado una eficacia mucho mayor, en lo que toca al método de detección sistemática (cultivo).</w:t>
      </w:r>
    </w:p>
    <w:p w14:paraId="62C13846" w14:textId="77777777" w:rsidR="00D03C17" w:rsidRDefault="00D03C17">
      <w:pPr>
        <w:pStyle w:val="BodyText"/>
        <w:ind w:firstLine="360"/>
      </w:pPr>
      <w:r>
        <w:t xml:space="preserve">Las recomendaciones de los </w:t>
      </w:r>
      <w:r>
        <w:rPr>
          <w:rFonts w:ascii="Times New Roman" w:eastAsia="Times New Roman" w:hAnsi="Times New Roman" w:cs="Times New Roman"/>
          <w:i/>
          <w:iCs/>
          <w:sz w:val="16"/>
          <w:szCs w:val="16"/>
        </w:rPr>
        <w:t>Centers for Disease Control and Prevention</w:t>
      </w:r>
      <w:r>
        <w:t xml:space="preserve"> (CDC)</w:t>
      </w:r>
      <w:r>
        <w:footnoteReference w:id="37"/>
      </w:r>
      <w:r>
        <w:t xml:space="preserve"> indican lo siguiente:</w:t>
      </w:r>
    </w:p>
    <w:p w14:paraId="2998B08B" w14:textId="77777777" w:rsidR="00D03C17" w:rsidRDefault="00D03C17">
      <w:pPr>
        <w:pStyle w:val="BodyText"/>
        <w:numPr>
          <w:ilvl w:val="0"/>
          <w:numId w:val="95"/>
        </w:numPr>
        <w:tabs>
          <w:tab w:val="left" w:pos="338"/>
        </w:tabs>
        <w:ind w:left="360" w:hanging="360"/>
      </w:pPr>
      <w:bookmarkStart w:id="390" w:name="bookmark1396"/>
      <w:bookmarkEnd w:id="390"/>
      <w:r>
        <w:t>Es importante identificar sistemáticamente entre las 35 y 37 semanas de gestación, la colonización de vagina y recto en todas las embarazadas (fig. 3-1). Las únicas excepciones a tal recomendación para practicar de manera sistemática y unánime los cultivos como técnica de detección inicial son las mujeres con bacteriuria por GBS durante el embarazo actual o las que han procreado un producto previamente que mostró enfermedad invasora por GBS, y ellas deben recibir siempre quimioprofilaxia durante el parto. En el comienzo de la primera fase del parto o al romperse las membranas, habrá que emprender la quimioprofilaxia a todas las embarazadas que hayan sido identificadas como portadoras de GBS. La colonización en un embarazo previo no constituye indicación para practicar quimioprofilaxia durante el parto, salvo que los resultados de la detección sistemática sean positivos en el embarazo actual.</w:t>
      </w:r>
    </w:p>
    <w:p w14:paraId="61B9998A" w14:textId="77777777" w:rsidR="00D03C17" w:rsidRDefault="00D03C17">
      <w:pPr>
        <w:pStyle w:val="BodyText"/>
        <w:numPr>
          <w:ilvl w:val="0"/>
          <w:numId w:val="95"/>
        </w:numPr>
        <w:tabs>
          <w:tab w:val="left" w:pos="338"/>
        </w:tabs>
        <w:ind w:left="360" w:hanging="360"/>
      </w:pPr>
      <w:bookmarkStart w:id="391" w:name="bookmark1397"/>
      <w:bookmarkEnd w:id="391"/>
      <w:r>
        <w:t>Deben recibir quimioprofilaxia durante el parto todas las gestantes con GBS aislado de la orina en cualquier número (p. ej., 10</w:t>
      </w:r>
      <w:r>
        <w:rPr>
          <w:vertAlign w:val="superscript"/>
        </w:rPr>
        <w:t>3</w:t>
      </w:r>
      <w:r>
        <w:t>) en el embarazo presente, porque ellas por lo común muestran una colonización intensa por el microorganismo y están expuestas a un mayor peligro de dar a luz a un pequeño con enfermedad de comienzo temprano por GBS; no se necesita el cultivo prenatal, herramienta de detección sistemática.</w:t>
      </w:r>
    </w:p>
    <w:p w14:paraId="28442331" w14:textId="77777777" w:rsidR="00D03C17" w:rsidRDefault="00D03C17">
      <w:pPr>
        <w:pStyle w:val="BodyText"/>
        <w:numPr>
          <w:ilvl w:val="0"/>
          <w:numId w:val="95"/>
        </w:numPr>
        <w:tabs>
          <w:tab w:val="left" w:pos="338"/>
        </w:tabs>
        <w:ind w:left="360" w:hanging="360"/>
      </w:pPr>
      <w:bookmarkStart w:id="392" w:name="bookmark1398"/>
      <w:bookmarkEnd w:id="392"/>
      <w:r>
        <w:t>La gestante que en ocasión anterior dio a luz a un pequeño por enfermedad invasora por GBS debe recibir quimioprofilaxia durante el parto presente; no se necesita la práctica de un cultivo prenatal, herramienta de detección sistemática.</w:t>
      </w:r>
    </w:p>
    <w:p w14:paraId="5906E365" w14:textId="77777777" w:rsidR="00D03C17" w:rsidRDefault="00D03C17">
      <w:pPr>
        <w:pStyle w:val="BodyText"/>
        <w:numPr>
          <w:ilvl w:val="0"/>
          <w:numId w:val="95"/>
        </w:numPr>
        <w:tabs>
          <w:tab w:val="left" w:pos="338"/>
        </w:tabs>
        <w:ind w:left="360" w:hanging="360"/>
        <w:sectPr w:rsidR="00D03C17" w:rsidSect="00D03C17">
          <w:headerReference w:type="even" r:id="rId392"/>
          <w:headerReference w:type="default" r:id="rId393"/>
          <w:footerReference w:type="even" r:id="rId394"/>
          <w:footerReference w:type="default" r:id="rId395"/>
          <w:footnotePr>
            <w:numFmt w:val="chicago"/>
          </w:footnotePr>
          <w:pgSz w:w="8501" w:h="13022"/>
          <w:pgMar w:top="711" w:right="830" w:bottom="456" w:left="749" w:header="0" w:footer="3" w:gutter="0"/>
          <w:pgNumType w:start="326"/>
          <w:cols w:space="720"/>
          <w:noEndnote/>
          <w:docGrid w:linePitch="360"/>
          <w15:footnoteColumns w:val="1"/>
        </w:sectPr>
      </w:pPr>
      <w:bookmarkStart w:id="393" w:name="bookmark1399"/>
      <w:bookmarkEnd w:id="393"/>
      <w:r>
        <w:t>Si al comenzar la primera fase del parto o al romperse las membranas no se conoce si hay colonización por GBS, habrá que practicar quimioprofilaxia durante el parto a toda mujer con cualquiera de los siguientes factores de riesgo: gestación menor de 37 semanas; rotura de membranas que ha durado 18 h o más o temperatura durante el parto de 38.0°C o mayor.</w:t>
      </w:r>
    </w:p>
    <w:p w14:paraId="784E764D" w14:textId="77777777" w:rsidR="00D03C17" w:rsidRDefault="00D03C17">
      <w:pPr>
        <w:pStyle w:val="Picturecaption0"/>
        <w:spacing w:line="211" w:lineRule="auto"/>
      </w:pPr>
      <w:r>
        <w:t xml:space="preserve">Fig. 3-1. Indicaciones para la profilaxia antimicrobiana durante el parto </w:t>
      </w:r>
      <w:r>
        <w:rPr>
          <w:i/>
          <w:iCs/>
        </w:rPr>
        <w:t>(intrapartum antimicrobial prophylaxis,</w:t>
      </w:r>
      <w:r>
        <w:t xml:space="preserve"> IAP) para evitar la enfermedad de comienzo temprano por estreptococos del grupo B (GBS), usando la estrategia universal de cultivo prenatal como medio de detección sistemática entre las 35 y 37 semanas de la gestación en todas las mujeres</w:t>
      </w:r>
    </w:p>
    <w:p w14:paraId="751D554A" w14:textId="77777777" w:rsidR="00D03C17" w:rsidRDefault="00D03C17">
      <w:pPr>
        <w:jc w:val="center"/>
        <w:rPr>
          <w:sz w:val="2"/>
          <w:szCs w:val="2"/>
        </w:rPr>
        <w:sectPr w:rsidR="00D03C17" w:rsidSect="00D03C17">
          <w:headerReference w:type="even" r:id="rId396"/>
          <w:headerReference w:type="default" r:id="rId397"/>
          <w:footerReference w:type="even" r:id="rId398"/>
          <w:footerReference w:type="default" r:id="rId399"/>
          <w:footnotePr>
            <w:numFmt w:val="chicago"/>
          </w:footnotePr>
          <w:pgSz w:w="13022" w:h="8501" w:orient="landscape"/>
          <w:pgMar w:top="1109" w:right="1075" w:bottom="506" w:left="653" w:header="681" w:footer="78" w:gutter="0"/>
          <w:pgNumType w:start="766"/>
          <w:cols w:space="720"/>
          <w:noEndnote/>
          <w:docGrid w:linePitch="360"/>
          <w15:footnoteColumns w:val="1"/>
        </w:sectPr>
      </w:pPr>
      <w:r>
        <w:rPr>
          <w:noProof/>
        </w:rPr>
        <w:drawing>
          <wp:inline distT="0" distB="0" distL="0" distR="0" wp14:anchorId="68ECBB59" wp14:editId="5CDC2444">
            <wp:extent cx="7174865" cy="2999105"/>
            <wp:effectExtent l="0" t="0" r="0" b="0"/>
            <wp:docPr id="1805" name="Picutre 1805"/>
            <wp:cNvGraphicFramePr/>
            <a:graphic xmlns:a="http://schemas.openxmlformats.org/drawingml/2006/main">
              <a:graphicData uri="http://schemas.openxmlformats.org/drawingml/2006/picture">
                <pic:pic xmlns:pic="http://schemas.openxmlformats.org/drawingml/2006/picture">
                  <pic:nvPicPr>
                    <pic:cNvPr id="1805" name="Picture 1805"/>
                    <pic:cNvPicPr/>
                  </pic:nvPicPr>
                  <pic:blipFill>
                    <a:blip r:embed="rId400"/>
                    <a:stretch/>
                  </pic:blipFill>
                  <pic:spPr>
                    <a:xfrm>
                      <a:off x="0" y="0"/>
                      <a:ext cx="7174865" cy="2999105"/>
                    </a:xfrm>
                    <a:prstGeom prst="rect">
                      <a:avLst/>
                    </a:prstGeom>
                  </pic:spPr>
                </pic:pic>
              </a:graphicData>
            </a:graphic>
          </wp:inline>
        </w:drawing>
      </w:r>
    </w:p>
    <w:p w14:paraId="015DF8B0" w14:textId="77777777" w:rsidR="00D03C17" w:rsidRDefault="00D03C17">
      <w:pPr>
        <w:pStyle w:val="BodyText"/>
        <w:ind w:left="360" w:firstLine="0"/>
      </w:pPr>
      <w:r>
        <w:t>Se necesitan para la detección prenatal sistemática técnicas de cultivo que lleven al máximo la posibilidad de identificar GBS. El método óptimo para tal finalidad es obtener material de la parte baja de la vagina y el recto por medio de aplicadores; se colocarán los aplicadores en un medio de transporte sin nutrientes, se extraerán los aplicadores y se inocularán en caldo selectivo como el caldo Trans-Vag Broth suplementado con 5% de sangre desfibrinada de oveja o caldo Lim; se le incubarán durante toda una noche y se harán subcultivos (nuevos cultivos) en agar-sangre sólido. No se utilizarán los antimicrobianos ingeribles para tratar a mujeres que en la fase de detección sistemática prenatal, tienen colonización por GBS, salvo que haya bacteriuria por GBS. El tratamiento comentado no es eficaz para eliminar el estado de portador de GBS o evitar la enfermedad neonatal y puede originar consecuencias adversas.</w:t>
      </w:r>
    </w:p>
    <w:p w14:paraId="0D1A34B5" w14:textId="77777777" w:rsidR="00D03C17" w:rsidRDefault="00D03C17">
      <w:pPr>
        <w:pStyle w:val="BodyText"/>
        <w:ind w:left="360" w:firstLine="0"/>
      </w:pPr>
      <w:r>
        <w:t>No deben recibir sistemáticamente quimioprofilaxia durante el parto las mujeres con colonización por GBS y que serán sometidas a una cesárea planeada antes de que se rompan las membranas y comience la primera fase del parto.</w:t>
      </w:r>
    </w:p>
    <w:p w14:paraId="4164C325" w14:textId="77777777" w:rsidR="00D03C17" w:rsidRDefault="00D03C17">
      <w:pPr>
        <w:pStyle w:val="BodyText"/>
        <w:ind w:firstLine="360"/>
      </w:pPr>
      <w:r>
        <w:t>Las recomendaciones siguientes se resumen en la figura 3-1:</w:t>
      </w:r>
    </w:p>
    <w:p w14:paraId="519F3B0B" w14:textId="77777777" w:rsidR="00D03C17" w:rsidRDefault="00D03C17">
      <w:pPr>
        <w:pStyle w:val="BodyText"/>
        <w:ind w:left="360" w:firstLine="0"/>
      </w:pPr>
      <w:r>
        <w:t>En el caso de quimioprofilaxia durante el parto el agente preferido es la administración de penicilina G intravenosa inicialmente (cinco millones de unidades para seguir con 2.5 millones de unidades cada 4 h hasta la expulsión del producto) por su eficacia y espectro restringido en la actividad antimicrobiana. Otro fármaco al que cabe recurrir es la ampicilina intravenosa (2 g inicialmente para seguir con 1 g cada 4 h hasta el nacimiento del producto).</w:t>
      </w:r>
    </w:p>
    <w:p w14:paraId="64A8F9FF" w14:textId="77777777" w:rsidR="00D03C17" w:rsidRDefault="00D03C17">
      <w:pPr>
        <w:pStyle w:val="BodyText"/>
        <w:ind w:left="360" w:firstLine="0"/>
      </w:pPr>
      <w:r>
        <w:t>Ante la prevalencia cada vez mayor de la resistencia de GBS a la eritromicina y la clindamicina, se recomienda usar 2 g de cefazolina sódica inicialmente para seguir con 1 g cada 8 h, en mujeres alérgicas a la penicilina pero con pequeño riesgo de una reacción anafiláctica, ante el espectro restringido de actividad y la capacidad de lograr concentraciones altas en líquido amniótico. Después de antibioticogramas hechos con GBS en que se advierte que el microorganismo es sensible a la clindamicina y en mujeres con alto riesgo de anafilaxia con penicilina, se podrá aplicar la clindamicina en una dosis de 900 mg cada 8 h. El clorhidrato de vancomicina se reservará para mujeres alérgicas a penicilina que están expuestas a un elevado riesgo de profilaxia y en otras en quienes no se han practicado antibioticogramas en GBS aislados; la vancomicina debe administrarse por vía endovenosa a razón de 1 g cada 12 h hasta la expulsión del producto.</w:t>
      </w:r>
    </w:p>
    <w:p w14:paraId="418BA625" w14:textId="77777777" w:rsidR="00D03C17" w:rsidRDefault="00D03C17">
      <w:pPr>
        <w:pStyle w:val="BodyText"/>
        <w:spacing w:after="220" w:line="276" w:lineRule="auto"/>
        <w:ind w:left="360" w:firstLine="0"/>
      </w:pPr>
      <w:r>
        <w:rPr>
          <w:rFonts w:ascii="Times New Roman" w:eastAsia="Times New Roman" w:hAnsi="Times New Roman" w:cs="Times New Roman"/>
          <w:i/>
          <w:iCs/>
          <w:sz w:val="16"/>
          <w:szCs w:val="16"/>
        </w:rPr>
        <w:t>No</w:t>
      </w:r>
      <w:r>
        <w:t xml:space="preserve"> se recomienda el uso sistemático de antimicrobianos con fin profiláctico en neonatos de mujeres que recibieron durante el parto quimioprofilaxia adecuada contra la enfermedad por GBS. Sin embargo, el uso terapéutico de dichos agentes es adecuado en recién nacidos en quienes se sospecha la infección sistémica, sobre bases clínicas.</w:t>
      </w:r>
    </w:p>
    <w:p w14:paraId="2571B29C" w14:textId="77777777" w:rsidR="00D03C17" w:rsidRDefault="00D03C17">
      <w:pPr>
        <w:pStyle w:val="BodyText"/>
        <w:ind w:firstLine="360"/>
      </w:pPr>
      <w:r>
        <w:t>En la figura 3-2, se señala una estrategia para el tratamiento empírico de recién nacidos hijos de mujeres que durante el parto recibieron quimioprofilaxia para evitar la enfermedad por GBS de comienzo temprano o para tratar la corioamnionitis sospechada. Las directrices se basan en información reciente y también en la opinión de los expertos; son las siguientes:</w:t>
      </w:r>
    </w:p>
    <w:p w14:paraId="15DDC3FF" w14:textId="77777777" w:rsidR="00D03C17" w:rsidRDefault="00D03C17">
      <w:pPr>
        <w:pStyle w:val="BodyText"/>
        <w:ind w:left="360" w:hanging="360"/>
        <w:sectPr w:rsidR="00D03C17" w:rsidSect="00D03C17">
          <w:headerReference w:type="even" r:id="rId401"/>
          <w:headerReference w:type="default" r:id="rId402"/>
          <w:footerReference w:type="even" r:id="rId403"/>
          <w:footerReference w:type="default" r:id="rId404"/>
          <w:footnotePr>
            <w:numFmt w:val="chicago"/>
          </w:footnotePr>
          <w:pgSz w:w="8501" w:h="13022"/>
          <w:pgMar w:top="941" w:right="1157" w:bottom="533" w:left="504" w:header="0" w:footer="105" w:gutter="0"/>
          <w:pgNumType w:start="342"/>
          <w:cols w:space="720"/>
          <w:noEndnote/>
          <w:docGrid w:linePitch="360"/>
          <w15:footnoteColumns w:val="1"/>
        </w:sectPr>
      </w:pPr>
      <w:r>
        <w:t>• Si durante el parto una gestante recibe antimicrobianos para tratar la sospecha de corioamnionitis, su recién nacido debe ser sometido a una valoración diagnóstica integral y recibirá tratamiento empírico mientras se obtienen los resultados de los</w:t>
      </w:r>
    </w:p>
    <w:p w14:paraId="77B4BF63" w14:textId="77777777" w:rsidR="00D03C17" w:rsidRDefault="00D03C17">
      <w:pPr>
        <w:spacing w:line="1" w:lineRule="exact"/>
      </w:pPr>
      <w:r>
        <w:rPr>
          <w:noProof/>
        </w:rPr>
        <w:drawing>
          <wp:anchor distT="923290" distB="38100" distL="114300" distR="114300" simplePos="0" relativeHeight="251680768" behindDoc="0" locked="0" layoutInCell="1" allowOverlap="1" wp14:anchorId="046823DE" wp14:editId="2A34A2FD">
            <wp:simplePos x="0" y="0"/>
            <wp:positionH relativeFrom="page">
              <wp:posOffset>454025</wp:posOffset>
            </wp:positionH>
            <wp:positionV relativeFrom="paragraph">
              <wp:posOffset>935990</wp:posOffset>
            </wp:positionV>
            <wp:extent cx="7162800" cy="2304415"/>
            <wp:effectExtent l="0" t="0" r="0" b="0"/>
            <wp:wrapTopAndBottom/>
            <wp:docPr id="1812" name="Shape 1812"/>
            <wp:cNvGraphicFramePr/>
            <a:graphic xmlns:a="http://schemas.openxmlformats.org/drawingml/2006/main">
              <a:graphicData uri="http://schemas.openxmlformats.org/drawingml/2006/picture">
                <pic:pic xmlns:pic="http://schemas.openxmlformats.org/drawingml/2006/picture">
                  <pic:nvPicPr>
                    <pic:cNvPr id="1813" name="Picture box 1813"/>
                    <pic:cNvPicPr/>
                  </pic:nvPicPr>
                  <pic:blipFill>
                    <a:blip r:embed="rId405"/>
                    <a:stretch/>
                  </pic:blipFill>
                  <pic:spPr>
                    <a:xfrm>
                      <a:off x="0" y="0"/>
                      <a:ext cx="7162800" cy="2304415"/>
                    </a:xfrm>
                    <a:prstGeom prst="rect">
                      <a:avLst/>
                    </a:prstGeom>
                  </pic:spPr>
                </pic:pic>
              </a:graphicData>
            </a:graphic>
          </wp:anchor>
        </w:drawing>
      </w:r>
      <w:r>
        <w:rPr>
          <w:noProof/>
        </w:rPr>
        <mc:AlternateContent>
          <mc:Choice Requires="wps">
            <w:drawing>
              <wp:anchor distT="0" distB="0" distL="0" distR="0" simplePos="0" relativeHeight="251685888" behindDoc="0" locked="0" layoutInCell="1" allowOverlap="1" wp14:anchorId="405D853F" wp14:editId="5ECDAAB6">
                <wp:simplePos x="0" y="0"/>
                <wp:positionH relativeFrom="page">
                  <wp:posOffset>530225</wp:posOffset>
                </wp:positionH>
                <wp:positionV relativeFrom="paragraph">
                  <wp:posOffset>12700</wp:posOffset>
                </wp:positionV>
                <wp:extent cx="7022465" cy="688975"/>
                <wp:effectExtent l="0" t="0" r="0" b="0"/>
                <wp:wrapNone/>
                <wp:docPr id="1814" name="Shape 1814"/>
                <wp:cNvGraphicFramePr/>
                <a:graphic xmlns:a="http://schemas.openxmlformats.org/drawingml/2006/main">
                  <a:graphicData uri="http://schemas.microsoft.com/office/word/2010/wordprocessingShape">
                    <wps:wsp>
                      <wps:cNvSpPr txBox="1"/>
                      <wps:spPr>
                        <a:xfrm>
                          <a:off x="0" y="0"/>
                          <a:ext cx="7022465" cy="688975"/>
                        </a:xfrm>
                        <a:prstGeom prst="rect">
                          <a:avLst/>
                        </a:prstGeom>
                        <a:noFill/>
                      </wps:spPr>
                      <wps:txbx>
                        <w:txbxContent>
                          <w:p w14:paraId="00E63196" w14:textId="77777777" w:rsidR="00D03C17" w:rsidRDefault="00D03C17">
                            <w:pPr>
                              <w:pStyle w:val="Picturecaption0"/>
                            </w:pPr>
                            <w:r>
                              <w:t>Fig. 3-2. Tratamiento empírico del neonato cuya madre recibió durante el parto profilaxia antimicrobiana (IAP) para evitar la enfermedad de comienzo temprano por estreptococos del grupo B (GBS)</w:t>
                            </w:r>
                            <w:r>
                              <w:rPr>
                                <w:vertAlign w:val="superscript"/>
                              </w:rPr>
                              <w:t>1</w:t>
                            </w:r>
                            <w:r>
                              <w:t xml:space="preserve"> o ante la sospecha de corioamnionitis. El algoritmo presente no constituye el esquema exclusivo de tratamiento; quizá sean adecuadas las variaciones que incorporen datos de circunstancias individuales o preferencias nosocomiales</w:t>
                            </w:r>
                          </w:p>
                        </w:txbxContent>
                      </wps:txbx>
                      <wps:bodyPr lIns="0" tIns="0" rIns="0" bIns="0"/>
                    </wps:wsp>
                  </a:graphicData>
                </a:graphic>
              </wp:anchor>
            </w:drawing>
          </mc:Choice>
          <mc:Fallback>
            <w:pict>
              <v:shape w14:anchorId="405D853F" id="Shape 1814" o:spid="_x0000_s1047" type="#_x0000_t202" style="position:absolute;margin-left:41.75pt;margin-top:1pt;width:552.95pt;height:54.25pt;z-index:251685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" filled="f" stroked="f">
                <v:textbox inset="0,0,0,0">
                  <w:txbxContent>
                    <w:p w14:paraId="00E63196" w14:textId="77777777" w:rsidR="00D03C17" w:rsidRDefault="00D03C17">
                      <w:pPr>
                        <w:pStyle w:val="Picturecaption0"/>
                      </w:pPr>
                      <w:r>
                        <w:t>Fig. 3-2. Tratamiento empírico del neonato cuya madre recibió durante el parto profilaxia antimicrobiana (IAP) para evitar la enfermedad de comienzo temprano por estreptococos del grupo B (GBS)</w:t>
                      </w:r>
                      <w:r>
                        <w:rPr>
                          <w:vertAlign w:val="superscript"/>
                        </w:rPr>
                        <w:t>1</w:t>
                      </w:r>
                      <w:r>
                        <w:t xml:space="preserve"> o ante la sospecha de corioamnionitis. El algoritmo presente no constituye el esquema exclusivo de tratamiento; quizá sean adecuadas las variaciones que incorporen datos de circunstancias individuales o preferencias nosocomiales</w:t>
                      </w:r>
                    </w:p>
                  </w:txbxContent>
                </v:textbox>
                <w10:wrap anchorx="page"/>
              </v:shape>
            </w:pict>
          </mc:Fallback>
        </mc:AlternateContent>
      </w:r>
      <w:r>
        <w:rPr>
          <w:noProof/>
        </w:rPr>
        <mc:AlternateContent>
          <mc:Choice Requires="wps">
            <w:drawing>
              <wp:anchor distT="0" distB="0" distL="114300" distR="114300" simplePos="0" relativeHeight="251681792" behindDoc="0" locked="0" layoutInCell="1" allowOverlap="1" wp14:anchorId="131AE661" wp14:editId="0A04DE0D">
                <wp:simplePos x="0" y="0"/>
                <wp:positionH relativeFrom="page">
                  <wp:posOffset>7860665</wp:posOffset>
                </wp:positionH>
                <wp:positionV relativeFrom="paragraph">
                  <wp:posOffset>1130935</wp:posOffset>
                </wp:positionV>
                <wp:extent cx="115570" cy="3237230"/>
                <wp:effectExtent l="0" t="0" r="0" b="0"/>
                <wp:wrapSquare wrapText="bothSides"/>
                <wp:docPr id="1816" name="Shape 1816"/>
                <wp:cNvGraphicFramePr/>
                <a:graphic xmlns:a="http://schemas.openxmlformats.org/drawingml/2006/main">
                  <a:graphicData uri="http://schemas.microsoft.com/office/word/2010/wordprocessingShape">
                    <wps:wsp>
                      <wps:cNvSpPr txBox="1"/>
                      <wps:spPr>
                        <a:xfrm>
                          <a:off x="0" y="0"/>
                          <a:ext cx="115570" cy="3237230"/>
                        </a:xfrm>
                        <a:prstGeom prst="rect">
                          <a:avLst/>
                        </a:prstGeom>
                        <a:noFill/>
                      </wps:spPr>
                      <wps:txbx>
                        <w:txbxContent>
                          <w:p w14:paraId="6462FB58" w14:textId="77777777" w:rsidR="00D03C17" w:rsidRDefault="00D03C17">
                            <w:pPr>
                              <w:pStyle w:val="Bodytext80"/>
                              <w:tabs>
                                <w:tab w:val="left" w:pos="4781"/>
                              </w:tabs>
                            </w:pPr>
                            <w:r>
                              <w:t>ESTREPTOCOCOS DEL GRUPO B, INFECCIONES</w:t>
                            </w:r>
                            <w:r>
                              <w:tab/>
                              <w:t>343</w:t>
                            </w:r>
                          </w:p>
                        </w:txbxContent>
                      </wps:txbx>
                      <wps:bodyPr vert="vert" lIns="0" tIns="0" rIns="0" bIns="0" upright="1"/>
                    </wps:wsp>
                  </a:graphicData>
                </a:graphic>
              </wp:anchor>
            </w:drawing>
          </mc:Choice>
          <mc:Fallback>
            <w:pict>
              <v:shape w14:anchorId="131AE661" id="Shape 1816" o:spid="_x0000_s1048" type="#_x0000_t202" style="position:absolute;margin-left:618.95pt;margin-top:89.05pt;width:9.1pt;height:254.9pt;z-index:251681792;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" filled="f" stroked="f">
                <v:textbox style="layout-flow:vertical" inset="0,0,0,0">
                  <w:txbxContent>
                    <w:p w14:paraId="6462FB58" w14:textId="77777777" w:rsidR="00D03C17" w:rsidRDefault="00D03C17">
                      <w:pPr>
                        <w:pStyle w:val="Bodytext80"/>
                        <w:tabs>
                          <w:tab w:val="left" w:pos="4781"/>
                        </w:tabs>
                      </w:pPr>
                      <w:r>
                        <w:t>ESTREPTOCOCOS DEL GRUPO B, INFECCIONES</w:t>
                      </w:r>
                      <w:r>
                        <w:tab/>
                        <w:t>343</w:t>
                      </w:r>
                    </w:p>
                  </w:txbxContent>
                </v:textbox>
                <w10:wrap type="square" anchorx="page"/>
              </v:shape>
            </w:pict>
          </mc:Fallback>
        </mc:AlternateContent>
      </w:r>
    </w:p>
    <w:p w14:paraId="6C1F2A2E" w14:textId="77777777" w:rsidR="00D03C17" w:rsidRDefault="00D03C17">
      <w:pPr>
        <w:pStyle w:val="Bodytext20"/>
        <w:numPr>
          <w:ilvl w:val="0"/>
          <w:numId w:val="104"/>
        </w:numPr>
        <w:tabs>
          <w:tab w:val="left" w:pos="173"/>
        </w:tabs>
        <w:spacing w:line="230" w:lineRule="auto"/>
        <w:rPr>
          <w:sz w:val="15"/>
          <w:szCs w:val="15"/>
        </w:rPr>
      </w:pPr>
      <w:bookmarkStart w:id="394" w:name="bookmark1400"/>
      <w:bookmarkEnd w:id="394"/>
      <w:r>
        <w:rPr>
          <w:sz w:val="15"/>
          <w:szCs w:val="15"/>
        </w:rPr>
        <w:t>Si no se emprendió IAP en la gestante contra GBS a pesar de que existía alguna indicación, los datos no son suficientes para recomendar una sola estrategia terapéutica.</w:t>
      </w:r>
    </w:p>
    <w:p w14:paraId="02A2123D" w14:textId="77777777" w:rsidR="00D03C17" w:rsidRDefault="00D03C17">
      <w:pPr>
        <w:pStyle w:val="Bodytext20"/>
        <w:numPr>
          <w:ilvl w:val="0"/>
          <w:numId w:val="104"/>
        </w:numPr>
        <w:tabs>
          <w:tab w:val="left" w:pos="191"/>
        </w:tabs>
        <w:spacing w:line="230" w:lineRule="auto"/>
        <w:ind w:left="160" w:hanging="160"/>
        <w:rPr>
          <w:sz w:val="15"/>
          <w:szCs w:val="15"/>
        </w:rPr>
      </w:pPr>
      <w:bookmarkStart w:id="395" w:name="bookmark1401"/>
      <w:bookmarkEnd w:id="395"/>
      <w:r>
        <w:rPr>
          <w:sz w:val="15"/>
          <w:szCs w:val="15"/>
        </w:rPr>
        <w:t xml:space="preserve">Incluye hematimetría completa </w:t>
      </w:r>
      <w:r>
        <w:rPr>
          <w:i/>
          <w:iCs/>
          <w:sz w:val="15"/>
          <w:szCs w:val="15"/>
        </w:rPr>
        <w:t>(complete blood cell,</w:t>
      </w:r>
      <w:r>
        <w:rPr>
          <w:sz w:val="15"/>
          <w:szCs w:val="15"/>
        </w:rPr>
        <w:t xml:space="preserve"> CBC) con recuento diferencial, cultivo de sangre y radiografía de tórax si han surgido anormalidades respiratorias. En caso de que surjan signos de sepsis habrá que practicar punción lumbar, en la medida de lo posible.</w:t>
      </w:r>
    </w:p>
    <w:p w14:paraId="1EA25473" w14:textId="77777777" w:rsidR="00D03C17" w:rsidRDefault="00D03C17">
      <w:pPr>
        <w:pStyle w:val="Bodytext20"/>
        <w:numPr>
          <w:ilvl w:val="0"/>
          <w:numId w:val="104"/>
        </w:numPr>
        <w:tabs>
          <w:tab w:val="left" w:pos="191"/>
        </w:tabs>
        <w:spacing w:line="230" w:lineRule="auto"/>
        <w:ind w:left="160" w:hanging="160"/>
        <w:rPr>
          <w:sz w:val="15"/>
          <w:szCs w:val="15"/>
        </w:rPr>
      </w:pPr>
      <w:bookmarkStart w:id="396" w:name="bookmark1402"/>
      <w:bookmarkEnd w:id="396"/>
      <w:r>
        <w:rPr>
          <w:sz w:val="15"/>
          <w:szCs w:val="15"/>
        </w:rPr>
        <w:t>La duración de la terapia varía con los resultados del cultivo de sangre, los datos en líquido cefalorraquídeo (si se extrajo) y la evolución clínica del neonato. Si los resultados de laboratorio y la evolución clínica no indican una infección bacteriana, la duración puede ser incluso de 48 horas.</w:t>
      </w:r>
    </w:p>
    <w:p w14:paraId="548E92A6" w14:textId="77777777" w:rsidR="00D03C17" w:rsidRDefault="00D03C17">
      <w:pPr>
        <w:pStyle w:val="Bodytext20"/>
        <w:numPr>
          <w:ilvl w:val="0"/>
          <w:numId w:val="104"/>
        </w:numPr>
        <w:tabs>
          <w:tab w:val="left" w:pos="191"/>
        </w:tabs>
        <w:spacing w:line="230" w:lineRule="auto"/>
        <w:jc w:val="both"/>
        <w:rPr>
          <w:sz w:val="15"/>
          <w:szCs w:val="15"/>
        </w:rPr>
      </w:pPr>
      <w:bookmarkStart w:id="397" w:name="bookmark1403"/>
      <w:bookmarkEnd w:id="397"/>
      <w:r>
        <w:rPr>
          <w:sz w:val="15"/>
          <w:szCs w:val="15"/>
        </w:rPr>
        <w:t>Hematimetría completa que incluye recuento leucocítico y recuento diferencial y cultivo de sangre.</w:t>
      </w:r>
    </w:p>
    <w:p w14:paraId="7C9CD719" w14:textId="77777777" w:rsidR="00D03C17" w:rsidRDefault="00D03C17">
      <w:pPr>
        <w:pStyle w:val="Bodytext20"/>
        <w:numPr>
          <w:ilvl w:val="0"/>
          <w:numId w:val="104"/>
        </w:numPr>
        <w:tabs>
          <w:tab w:val="left" w:pos="191"/>
        </w:tabs>
        <w:spacing w:line="230" w:lineRule="auto"/>
        <w:jc w:val="both"/>
        <w:rPr>
          <w:sz w:val="15"/>
          <w:szCs w:val="15"/>
        </w:rPr>
      </w:pPr>
      <w:bookmarkStart w:id="398" w:name="bookmark1404"/>
      <w:bookmarkEnd w:id="398"/>
      <w:r>
        <w:rPr>
          <w:sz w:val="15"/>
          <w:szCs w:val="15"/>
        </w:rPr>
        <w:t>La aplicación es válida sólo en el caso de penicilina, ampicilina o cefazolina y supone que se seguirán los regímenes recomendados de dosificación.</w:t>
      </w:r>
    </w:p>
    <w:p w14:paraId="27F4D065" w14:textId="77777777" w:rsidR="00D03C17" w:rsidRDefault="00D03C17">
      <w:pPr>
        <w:pStyle w:val="Bodytext20"/>
        <w:numPr>
          <w:ilvl w:val="0"/>
          <w:numId w:val="104"/>
        </w:numPr>
        <w:tabs>
          <w:tab w:val="left" w:pos="191"/>
        </w:tabs>
        <w:spacing w:line="230" w:lineRule="auto"/>
        <w:ind w:left="160" w:hanging="160"/>
        <w:rPr>
          <w:sz w:val="15"/>
          <w:szCs w:val="15"/>
        </w:rPr>
        <w:sectPr w:rsidR="00D03C17" w:rsidSect="00D03C17">
          <w:headerReference w:type="even" r:id="rId406"/>
          <w:headerReference w:type="default" r:id="rId407"/>
          <w:footerReference w:type="even" r:id="rId408"/>
          <w:footerReference w:type="default" r:id="rId409"/>
          <w:footnotePr>
            <w:numFmt w:val="chicago"/>
          </w:footnotePr>
          <w:pgSz w:w="13022" w:h="8501" w:orient="landscape"/>
          <w:pgMar w:top="1118" w:right="1028" w:bottom="227" w:left="682" w:header="690" w:footer="3" w:gutter="0"/>
          <w:pgNumType w:start="768"/>
          <w:cols w:space="720"/>
          <w:noEndnote/>
          <w:docGrid w:linePitch="360"/>
          <w15:footnoteColumns w:val="1"/>
        </w:sectPr>
      </w:pPr>
      <w:bookmarkStart w:id="399" w:name="bookmark1405"/>
      <w:bookmarkEnd w:id="399"/>
      <w:r>
        <w:rPr>
          <w:sz w:val="15"/>
          <w:szCs w:val="15"/>
        </w:rPr>
        <w:t>Es posible que retornen a su hogar después de 24 h, el producto de aspecto sano que tenía 38 semanas de gestación o más al nacer y cuya madre recibió 4 h o más de IAP antes del parto sì se satisfacen otros criterios de alta y se cuenta con una persona que tiene la capacidad de cumplir meticulosamente las instrucciones para la observación en el hogar. SÍ no se cumplen algunas de las condiciones mencionadas, será mejor observar al pequeño dentro del hospital durante 48 h, como mínimo y hasta que se cumplan los criterios de alta.</w:t>
      </w:r>
    </w:p>
    <w:p w14:paraId="75EB8556" w14:textId="77777777" w:rsidR="00D03C17" w:rsidRDefault="00D03C17">
      <w:pPr>
        <w:pStyle w:val="BodyText"/>
        <w:spacing w:before="280"/>
        <w:ind w:left="360" w:firstLine="0"/>
      </w:pPr>
      <w:r>
        <w:t>cultivos, independientemente de su estado clínico al nacer, la duración de la terapia que su madre recibió antes del parto o las semanas de la gestación que tenía el producto al nacer. La terapia empírica en el pequeño debe incluir antimicrobianos activos contra GBS y otros microorganismos que pudieran causar sepsis neonatal de comienzo temprano (como ampicilina y sulfato de gentamicina).</w:t>
      </w:r>
    </w:p>
    <w:p w14:paraId="67671B7E" w14:textId="77777777" w:rsidR="00D03C17" w:rsidRDefault="00D03C17">
      <w:pPr>
        <w:pStyle w:val="BodyText"/>
        <w:ind w:left="360" w:firstLine="0"/>
      </w:pPr>
      <w:r>
        <w:t>Si los signos clínicos del pequeño sugieren sepsis, la valoración diagnóstica integral debe incluir la práctica de punción lumbar, de ser factible. Los cultivos de sangre pueden ser estériles incluso en 15% de los neonatos con meningitis, y el tratamiento clínico del pequeño con anormalidades de líquido cefalorraquídeo (LCR) difiere del que se seguiría en otro con líquido cefalorraquídeo anormal. Si se ha diferido la práctica de punción lumbar en el neonato que recibe antimicrobianos sobre bases empíricas y se continúa el tratamiento más allá de 48 h, por signos clínicos incesantes que sugieren infección, habrá que obtener LCR para medir en él el número de leucocitos y el recuento diferencial, la glucosa y la proteína y también para practicar cultivo.</w:t>
      </w:r>
    </w:p>
    <w:p w14:paraId="7996964C" w14:textId="77777777" w:rsidR="00D03C17" w:rsidRDefault="00D03C17">
      <w:pPr>
        <w:pStyle w:val="BodyText"/>
        <w:ind w:left="360" w:firstLine="0"/>
      </w:pPr>
      <w:r>
        <w:t>Además de la penicilina o la ampicilina, puede considerarse adecuado comenzar la profilaxia antimicrobiana durante el parto, con cefazolina como mínimo 4 h antes de la expulsión del producto con base en las concentraciones de dicho antibiótico obtenibles en líquido amniótico. En vez de la penicilina cabe utilizar otros agentes si la gestante tiene el antecedente de alergia a ella, pero no se ha estudiado la eficacia de los mismos (como clindamicina o clorhidrato de vancomicina) para evitar la enfermedad por GBS de comienzo temprano, y no se cuenta con datos que sugieran la duración y el tratamiento antes de la expulsión del producto como para considerar adecuados dichos tratamientos.</w:t>
      </w:r>
    </w:p>
    <w:p w14:paraId="2110E689" w14:textId="77777777" w:rsidR="00D03C17" w:rsidRDefault="00D03C17">
      <w:pPr>
        <w:pStyle w:val="BodyText"/>
        <w:spacing w:after="220"/>
        <w:ind w:left="360" w:firstLine="0"/>
      </w:pPr>
      <w:r>
        <w:t>Con base en la eficacia demostrada de la profilaxia con antimicrobianos durante el parto para evitar la enfermedad por GBS de comienzo temprano y en datos que señalan que el comienzo de la enfermedad clínica se produce en las primeras 24 h de vida en más de 90% de los pequeños, pudiera ser razonable en algunas circunstancias que la madre y el pequeño salgan del hospital incluso 24 h después del nacimiento. De manera específica, puede retornar a su hogar incluso 24 h después de haber nacido, cualquier pequeño de aspecto sano que haya tenido como mínimo 38 semanas de gestación al nacer y cuya madre recibió durante 4 h o más durante el parto, penicilina, ampicilina o cefazolina antes de la expulsión, si se cumplen otros criterios de alta y se cuenta con una persona que puede cumplir fielmente las instrucciones para observación en el hogar. Un componente básico en el cumplimiento de las instrucciones es la capacidad de la persona que observa el recién nacido, para comunicarse con profesionales asistenciales por teléfono y transportar inmediatamente al pequeño a una instalación apropiada de cuidados médicos en caso de que surjan signos clínicos de infección sistémica. Si no se cubren tales requisitos, será mejor que el pequeño permanezca en el hospital durante 48 h como mínimo, para observación.</w:t>
      </w:r>
    </w:p>
    <w:p w14:paraId="2068D23D" w14:textId="77777777" w:rsidR="00D03C17" w:rsidRDefault="00D03C17">
      <w:pPr>
        <w:pStyle w:val="BodyText"/>
        <w:ind w:firstLine="360"/>
      </w:pPr>
      <w:r>
        <w:rPr>
          <w:rFonts w:ascii="Arial" w:eastAsia="Arial" w:hAnsi="Arial" w:cs="Arial"/>
          <w:b/>
          <w:bCs/>
          <w:i/>
          <w:iCs/>
          <w:sz w:val="15"/>
          <w:szCs w:val="15"/>
        </w:rPr>
        <w:t>Erradicación de infecciones neonatales.</w:t>
      </w:r>
      <w:r>
        <w:t xml:space="preserve"> No se recomienda practicar sistemáticamente cultivos para saber si los recién nacidos están colonizados por GBS. A veces se necesita la valoración epidemiológica de casos de comienzo tardío en una sala de cunas especial para descartar un origen nosocomial.</w:t>
      </w:r>
    </w:p>
    <w:p w14:paraId="70563809" w14:textId="77777777" w:rsidR="00D03C17" w:rsidRDefault="00D03C17">
      <w:pPr>
        <w:pStyle w:val="BodyText"/>
        <w:spacing w:after="80" w:line="298" w:lineRule="auto"/>
        <w:ind w:firstLine="360"/>
      </w:pPr>
      <w:r>
        <w:rPr>
          <w:rFonts w:ascii="Arial" w:eastAsia="Arial" w:hAnsi="Arial" w:cs="Arial"/>
          <w:b/>
          <w:bCs/>
          <w:i/>
          <w:iCs/>
          <w:sz w:val="15"/>
          <w:szCs w:val="15"/>
        </w:rPr>
        <w:t>Medidas para erradicar brotes en salas de cuna.</w:t>
      </w:r>
      <w:r>
        <w:t xml:space="preserve"> Se recomienda en estos casos reunir en cohortes a todos los recién nacidos enfermos y colonizados y seguir las precauciones para evitar la transmsión por contacto durante un brote. Otros métodos de erradicación no son prácticos o son ineficaces (como sería el tratamiento con penicilina, de los portadores asintomáticos). La mejor forma para evitar que se propague la infección a otros pequeños es la higiene manual sistemática por parte de profesionales que atienden a los lactantes colonizados o infectados por estreptococos del grupo B.</w:t>
      </w:r>
    </w:p>
    <w:p w14:paraId="36B0B538" w14:textId="77777777" w:rsidR="00D03C17" w:rsidRDefault="00D03C17">
      <w:pPr>
        <w:pStyle w:val="Bodytext70"/>
        <w:spacing w:after="0"/>
      </w:pPr>
      <w:r>
        <w:t>Estrongiloidiasis</w:t>
      </w:r>
    </w:p>
    <w:p w14:paraId="3424FA3D" w14:textId="77777777" w:rsidR="00D03C17" w:rsidRDefault="00D03C17">
      <w:pPr>
        <w:pStyle w:val="Bodytext80"/>
        <w:rPr>
          <w:sz w:val="15"/>
          <w:szCs w:val="15"/>
        </w:rPr>
      </w:pPr>
      <w:r>
        <w:rPr>
          <w:b/>
          <w:bCs/>
          <w:i/>
          <w:iCs/>
          <w:sz w:val="15"/>
          <w:szCs w:val="15"/>
        </w:rPr>
        <w:t>(Strongyloides stercoralis)</w:t>
      </w:r>
    </w:p>
    <w:p w14:paraId="09A0C849" w14:textId="77777777" w:rsidR="00D03C17" w:rsidRDefault="00D03C17">
      <w:pPr>
        <w:pStyle w:val="BodyText"/>
        <w:ind w:firstLine="0"/>
      </w:pPr>
      <w:r>
        <w:rPr>
          <w:b/>
          <w:bCs/>
        </w:rPr>
        <w:t>M</w:t>
      </w:r>
      <w:r>
        <w:rPr>
          <w:b/>
          <w:bCs/>
          <w:sz w:val="13"/>
          <w:szCs w:val="13"/>
        </w:rPr>
        <w:t>ANIFESTACIONES CLÍNICAS</w:t>
      </w:r>
      <w:r>
        <w:rPr>
          <w:b/>
          <w:bCs/>
        </w:rPr>
        <w:t xml:space="preserve">: </w:t>
      </w:r>
      <w:r>
        <w:t xml:space="preserve">Es posible que la única manifestación de la infección sea, si es asintomática, la eosinofilia en sangre periférica. Por tal motivo, siempre que se detecte eosinofilia (más de 500 eosinófilos/ml de sangre) sin una causa neta en una persona que ha residido en un área endémica, habrá que considerar en primer término la estrongiloidiasis. Las larvas infectantes que penetran en el organismo originan pápulas pruriginosas transitorias en el sitio en que perforan la piel, por lo común de los pies. La migración de las larvas hasta los pulmones originan neumonitis con tos y expulsión de esputo sanguinolento. La fase intestinal de la infección se acompaña a veces de dolor abdominal vago, distensión, vómitos y diarrea que puede ser mucoide y voluminosa. Se han señalado casos de malabsorción. La migración larvaria de los excrementos defecados puede originar lesiones cutáneas pruriginosas en la zona perianal, glúteos y mitad superior de los muslos. Las larvas pueden estar en “túneles” eritematosos, serpiginosos, pruriginosos y migratorios llamados </w:t>
      </w:r>
      <w:r>
        <w:rPr>
          <w:rFonts w:ascii="Times New Roman" w:eastAsia="Times New Roman" w:hAnsi="Times New Roman" w:cs="Times New Roman"/>
          <w:i/>
          <w:iCs/>
          <w:sz w:val="16"/>
          <w:szCs w:val="16"/>
        </w:rPr>
        <w:t>larva currens.</w:t>
      </w:r>
      <w:r>
        <w:t xml:space="preserve"> En niños inmunodeficientes en particular los que reciben corticosteroides y con menor frecuencia en los desnutridos, en adultos alcohólicos o infectados con el virus linfotrópico T de tipo I humano, entre las complicaciones están estrongiloidiasis diseminada (por hiperinfección), infiltrados pulmonares difusos y septicemia o meningitis por bacilos gramnegativos intestinales. </w:t>
      </w:r>
      <w:r>
        <w:rPr>
          <w:b/>
          <w:bCs/>
        </w:rPr>
        <w:t>C</w:t>
      </w:r>
      <w:r>
        <w:rPr>
          <w:b/>
          <w:bCs/>
          <w:sz w:val="13"/>
          <w:szCs w:val="13"/>
        </w:rPr>
        <w:t>AUSAS</w:t>
      </w:r>
      <w:r>
        <w:rPr>
          <w:b/>
          <w:bCs/>
        </w:rPr>
        <w:t xml:space="preserve">: </w:t>
      </w:r>
      <w:r>
        <w:rPr>
          <w:rFonts w:ascii="Times New Roman" w:eastAsia="Times New Roman" w:hAnsi="Times New Roman" w:cs="Times New Roman"/>
          <w:i/>
          <w:iCs/>
          <w:sz w:val="16"/>
          <w:szCs w:val="16"/>
        </w:rPr>
        <w:t>Strongyloides stercoralis</w:t>
      </w:r>
      <w:r>
        <w:t xml:space="preserve"> es un nematodo (verme redondo).</w:t>
      </w:r>
    </w:p>
    <w:p w14:paraId="78304EFD" w14:textId="77777777" w:rsidR="00D03C17" w:rsidRDefault="00D03C17">
      <w:pPr>
        <w:pStyle w:val="BodyText"/>
        <w:ind w:firstLine="0"/>
      </w:pPr>
      <w:r>
        <w:rPr>
          <w:b/>
          <w:bCs/>
        </w:rPr>
        <w:t>A</w:t>
      </w:r>
      <w:r>
        <w:rPr>
          <w:b/>
          <w:bCs/>
          <w:sz w:val="13"/>
          <w:szCs w:val="13"/>
        </w:rPr>
        <w:t>SPECTOS EPIDEMIOLÓGICOS</w:t>
      </w:r>
      <w:r>
        <w:rPr>
          <w:b/>
          <w:bCs/>
        </w:rPr>
        <w:t xml:space="preserve">: </w:t>
      </w:r>
      <w:r>
        <w:t>La estrongiloidiasis es endémica en zonas tropicales y subtropicales, incluidos el sur y el suroeste de Estados Unidos, sitios en que coexisten la tierra húmeda que es un medio idóneo para los parásitos y la eliminación inadecuada de desechos humanos. Los seres humanos son los hospedadores principales, aunque también sirven como reservorios los perros, los gatos y otros animales. La transmisión incluye la penetración de la piel por larvas infectantes (filariformes), por contacto con la tierra infectada o por autoinfección. Rara vez las infecciones se contraen por el contacto cercano de piel o por coprofagia inadvertida, como sería ingerir alimentos contaminados recogidos de la basura. Algunas larvas maduran hasta generar formar infectantes en el colon, razón por la cual puede haber autoinfección. Las larvas son transportadas a los pulmones, y de ellos emigran a la tráquea para ser deglutidas finalmente. Las hembras adultas quedan alojadas en la lámina propia del duodeno y zona proximal del yeyuno en donde depositan huevos que se transformarán en larvas rabditiformes de vida libre y por lo común llegan al medio externo por los excrementos. Dada la autoinfección interna, la persona puede permanecer infectada durante decenios. En pacientes inmunodeficientes la autoinfección es más común y origina estrongiloidiasis diseminada, en la cual hay hiperinfección de órganos y tejidos con las larvas y es grande el número de vermes adultos en el intestino delgado.</w:t>
      </w:r>
    </w:p>
    <w:p w14:paraId="70534222" w14:textId="77777777" w:rsidR="00D03C17" w:rsidRDefault="00D03C17">
      <w:pPr>
        <w:pStyle w:val="BodyText"/>
        <w:ind w:firstLine="360"/>
      </w:pPr>
      <w:r>
        <w:t xml:space="preserve">Se desconoce el </w:t>
      </w:r>
      <w:r>
        <w:rPr>
          <w:b/>
          <w:bCs/>
        </w:rPr>
        <w:t xml:space="preserve">periodo de incubación </w:t>
      </w:r>
      <w:r>
        <w:t>en los seres humanos.</w:t>
      </w:r>
    </w:p>
    <w:p w14:paraId="451D06DD" w14:textId="77777777" w:rsidR="00D03C17" w:rsidRDefault="00D03C17">
      <w:pPr>
        <w:pStyle w:val="BodyText"/>
        <w:spacing w:after="60"/>
        <w:ind w:firstLine="0"/>
        <w:sectPr w:rsidR="00D03C17" w:rsidSect="00D03C17">
          <w:headerReference w:type="even" r:id="rId410"/>
          <w:headerReference w:type="default" r:id="rId411"/>
          <w:footerReference w:type="even" r:id="rId412"/>
          <w:footerReference w:type="default" r:id="rId413"/>
          <w:headerReference w:type="first" r:id="rId414"/>
          <w:footerReference w:type="first" r:id="rId415"/>
          <w:footnotePr>
            <w:numFmt w:val="chicago"/>
          </w:footnotePr>
          <w:pgSz w:w="8501" w:h="13022"/>
          <w:pgMar w:top="701" w:right="814" w:bottom="469" w:left="765" w:header="0" w:footer="3" w:gutter="0"/>
          <w:pgNumType w:start="344"/>
          <w:cols w:space="720"/>
          <w:noEndnote/>
          <w:titlePg/>
          <w:docGrid w:linePitch="360"/>
          <w15:footnoteColumns w:val="1"/>
        </w:sectPr>
      </w:pPr>
      <w:r>
        <w:rPr>
          <w:b/>
          <w:bCs/>
        </w:rPr>
        <w:t>M</w:t>
      </w:r>
      <w:r>
        <w:rPr>
          <w:b/>
          <w:bCs/>
          <w:sz w:val="13"/>
          <w:szCs w:val="13"/>
        </w:rPr>
        <w:t>ÉTODOS DIAGNÓSTICOS</w:t>
      </w:r>
      <w:r>
        <w:rPr>
          <w:b/>
          <w:bCs/>
        </w:rPr>
        <w:t xml:space="preserve">: </w:t>
      </w:r>
      <w:r>
        <w:t>El estudio coproparasitoscópico permite identificar las larvas características, pero se necesita a veces estudiar algunas muestras de excremento recién expulsado. También se requiere a veces procedimientos de concentración de las heces.</w:t>
      </w:r>
    </w:p>
    <w:p w14:paraId="059D3783" w14:textId="77777777" w:rsidR="00D03C17" w:rsidRDefault="00D03C17">
      <w:pPr>
        <w:pStyle w:val="BodyText"/>
        <w:spacing w:after="200"/>
        <w:ind w:firstLine="0"/>
      </w:pPr>
      <w:r>
        <w:rPr>
          <w:b/>
          <w:bCs/>
        </w:rPr>
        <w:t>M</w:t>
      </w:r>
      <w:r>
        <w:rPr>
          <w:b/>
          <w:bCs/>
          <w:sz w:val="13"/>
          <w:szCs w:val="13"/>
        </w:rPr>
        <w:t>EDIDAS PREVENTIVAS</w:t>
      </w:r>
      <w:r>
        <w:rPr>
          <w:b/>
          <w:bCs/>
        </w:rPr>
        <w:t xml:space="preserve">: </w:t>
      </w:r>
      <w:r>
        <w:t>La enfermedad se evita si se consumen en forma inmediata los alimentos cocidos u horneados, o se enfrían o refrigeran a brevísimo plazo. Los alimentos cocidos deben refrigerarse a temperaturas menores de 5°C. Es importante excluir temporalmente del manejo de alimentos, a personas con furúnculos, abscesos y otras lesiones purulentas de manos, cara o vías nasales, y hay que instaurar con toda rigidez la higiene manual antes de cualquier maniobra de ese tipo.</w:t>
      </w:r>
    </w:p>
    <w:p w14:paraId="7B674D4A" w14:textId="77777777" w:rsidR="00D03C17" w:rsidRDefault="00D03C17">
      <w:pPr>
        <w:pStyle w:val="Bodytext70"/>
        <w:spacing w:after="80" w:line="206" w:lineRule="auto"/>
      </w:pPr>
      <w:r>
        <w:t>Estreptocócica (por especies no pertenecientes a grupos A o B) y enterocócicas, infecciones</w:t>
      </w:r>
    </w:p>
    <w:p w14:paraId="450D12A2" w14:textId="77777777" w:rsidR="00D03C17" w:rsidRDefault="00D03C17">
      <w:pPr>
        <w:pStyle w:val="BodyText"/>
        <w:ind w:firstLine="0"/>
      </w:pPr>
      <w:r>
        <w:rPr>
          <w:b/>
          <w:bCs/>
        </w:rPr>
        <w:t>M</w:t>
      </w:r>
      <w:r>
        <w:rPr>
          <w:b/>
          <w:bCs/>
          <w:sz w:val="13"/>
          <w:szCs w:val="13"/>
        </w:rPr>
        <w:t>ANIFESTACIONES CLÍNICAS</w:t>
      </w:r>
      <w:r>
        <w:rPr>
          <w:b/>
          <w:bCs/>
        </w:rPr>
        <w:t xml:space="preserve">: </w:t>
      </w:r>
      <w:r>
        <w:t>La enfermedad invasora en lactantes, niños, adolescentes y adultos puede ser causada por estreptococos de grupos diferentes de A o B. Los síndromes clínicos principales son infección de vías urinarias, endocarditis, infecciones de zonas alta y baja de vías respiratorias y meningitis. Los estreptococos viridans se acompañan de diversas infecciones, y de ellas las más notables quizá sean la endocarditis y la bacteriemia en pacientes neutropénicos con cáncer. Los enterococos originan bacteriemia en neonatos y en niños de mayor edad y adultos, además de la bacteriemia, abscesos intraabdominales e infecciones de vías urinarias.</w:t>
      </w:r>
    </w:p>
    <w:p w14:paraId="2190A958" w14:textId="77777777" w:rsidR="00D03C17" w:rsidRDefault="00D03C17">
      <w:pPr>
        <w:pStyle w:val="BodyText"/>
        <w:spacing w:line="271" w:lineRule="auto"/>
        <w:ind w:firstLine="0"/>
        <w:rPr>
          <w:sz w:val="16"/>
          <w:szCs w:val="16"/>
        </w:rPr>
      </w:pPr>
      <w:r>
        <w:rPr>
          <w:b/>
          <w:bCs/>
        </w:rPr>
        <w:t>C</w:t>
      </w:r>
      <w:r>
        <w:rPr>
          <w:b/>
          <w:bCs/>
          <w:sz w:val="13"/>
          <w:szCs w:val="13"/>
        </w:rPr>
        <w:t>AUSAS</w:t>
      </w:r>
      <w:r>
        <w:rPr>
          <w:b/>
          <w:bCs/>
        </w:rPr>
        <w:t xml:space="preserve">: </w:t>
      </w:r>
      <w:r>
        <w:t xml:space="preserve">Los cambios en la taxonomía y la nomenclatura del género </w:t>
      </w:r>
      <w:r>
        <w:rPr>
          <w:rFonts w:ascii="Times New Roman" w:eastAsia="Times New Roman" w:hAnsi="Times New Roman" w:cs="Times New Roman"/>
          <w:i/>
          <w:iCs/>
          <w:sz w:val="16"/>
          <w:szCs w:val="16"/>
        </w:rPr>
        <w:t>Streptococcus</w:t>
      </w:r>
      <w:r>
        <w:t xml:space="preserve"> han evolucionado como consecuencia de la aplicación de la tecnología molecular.</w:t>
      </w:r>
      <w:r>
        <w:footnoteReference w:id="38"/>
      </w:r>
      <w:r>
        <w:t xml:space="preserve"> Entre los microorganismos grampositivos que son catalasa-negativos y que se disponen en cadenas en la imagen obtenida con tinción de Gram de dos géneros que más a menudo se vinculan por enfermedad de seres humanos son </w:t>
      </w:r>
      <w:r>
        <w:rPr>
          <w:rFonts w:ascii="Times New Roman" w:eastAsia="Times New Roman" w:hAnsi="Times New Roman" w:cs="Times New Roman"/>
          <w:i/>
          <w:iCs/>
          <w:sz w:val="16"/>
          <w:szCs w:val="16"/>
        </w:rPr>
        <w:t>Streptococcus</w:t>
      </w:r>
      <w:r>
        <w:t xml:space="preserve"> y </w:t>
      </w:r>
      <w:r>
        <w:rPr>
          <w:rFonts w:ascii="Times New Roman" w:eastAsia="Times New Roman" w:hAnsi="Times New Roman" w:cs="Times New Roman"/>
          <w:i/>
          <w:iCs/>
          <w:sz w:val="16"/>
          <w:szCs w:val="16"/>
        </w:rPr>
        <w:t>Enterococcus</w:t>
      </w:r>
      <w:r>
        <w:rPr>
          <w:i/>
          <w:iCs/>
        </w:rPr>
        <w:t>.</w:t>
      </w:r>
      <w:r>
        <w:t xml:space="preserve"> El género </w:t>
      </w:r>
      <w:r>
        <w:rPr>
          <w:rFonts w:ascii="Times New Roman" w:eastAsia="Times New Roman" w:hAnsi="Times New Roman" w:cs="Times New Roman"/>
          <w:i/>
          <w:iCs/>
          <w:sz w:val="16"/>
          <w:szCs w:val="16"/>
        </w:rPr>
        <w:t>Streptococcus</w:t>
      </w:r>
      <w:r>
        <w:t xml:space="preserve"> contiene microorganismos que son: a) hemolíticos en placas de agar-sangre </w:t>
      </w:r>
      <w:r>
        <w:rPr>
          <w:rFonts w:ascii="Times New Roman" w:eastAsia="Times New Roman" w:hAnsi="Times New Roman" w:cs="Times New Roman"/>
          <w:i/>
          <w:iCs/>
          <w:sz w:val="16"/>
          <w:szCs w:val="16"/>
        </w:rPr>
        <w:t>(Streptococcuspyogenes</w:t>
      </w:r>
      <w:r>
        <w:t xml:space="preserve"> [véase “Estreptococos del grupo A, infecciones”], </w:t>
      </w:r>
      <w:r>
        <w:rPr>
          <w:rFonts w:ascii="Times New Roman" w:eastAsia="Times New Roman" w:hAnsi="Times New Roman" w:cs="Times New Roman"/>
          <w:i/>
          <w:iCs/>
          <w:sz w:val="16"/>
          <w:szCs w:val="16"/>
        </w:rPr>
        <w:t>Streptococcus agalactiae</w:t>
      </w:r>
      <w:r>
        <w:t xml:space="preserve"> [véase “Estreptococos del grupo B, infecciones”, ambos en esta sección] y estreptococos de los grupos C, G y F); b) que no son hemolíticos en placas de agar-sangre </w:t>
      </w:r>
      <w:r>
        <w:rPr>
          <w:rFonts w:ascii="Times New Roman" w:eastAsia="Times New Roman" w:hAnsi="Times New Roman" w:cs="Times New Roman"/>
          <w:i/>
          <w:iCs/>
          <w:sz w:val="16"/>
          <w:szCs w:val="16"/>
        </w:rPr>
        <w:t>(Streptococcuspneumoniae</w:t>
      </w:r>
      <w:r>
        <w:t xml:space="preserve"> [véase “Neumococos, infecciones”, en esta sección], grupo </w:t>
      </w:r>
      <w:r>
        <w:rPr>
          <w:rFonts w:ascii="Times New Roman" w:eastAsia="Times New Roman" w:hAnsi="Times New Roman" w:cs="Times New Roman"/>
          <w:i/>
          <w:iCs/>
          <w:sz w:val="16"/>
          <w:szCs w:val="16"/>
        </w:rPr>
        <w:t>Streptococcus bovis</w:t>
      </w:r>
      <w:r>
        <w:t xml:space="preserve"> y otros estreptococos del grupo D); c) 26 especies de estreptococos viridans que se dividen en seis grupos según sus características fenotípicas; d) estreptococos con variantes nutricionales (conocidos ahora como </w:t>
      </w:r>
      <w:r>
        <w:rPr>
          <w:rFonts w:ascii="Times New Roman" w:eastAsia="Times New Roman" w:hAnsi="Times New Roman" w:cs="Times New Roman"/>
          <w:i/>
          <w:iCs/>
          <w:sz w:val="16"/>
          <w:szCs w:val="16"/>
        </w:rPr>
        <w:t>Abiotrophia</w:t>
      </w:r>
      <w:r>
        <w:t xml:space="preserve"> y </w:t>
      </w:r>
      <w:r>
        <w:rPr>
          <w:rFonts w:ascii="Times New Roman" w:eastAsia="Times New Roman" w:hAnsi="Times New Roman" w:cs="Times New Roman"/>
          <w:i/>
          <w:iCs/>
          <w:sz w:val="16"/>
          <w:szCs w:val="16"/>
        </w:rPr>
        <w:t>Granulicatella</w:t>
      </w:r>
      <w:r>
        <w:rPr>
          <w:i/>
          <w:iCs/>
        </w:rPr>
        <w:t>);</w:t>
      </w:r>
      <w:r>
        <w:t xml:space="preserve"> y e) estreptococos de especies poco comunes que no pueden incluirse dentro de otros grupos o especies de </w:t>
      </w:r>
      <w:r>
        <w:rPr>
          <w:rFonts w:ascii="Times New Roman" w:eastAsia="Times New Roman" w:hAnsi="Times New Roman" w:cs="Times New Roman"/>
          <w:i/>
          <w:iCs/>
          <w:sz w:val="16"/>
          <w:szCs w:val="16"/>
        </w:rPr>
        <w:t>Streptococcus.</w:t>
      </w:r>
    </w:p>
    <w:p w14:paraId="45BD5C4D" w14:textId="77777777" w:rsidR="00D03C17" w:rsidRDefault="00D03C17">
      <w:pPr>
        <w:pStyle w:val="BodyText"/>
        <w:ind w:firstLine="360"/>
      </w:pPr>
      <w:r>
        <w:t xml:space="preserve">El género </w:t>
      </w:r>
      <w:r>
        <w:rPr>
          <w:rFonts w:ascii="Times New Roman" w:eastAsia="Times New Roman" w:hAnsi="Times New Roman" w:cs="Times New Roman"/>
          <w:i/>
          <w:iCs/>
          <w:sz w:val="16"/>
          <w:szCs w:val="16"/>
        </w:rPr>
        <w:t>Enterococcus</w:t>
      </w:r>
      <w:r>
        <w:t xml:space="preserve"> (incluida antes con los estreptococos del grupo D) incluyen más de 20 especies, y </w:t>
      </w:r>
      <w:r>
        <w:rPr>
          <w:rFonts w:ascii="Times New Roman" w:eastAsia="Times New Roman" w:hAnsi="Times New Roman" w:cs="Times New Roman"/>
          <w:i/>
          <w:iCs/>
          <w:sz w:val="16"/>
          <w:szCs w:val="16"/>
        </w:rPr>
        <w:t>Enterococcus faecalis</w:t>
      </w:r>
      <w:r>
        <w:t xml:space="preserve"> y </w:t>
      </w:r>
      <w:r>
        <w:rPr>
          <w:rFonts w:ascii="Times New Roman" w:eastAsia="Times New Roman" w:hAnsi="Times New Roman" w:cs="Times New Roman"/>
          <w:i/>
          <w:iCs/>
          <w:sz w:val="16"/>
          <w:szCs w:val="16"/>
        </w:rPr>
        <w:t>Enterococcus faecium</w:t>
      </w:r>
      <w:r>
        <w:t xml:space="preserve"> causan casi todos los casos de infección por enterococos en seres humanos.</w:t>
      </w:r>
    </w:p>
    <w:p w14:paraId="0C8ACCD1" w14:textId="77777777" w:rsidR="00D03C17" w:rsidRDefault="00D03C17">
      <w:pPr>
        <w:pStyle w:val="BodyText"/>
        <w:spacing w:after="140"/>
        <w:ind w:firstLine="0"/>
      </w:pPr>
      <w:r>
        <w:rPr>
          <w:b/>
          <w:bCs/>
        </w:rPr>
        <w:t>A</w:t>
      </w:r>
      <w:r>
        <w:rPr>
          <w:b/>
          <w:bCs/>
          <w:sz w:val="13"/>
          <w:szCs w:val="13"/>
        </w:rPr>
        <w:t>SPECTOS EPIDEMIOLÓGICOS</w:t>
      </w:r>
      <w:r>
        <w:rPr>
          <w:b/>
          <w:bCs/>
        </w:rPr>
        <w:t xml:space="preserve">: </w:t>
      </w:r>
      <w:r>
        <w:t xml:space="preserve">Los hábitat de los estreptococos en los seres humanos incluyen la piel (grupos C, F y G), la bucofaringe (grupos C, F y G), las vías gastrointestinales (grupos D, F y G y especies de </w:t>
      </w:r>
      <w:r>
        <w:rPr>
          <w:rFonts w:ascii="Times New Roman" w:eastAsia="Times New Roman" w:hAnsi="Times New Roman" w:cs="Times New Roman"/>
          <w:i/>
          <w:iCs/>
          <w:sz w:val="16"/>
          <w:szCs w:val="16"/>
        </w:rPr>
        <w:t>Enterococcus)</w:t>
      </w:r>
      <w:r>
        <w:t xml:space="preserve"> y la vagina (grupos C, D, F y G y especies de </w:t>
      </w:r>
      <w:r>
        <w:rPr>
          <w:rFonts w:ascii="Times New Roman" w:eastAsia="Times New Roman" w:hAnsi="Times New Roman" w:cs="Times New Roman"/>
          <w:i/>
          <w:iCs/>
          <w:sz w:val="16"/>
          <w:szCs w:val="16"/>
        </w:rPr>
        <w:t>Enterococcus)</w:t>
      </w:r>
      <w:r>
        <w:rPr>
          <w:i/>
          <w:iCs/>
        </w:rPr>
        <w:t>.</w:t>
      </w:r>
      <w:r>
        <w:t xml:space="preserve"> Los hábitat típicos de diferentes especies de estreptococos viridans en seres humanos incluyen bucofaringe, superficies dentales, piel y vías genitourinarias. Es probable que la transmisión durante el parto explique casi todos los casos de infección neonatal de comienzo temprano. La contaminación o la transmisión en el entorno, a través de las manos de los profesionales asistenciales puede ocasionar colonización de los niños.</w:t>
      </w:r>
    </w:p>
    <w:p w14:paraId="43E03568" w14:textId="77777777" w:rsidR="00D03C17" w:rsidRDefault="00D03C17">
      <w:pPr>
        <w:pStyle w:val="BodyText"/>
        <w:ind w:firstLine="360"/>
      </w:pPr>
      <w:r>
        <w:t xml:space="preserve">El </w:t>
      </w:r>
      <w:r>
        <w:rPr>
          <w:b/>
          <w:bCs/>
        </w:rPr>
        <w:t xml:space="preserve">periodo de incubación </w:t>
      </w:r>
      <w:r>
        <w:t>y el de transmisibilidad no se conocen.</w:t>
      </w:r>
    </w:p>
    <w:p w14:paraId="0B6DBB90" w14:textId="77777777" w:rsidR="00D03C17" w:rsidRDefault="00D03C17">
      <w:pPr>
        <w:pStyle w:val="BodyText"/>
        <w:ind w:firstLine="0"/>
      </w:pPr>
      <w:r>
        <w:rPr>
          <w:b/>
          <w:bCs/>
        </w:rPr>
        <w:t>M</w:t>
      </w:r>
      <w:r>
        <w:rPr>
          <w:b/>
          <w:bCs/>
          <w:sz w:val="13"/>
          <w:szCs w:val="13"/>
        </w:rPr>
        <w:t>ÉTODOS DIAGNÓSTICOS</w:t>
      </w:r>
      <w:r>
        <w:rPr>
          <w:b/>
          <w:bCs/>
        </w:rPr>
        <w:t xml:space="preserve">: </w:t>
      </w:r>
      <w:r>
        <w:t xml:space="preserve">Por medio del estudio microscòpico de líquidos que normalmente son estériles se pueden obtener pruebas provisionales de infección por estreptococos y enterococos. El diagnóstico se confirma por cultivo y técnicas de seroagrupamiento del germen aislado, por medio de antisueros con especificidad de grupo. La identificación de la especie de </w:t>
      </w:r>
      <w:r>
        <w:rPr>
          <w:rFonts w:ascii="Times New Roman" w:eastAsia="Times New Roman" w:hAnsi="Times New Roman" w:cs="Times New Roman"/>
          <w:i/>
          <w:iCs/>
          <w:sz w:val="16"/>
          <w:szCs w:val="16"/>
        </w:rPr>
        <w:t>Enterococcus</w:t>
      </w:r>
      <w:r>
        <w:t xml:space="preserve"> puede ser útil para predecir la susceptibilidad a antimicrobianos. En algunas circunstancias se necesitan métodos bioquímicos para identificar con exactitud el microorganismo. Es importante practicar antibioticogramas (métodos de susceptibilidad a antimicrobianos) en enterococos aislados de sitios estériles, para valorar la susceptibilidad a ampicilina y clorhidrato de vancomicina y también al sulfato de gentamicina, y así evaluar la posibilidad de utilizar este último antibiótico en una estrategia sinérgica con la ampicilina. Algunos métodos automatizados tal vez no detecten la resistencia a la vancomicina. Los métodos de difusión de disco no siempre son fiables para valorar la susceptibilidad a la vancomicina.</w:t>
      </w:r>
    </w:p>
    <w:p w14:paraId="0BC1428E" w14:textId="77777777" w:rsidR="00D03C17" w:rsidRDefault="00D03C17">
      <w:pPr>
        <w:pStyle w:val="BodyText"/>
        <w:ind w:firstLine="0"/>
        <w:rPr>
          <w:sz w:val="16"/>
          <w:szCs w:val="16"/>
        </w:rPr>
      </w:pPr>
      <w:r>
        <w:rPr>
          <w:b/>
          <w:bCs/>
        </w:rPr>
        <w:t>T</w:t>
      </w:r>
      <w:r>
        <w:rPr>
          <w:b/>
          <w:bCs/>
          <w:sz w:val="13"/>
          <w:szCs w:val="13"/>
        </w:rPr>
        <w:t>RATAMIENTO</w:t>
      </w:r>
      <w:r>
        <w:rPr>
          <w:b/>
          <w:bCs/>
        </w:rPr>
        <w:t xml:space="preserve">: </w:t>
      </w:r>
      <w:r>
        <w:t xml:space="preserve">En lo que toca a casi todas las infecciones por estreptococos basta la administración de penicilina G sola. Sin embargo, en el caso de estreptococos resistentes a penicilina entre las opciones están la combinación de ella y gentamicina, otros agentes lactámicos beta y vancomicina. Los enterococos y algunas cepas de estreptococos (en particular estreptococos viridans y variantes nutricionales de estreptococos que necesitan aditivos de los medios de cultivo) son resistentes a la penicilina. Los enterococos son uniformemente resistentes a las cefalosporinas y pueden serlo también a la ampicilina y la vancomicina de tal forma que sea difícil el tratamiento. En infecciones invasoras por enterococos que incluyan endocarditis y meningitis, habrá que administrar ampicilina o vancomicina en combinación con un aminoglucósido (por lo común gentamicina) para lograr sinergia y actividad bactericida, hasta que por medio de estudios de susceptibilidad </w:t>
      </w:r>
      <w:r>
        <w:rPr>
          <w:rFonts w:ascii="Times New Roman" w:eastAsia="Times New Roman" w:hAnsi="Times New Roman" w:cs="Times New Roman"/>
          <w:i/>
          <w:iCs/>
          <w:sz w:val="16"/>
          <w:szCs w:val="16"/>
        </w:rPr>
        <w:t>in vitro</w:t>
      </w:r>
      <w:r>
        <w:t xml:space="preserve"> pueda conocerse la combinación adecuada de fármacos. En Estados Unidos se ha aprobado el uso de quinupristina-dalfopristina en adultos para tratar infecciones atribuibles a </w:t>
      </w:r>
      <w:r>
        <w:rPr>
          <w:rFonts w:ascii="Times New Roman" w:eastAsia="Times New Roman" w:hAnsi="Times New Roman" w:cs="Times New Roman"/>
          <w:i/>
          <w:iCs/>
          <w:sz w:val="16"/>
          <w:szCs w:val="16"/>
        </w:rPr>
        <w:t>E. faecium</w:t>
      </w:r>
      <w:r>
        <w:t xml:space="preserve"> resistente a vancomicina. Los dos fármacos mencionados no son eficaces contra </w:t>
      </w:r>
      <w:r>
        <w:rPr>
          <w:rFonts w:ascii="Times New Roman" w:eastAsia="Times New Roman" w:hAnsi="Times New Roman" w:cs="Times New Roman"/>
          <w:i/>
          <w:iCs/>
          <w:sz w:val="16"/>
          <w:szCs w:val="16"/>
        </w:rPr>
        <w:t>E. faecalis.</w:t>
      </w:r>
      <w:r>
        <w:t xml:space="preserve"> Se ha aprobado el uso de linezolid sólo en adultos para tratar infecciones por enterococos resistentes a vancomicina, incluidos </w:t>
      </w:r>
      <w:r>
        <w:rPr>
          <w:rFonts w:ascii="Times New Roman" w:eastAsia="Times New Roman" w:hAnsi="Times New Roman" w:cs="Times New Roman"/>
          <w:i/>
          <w:iCs/>
          <w:sz w:val="16"/>
          <w:szCs w:val="16"/>
        </w:rPr>
        <w:t>E. faecium</w:t>
      </w:r>
      <w:r>
        <w:t xml:space="preserve"> y </w:t>
      </w:r>
      <w:r>
        <w:rPr>
          <w:rFonts w:ascii="Times New Roman" w:eastAsia="Times New Roman" w:hAnsi="Times New Roman" w:cs="Times New Roman"/>
          <w:i/>
          <w:iCs/>
          <w:sz w:val="16"/>
          <w:szCs w:val="16"/>
        </w:rPr>
        <w:t>E. faecalis.</w:t>
      </w:r>
    </w:p>
    <w:p w14:paraId="102300C1" w14:textId="77777777" w:rsidR="00D03C17" w:rsidRDefault="00D03C17">
      <w:pPr>
        <w:pStyle w:val="BodyText"/>
        <w:ind w:firstLine="360"/>
        <w:sectPr w:rsidR="00D03C17" w:rsidSect="00D03C17">
          <w:headerReference w:type="even" r:id="rId416"/>
          <w:headerReference w:type="default" r:id="rId417"/>
          <w:footerReference w:type="even" r:id="rId418"/>
          <w:footerReference w:type="default" r:id="rId419"/>
          <w:headerReference w:type="first" r:id="rId420"/>
          <w:footerReference w:type="first" r:id="rId421"/>
          <w:footnotePr>
            <w:numFmt w:val="chicago"/>
          </w:footnotePr>
          <w:pgSz w:w="8501" w:h="13022"/>
          <w:pgMar w:top="701" w:right="814" w:bottom="469" w:left="765" w:header="0" w:footer="3" w:gutter="0"/>
          <w:pgNumType w:start="324"/>
          <w:cols w:space="720"/>
          <w:noEndnote/>
          <w:titlePg/>
          <w:docGrid w:linePitch="360"/>
          <w15:footnoteColumns w:val="1"/>
        </w:sectPr>
      </w:pPr>
      <w:r>
        <w:rPr>
          <w:rFonts w:ascii="Arial" w:eastAsia="Arial" w:hAnsi="Arial" w:cs="Arial"/>
          <w:b/>
          <w:bCs/>
          <w:i/>
          <w:iCs/>
          <w:sz w:val="15"/>
          <w:szCs w:val="15"/>
        </w:rPr>
        <w:t>Endocarditis.</w:t>
      </w:r>
      <w:r>
        <w:t xml:space="preserve"> La American Heart Association ha planteado directrices para la terapia con antimicrobianos en adultos y conviene consultarlas en cuanto a los regímenes que pudieran ser adecuados para niños y adolescentes.</w:t>
      </w:r>
      <w:r>
        <w:footnoteReference w:id="39"/>
      </w:r>
      <w:r>
        <w:t xml:space="preserve"> </w:t>
      </w:r>
      <w:r>
        <w:rPr>
          <w:b/>
          <w:bCs/>
        </w:rPr>
        <w:t>A</w:t>
      </w:r>
      <w:r>
        <w:rPr>
          <w:b/>
          <w:bCs/>
          <w:sz w:val="13"/>
          <w:szCs w:val="13"/>
        </w:rPr>
        <w:t>ISLAMIENTO DEL PACIENTE HOSPITALIZADO</w:t>
      </w:r>
      <w:r>
        <w:rPr>
          <w:b/>
          <w:bCs/>
        </w:rPr>
        <w:t xml:space="preserve">: </w:t>
      </w:r>
      <w:r>
        <w:t xml:space="preserve">Se recomienda seguir las precauciones estándar. En el caso de niños con infección o colonización atribuibles a enterococos resistentes a vancomicina </w:t>
      </w:r>
      <w:r>
        <w:rPr>
          <w:i/>
          <w:iCs/>
        </w:rPr>
        <w:t>(</w:t>
      </w:r>
      <w:r>
        <w:rPr>
          <w:rFonts w:ascii="Times New Roman" w:eastAsia="Times New Roman" w:hAnsi="Times New Roman" w:cs="Times New Roman"/>
          <w:i/>
          <w:iCs/>
          <w:sz w:val="16"/>
          <w:szCs w:val="16"/>
        </w:rPr>
        <w:t>vancomycin-resistant enterococci</w:t>
      </w:r>
      <w:r>
        <w:rPr>
          <w:i/>
          <w:iCs/>
        </w:rPr>
        <w:t>,</w:t>
      </w:r>
      <w:r>
        <w:t xml:space="preserve"> VRE) conviene seguir las precauciones estándar y de contacto. La duración del aislamiento varía con cada institución. Una práctica común es perseverar en las precauciones hasta que el niño no tiene ya el microorganismo. Los criterios para confirmar que ha mostrado resolución la colonización por VRE son cultivos negativos de muestras de líquidos o tejidos corporales obtenidos de múltiples sitios (como sería la obtención de material rectal o excrementos por aplicador, de área perineal, axila y ombligo, heridas y sondas vesicales a </w:t>
      </w:r>
    </w:p>
    <w:p w14:paraId="29E0A450" w14:textId="77777777" w:rsidR="00D03C17" w:rsidRDefault="00D03C17">
      <w:pPr>
        <w:pStyle w:val="BodyText"/>
        <w:ind w:firstLine="0"/>
      </w:pPr>
      <w:r>
        <w:t>permanencia u orificios de colostomía si los hay), como mínimo en tres ocasiones separadas (con una diferencia mayor de una semana).</w:t>
      </w:r>
    </w:p>
    <w:p w14:paraId="2A0C4D62" w14:textId="77777777" w:rsidR="00D03C17" w:rsidRDefault="00D03C17">
      <w:pPr>
        <w:pStyle w:val="BodyText"/>
        <w:spacing w:after="100"/>
        <w:ind w:firstLine="0"/>
      </w:pPr>
      <w:r>
        <w:rPr>
          <w:b/>
          <w:bCs/>
        </w:rPr>
        <w:t>M</w:t>
      </w:r>
      <w:r>
        <w:rPr>
          <w:b/>
          <w:bCs/>
          <w:sz w:val="13"/>
          <w:szCs w:val="13"/>
        </w:rPr>
        <w:t>EDIDAS PREVENTIVAS</w:t>
      </w:r>
      <w:r>
        <w:rPr>
          <w:b/>
          <w:bCs/>
        </w:rPr>
        <w:t xml:space="preserve">: </w:t>
      </w:r>
      <w:r>
        <w:t>Los niños con cardiopatìa valvular o congénita deben recibir profilaxia con antimicrobianos para evitar la endocarditis en el momento en que se le practiquen técnicas dentales u otras escogidas de tipo quirúrgico (véase “Prevención de endocarditis bacteriana”, sección 5). El uso de vancomicina y de antimicrobianos de amplio espectro constituyen factores de riesgo de colonización e infección por VRE. Los hospitales deben elaborar directrices específicas de cada institución para el empleo apropiado de vancomicina.</w:t>
      </w:r>
      <w:r>
        <w:footnoteReference w:id="40"/>
      </w:r>
    </w:p>
    <w:p w14:paraId="3501648C" w14:textId="77777777" w:rsidR="00D03C17" w:rsidRDefault="00D03C17">
      <w:pPr>
        <w:pStyle w:val="Bodytext70"/>
        <w:spacing w:after="0"/>
      </w:pPr>
      <w:r>
        <w:t>Estreptococos del grupo A, infecciones</w:t>
      </w:r>
    </w:p>
    <w:p w14:paraId="117B0E54" w14:textId="77777777" w:rsidR="00D03C17" w:rsidRDefault="00D03C17">
      <w:pPr>
        <w:pStyle w:val="BodyText"/>
        <w:ind w:firstLine="0"/>
      </w:pPr>
      <w:r>
        <w:rPr>
          <w:b/>
          <w:bCs/>
          <w:smallCaps/>
          <w:sz w:val="20"/>
          <w:szCs w:val="20"/>
        </w:rPr>
        <w:t>M</w:t>
      </w:r>
      <w:r>
        <w:rPr>
          <w:b/>
          <w:bCs/>
          <w:smallCaps/>
          <w:sz w:val="16"/>
          <w:szCs w:val="16"/>
        </w:rPr>
        <w:t>anifestaciones clínicas</w:t>
      </w:r>
      <w:r>
        <w:rPr>
          <w:b/>
          <w:bCs/>
          <w:smallCaps/>
          <w:sz w:val="20"/>
          <w:szCs w:val="20"/>
        </w:rPr>
        <w:t>:</w:t>
      </w:r>
      <w:r>
        <w:t xml:space="preserve"> La infección clínica más frecuente causada por los estreptococos del grupo A </w:t>
      </w:r>
      <w:r>
        <w:rPr>
          <w:i/>
          <w:iCs/>
        </w:rPr>
        <w:t>(</w:t>
      </w:r>
      <w:r>
        <w:rPr>
          <w:rFonts w:ascii="Times New Roman" w:eastAsia="Times New Roman" w:hAnsi="Times New Roman" w:cs="Times New Roman"/>
          <w:i/>
          <w:iCs/>
          <w:sz w:val="16"/>
          <w:szCs w:val="16"/>
        </w:rPr>
        <w:t>group A streptococcal</w:t>
      </w:r>
      <w:r>
        <w:rPr>
          <w:i/>
          <w:iCs/>
        </w:rPr>
        <w:t>,</w:t>
      </w:r>
      <w:r>
        <w:t xml:space="preserve"> GAS) es la faringoamigdalitis aguda. En algunos niños sin tratamiento, surgen complicaciones purulentas que incluyen otitis media, sinusitis, abscesos periamigdalinos y retrofaríngeo y adenitis cervical supurada. La gravedad de la enfermedad de vías respiratorias altas por estreptococos se vincula con las secuelas agudas y las no supuradas (como la fiebre reumática y la glomerulonefritis aguda). La escarlatina surge más a menudo junto con la faringitis y, en raras ocasiones, con la piodermia o la infección de una herida. La fiebre en cuestión incluye una erupción característica, eritematosa y confluyente, de apariencia rugosa, causada por una o más de las exotoxinas eritrógenas producidas por cepas de GAS. Rara vez hay escarlatina grave con efectos tóxicos a nivel sistémico. Salvo la aparición de la erupción, los signos epidemiológicos, síntomas, secuelas y tratamiento de la escarlatina son iguales a los que corresponden a la faringitis estreptocócica.</w:t>
      </w:r>
    </w:p>
    <w:p w14:paraId="38E15A39" w14:textId="77777777" w:rsidR="00D03C17" w:rsidRDefault="00D03C17">
      <w:pPr>
        <w:pStyle w:val="BodyText"/>
        <w:ind w:firstLine="360"/>
      </w:pPr>
      <w:r>
        <w:t>Los niños de uno a tres años de vida que tienen infección de vías respiratorias por GAS en el comienzo pueden tener rinitis intensa y presentar un cuadro tardío que incluye fiebre moderada, irritabilidad y anorexia (fiebre estreptocócica). El cuadro inicial clásico de la infección de vías respiratorias altas por estreptococos, que es la faringitis aguda, es poco común en niños menores de tres años. Tampoco es frecuente en los pequeños de ese grupo de edad la fiebre reumática.</w:t>
      </w:r>
    </w:p>
    <w:p w14:paraId="384F0EE7" w14:textId="77777777" w:rsidR="00D03C17" w:rsidRDefault="00D03C17">
      <w:pPr>
        <w:pStyle w:val="BodyText"/>
        <w:ind w:firstLine="360"/>
      </w:pPr>
      <w:r>
        <w:t>El segundo sitio de ataque de la infección por GAS de la piel. Las infecciones cutáneas por estreptococos (como piodermia o impétigo) pueden ocasionar glomerulonefritis aguda, que surge en ocasiones en epidemias, pero la fiebre reumática aguda no es una secuela de la infección cutánea por estreptococos.</w:t>
      </w:r>
    </w:p>
    <w:p w14:paraId="4BFB97B9" w14:textId="77777777" w:rsidR="00D03C17" w:rsidRDefault="00D03C17">
      <w:pPr>
        <w:pStyle w:val="BodyText"/>
        <w:spacing w:after="80"/>
        <w:ind w:firstLine="360"/>
        <w:sectPr w:rsidR="00D03C17" w:rsidSect="00D03C17">
          <w:headerReference w:type="even" r:id="rId422"/>
          <w:headerReference w:type="default" r:id="rId423"/>
          <w:footerReference w:type="even" r:id="rId424"/>
          <w:footerReference w:type="default" r:id="rId425"/>
          <w:footnotePr>
            <w:numFmt w:val="chicago"/>
          </w:footnotePr>
          <w:type w:val="continuous"/>
          <w:pgSz w:w="8501" w:h="13022"/>
          <w:pgMar w:top="701" w:right="814" w:bottom="469" w:left="765" w:header="0" w:footer="41" w:gutter="0"/>
          <w:cols w:space="720"/>
          <w:noEndnote/>
          <w:docGrid w:linePitch="360"/>
          <w15:footnoteColumns w:val="1"/>
        </w:sectPr>
      </w:pPr>
      <w:r>
        <w:t xml:space="preserve">Otras infecciones por GAS incluyen erisipelas, celulitis perianal, vaginitis, bacteriemia (con foco identificado o sin él), neumonía, endocarditis, pericarditis, artritis séptica, celulitis, fascitis necrosante, osteomielitis, miositis, sepsis puerperal, infección de heridas o incisiones quirúrgicas y onfalitis neonatal. La fascitis necrosante y otras infecciones invasoras por GAS en niños suelen aparecer como complicaciones de la varicela. Las infecciones invasoras mencionadas pueden ser graves, con identificación del foco de infección local o sin ella y a veces se acompañan del síndrome de choque tóxico por estreptococos. El punto de entrada de las infecciones invasoras suele ser la piel o las partes blandas, y la infección puede surgir después de traumatismo de poca monta o no percibido. Se ha establecido un vínculo entre la infección estreptocócica y </w:t>
      </w:r>
    </w:p>
    <w:p w14:paraId="0DF86BF4" w14:textId="77777777" w:rsidR="00D03C17" w:rsidRDefault="00D03C17">
      <w:pPr>
        <w:pStyle w:val="BodyText"/>
        <w:spacing w:after="80"/>
        <w:ind w:firstLine="0"/>
      </w:pPr>
      <w:r>
        <w:t>para evitar la transmsión por contacto durante un brote. Otros métodos de erradicación no son prácticos o son ineficaces (como sería el tratamiento con penicilina, de los portadores asintomáticos). La mejor forma para evitar que se propague la infección a otros pequeños es la higiene manual sistemática por parte de profesionales que atienden a los lactantes colonizados o infectados por estreptococos del grupo B.</w:t>
      </w:r>
    </w:p>
    <w:p w14:paraId="0E5217A8" w14:textId="77777777" w:rsidR="00D03C17" w:rsidRDefault="00D03C17">
      <w:pPr>
        <w:pStyle w:val="Bodytext70"/>
        <w:spacing w:after="0"/>
      </w:pPr>
      <w:r>
        <w:t>Estrongiloidiasis</w:t>
      </w:r>
    </w:p>
    <w:p w14:paraId="7E623B5B" w14:textId="77777777" w:rsidR="00D03C17" w:rsidRDefault="00D03C17">
      <w:pPr>
        <w:pStyle w:val="Bodytext80"/>
        <w:rPr>
          <w:sz w:val="15"/>
          <w:szCs w:val="15"/>
        </w:rPr>
      </w:pPr>
      <w:r>
        <w:rPr>
          <w:b/>
          <w:bCs/>
          <w:i/>
          <w:iCs/>
          <w:sz w:val="15"/>
          <w:szCs w:val="15"/>
        </w:rPr>
        <w:t>(Strongyloides stercoralis)</w:t>
      </w:r>
    </w:p>
    <w:p w14:paraId="198BFC29" w14:textId="77777777" w:rsidR="00D03C17" w:rsidRDefault="00D03C17">
      <w:pPr>
        <w:pStyle w:val="BodyText"/>
        <w:ind w:firstLine="0"/>
      </w:pPr>
      <w:r>
        <w:rPr>
          <w:b/>
          <w:bCs/>
        </w:rPr>
        <w:t>M</w:t>
      </w:r>
      <w:r>
        <w:rPr>
          <w:b/>
          <w:bCs/>
          <w:sz w:val="13"/>
          <w:szCs w:val="13"/>
        </w:rPr>
        <w:t>ANIFESTACIONES CLÍNICAS</w:t>
      </w:r>
      <w:r>
        <w:rPr>
          <w:b/>
          <w:bCs/>
        </w:rPr>
        <w:t xml:space="preserve">: </w:t>
      </w:r>
      <w:r>
        <w:t xml:space="preserve">Es posible que la única manifestación de la infección sea, si es asintomática, la eosinofilia en sangre periférica. Por tal motivo, siempre que se detecte eosinofilia (más de 500 eosinófilos/ml de sangre) sin una causa neta en una persona que ha residido en un área endémica, habrá que considerar en primer término la estrongiloidiasis. Las larvas infectantes que penetran en el organismo originan pápulas pruriginosas transitorias en el sitio en que perforan la piel, por lo común de los pies. La migración de las larvas hasta los pulmones originan neumonitis con tos y expulsión de esputo sanguinolento. La fase intestinal de la infección se acompaña a veces de dolor abdominal vago, distensión, vómitos y diarrea que puede ser mucoide y voluminosa. Se han señalado casos de malabsorción. La migración larvaria de los excrementos defecados puede originar lesiones cutáneas pruriginosas en la zona perianal, glúteos y mitad superior de los muslos. Las larvas pueden estar en “túneles” eritematosos, serpiginosos, pruriginosos y migratorios llamados </w:t>
      </w:r>
      <w:r>
        <w:rPr>
          <w:rFonts w:ascii="Times New Roman" w:eastAsia="Times New Roman" w:hAnsi="Times New Roman" w:cs="Times New Roman"/>
          <w:i/>
          <w:iCs/>
          <w:sz w:val="16"/>
          <w:szCs w:val="16"/>
        </w:rPr>
        <w:t>larva currens.</w:t>
      </w:r>
      <w:r>
        <w:t xml:space="preserve"> En niños inmunodeficientes en particular los que reciben corticosteroides y con menor frecuencia en los desnutridos, en adultos alcohólicos o infectados con el virus linfotrópico T de tipo I humano, entre las complicaciones están estrongiloidiasis diseminada (por hiperinfección), infiltrados pulmonares difusos y septicemia o meningitis por bacilos gramnegativos intestinales. </w:t>
      </w:r>
      <w:r>
        <w:rPr>
          <w:b/>
          <w:bCs/>
        </w:rPr>
        <w:t>C</w:t>
      </w:r>
      <w:r>
        <w:rPr>
          <w:b/>
          <w:bCs/>
          <w:sz w:val="13"/>
          <w:szCs w:val="13"/>
        </w:rPr>
        <w:t>AUSAS</w:t>
      </w:r>
      <w:r>
        <w:rPr>
          <w:b/>
          <w:bCs/>
        </w:rPr>
        <w:t xml:space="preserve">: </w:t>
      </w:r>
      <w:r>
        <w:rPr>
          <w:rFonts w:ascii="Times New Roman" w:eastAsia="Times New Roman" w:hAnsi="Times New Roman" w:cs="Times New Roman"/>
          <w:i/>
          <w:iCs/>
          <w:sz w:val="16"/>
          <w:szCs w:val="16"/>
        </w:rPr>
        <w:t>Strongyloides stercoralis</w:t>
      </w:r>
      <w:r>
        <w:t xml:space="preserve"> es un nematodo (verme redondo).</w:t>
      </w:r>
    </w:p>
    <w:p w14:paraId="2A556C2A" w14:textId="77777777" w:rsidR="00D03C17" w:rsidRDefault="00D03C17">
      <w:pPr>
        <w:pStyle w:val="BodyText"/>
        <w:ind w:firstLine="0"/>
      </w:pPr>
      <w:r>
        <w:rPr>
          <w:b/>
          <w:bCs/>
        </w:rPr>
        <w:t>A</w:t>
      </w:r>
      <w:r>
        <w:rPr>
          <w:b/>
          <w:bCs/>
          <w:sz w:val="13"/>
          <w:szCs w:val="13"/>
        </w:rPr>
        <w:t>SPECTOS EPIDEMIOLÓGICOS</w:t>
      </w:r>
      <w:r>
        <w:rPr>
          <w:b/>
          <w:bCs/>
        </w:rPr>
        <w:t xml:space="preserve">: </w:t>
      </w:r>
      <w:r>
        <w:t>La estrongiloidiasis es endémica en zonas tropicales y subtropicales, incluidos el sur y el suroeste de Estados Unidos, sitios en que coexisten la tierra húmeda que es un medio idóneo para los parásitos y la eliminación inadecuada de desechos humanos. Los seres humanos son los hospedadores principales, aunque también sirven como reservorios los perros, los gatos y otros animales. La transmisión incluye la penetración de la piel por larvas infectantes (filariformes), por contacto con la tierra infectada o por autoinfección. Rara vez las infecciones se contraen por el contacto cercano de piel o por coprofagia inadvertida, como sería ingerir alimentos contaminados recogidos de la basura. Algunas larvas maduran hasta generar formar infectantes en el colon, razón por la cual puede haber autoinfección. Las larvas son transportadas a los pulmones, y de ellos emigran a la tráquea para ser deglutidas finalmente. Las hembras adultas quedan alojadas en la lámina propia del duodeno y zona proximal del yeyuno en donde depositan huevos que se transformarán en larvas rabditiformes de vida libre y por lo común llegan al medio externo por los excrementos. Dada la autoinfección interna, la persona puede permanecer infectada durante decenios. En pacientes inmunodeficientes la autoinfección es más común y origina estrongiloidiasis diseminada, en la cual hay hiperinfección de órganos y tejidos con las larvas y es grande el número de vermes adultos en el intestino delgado.</w:t>
      </w:r>
    </w:p>
    <w:p w14:paraId="2A2354BC" w14:textId="77777777" w:rsidR="00D03C17" w:rsidRDefault="00D03C17">
      <w:pPr>
        <w:pStyle w:val="BodyText"/>
        <w:ind w:firstLine="360"/>
      </w:pPr>
      <w:r>
        <w:t xml:space="preserve">Se desconoce el </w:t>
      </w:r>
      <w:r>
        <w:rPr>
          <w:b/>
          <w:bCs/>
        </w:rPr>
        <w:t xml:space="preserve">periodo de incubación </w:t>
      </w:r>
      <w:r>
        <w:t>en los seres humanos.</w:t>
      </w:r>
    </w:p>
    <w:p w14:paraId="28768318" w14:textId="77777777" w:rsidR="00D03C17" w:rsidRDefault="00D03C17">
      <w:pPr>
        <w:pStyle w:val="BodyText"/>
        <w:spacing w:after="60"/>
        <w:ind w:firstLine="0"/>
      </w:pPr>
      <w:r>
        <w:rPr>
          <w:b/>
          <w:bCs/>
        </w:rPr>
        <w:t>M</w:t>
      </w:r>
      <w:r>
        <w:rPr>
          <w:b/>
          <w:bCs/>
          <w:sz w:val="13"/>
          <w:szCs w:val="13"/>
        </w:rPr>
        <w:t>ÉTODOS DIAGNÓSTICOS</w:t>
      </w:r>
      <w:r>
        <w:rPr>
          <w:b/>
          <w:bCs/>
        </w:rPr>
        <w:t xml:space="preserve">: </w:t>
      </w:r>
      <w:r>
        <w:t>El estudio coproparasitoscópico permite identificar las larvas características, pero se necesita a veces estudiar algunas muestras de excremento recién expulsado. También se requiere a veces procedimientos de concentración de las heces.</w:t>
      </w:r>
    </w:p>
    <w:p w14:paraId="658FFE8B" w14:textId="77777777" w:rsidR="00D03C17" w:rsidRDefault="00D03C17">
      <w:pPr>
        <w:pStyle w:val="BodyText"/>
        <w:ind w:firstLine="0"/>
      </w:pPr>
      <w:r>
        <w:t>Por medio del estudio del contenido duodenal obtenido por medio de una cuerda que se adquiere en el comercio (Entero-Test [HDC Corporation, San José, CA]) o aspiración directa por endoscopio flexible se obtiene material en que se demuestra la presencia de larvas. El diagnóstico serológico es útil pero sólo lo practican unos cuantos laboratorios especializados y se sabe que a veces genera resultados negativos falsos. Los inmunoanálisis enzimáticos en busca de anticuerpos generan resultados positivos en 85% de niños infectados, aproximadamente; sin embargo, las reacciones serológicas cruzadas en casos de filariasis merman la especificidad del diagnóstico serológico. Es frecuente la eosinofilia (más de 500 eosinófilos/pl de sangre). En la estrongiloidiasis diseminada aparecen larvas en el esputo.</w:t>
      </w:r>
    </w:p>
    <w:p w14:paraId="6024F7A1" w14:textId="77777777" w:rsidR="00D03C17" w:rsidRDefault="00D03C17">
      <w:pPr>
        <w:pStyle w:val="BodyText"/>
        <w:ind w:firstLine="0"/>
      </w:pPr>
      <w:r>
        <w:rPr>
          <w:b/>
          <w:bCs/>
        </w:rPr>
        <w:t>T</w:t>
      </w:r>
      <w:r>
        <w:rPr>
          <w:b/>
          <w:bCs/>
          <w:sz w:val="13"/>
          <w:szCs w:val="13"/>
        </w:rPr>
        <w:t>RATAMIENTO</w:t>
      </w:r>
      <w:r>
        <w:rPr>
          <w:b/>
          <w:bCs/>
        </w:rPr>
        <w:t xml:space="preserve">: </w:t>
      </w:r>
      <w:r>
        <w:t>Administración de ivermectina o de tiabendazol cura a casi todos los pacientes pero no se recomienda su empleo en embarazadas (véase “Fármacos antiparasitarios”, sección 4). Los efectos adversos frecuentes con el tiabendazol son náuseas, vómitos y malestar general. Si se necesita tratamiento por una infección aguda durante el embarazo será mejor usar ivermectina como fármaco más indicado. La administración de esta última se acompaña de un número muy pequeño de efectos adversos. Se necesita a veces repetir o prolongar el tratamiento en el síndrome de hiperinfección o en sujetos inmunodeficientes. Surgen recaídas y pueden ser tratadas con los mismos fármacos.</w:t>
      </w:r>
    </w:p>
    <w:p w14:paraId="053CD33A" w14:textId="77777777" w:rsidR="00D03C17" w:rsidRDefault="00D03C17">
      <w:pPr>
        <w:pStyle w:val="BodyText"/>
        <w:ind w:firstLine="0"/>
      </w:pPr>
      <w:r>
        <w:rPr>
          <w:b/>
          <w:bCs/>
        </w:rPr>
        <w:t>A</w:t>
      </w:r>
      <w:r>
        <w:rPr>
          <w:b/>
          <w:bCs/>
          <w:sz w:val="13"/>
          <w:szCs w:val="13"/>
        </w:rPr>
        <w:t xml:space="preserve">ISLAMIENTO </w:t>
      </w:r>
      <w:r>
        <w:rPr>
          <w:b/>
          <w:bCs/>
          <w:smallCaps/>
          <w:sz w:val="16"/>
          <w:szCs w:val="16"/>
        </w:rPr>
        <w:t>del</w:t>
      </w:r>
      <w:r>
        <w:rPr>
          <w:b/>
          <w:bCs/>
          <w:sz w:val="13"/>
          <w:szCs w:val="13"/>
        </w:rPr>
        <w:t xml:space="preserve"> PACIENTE HOSPITALIZADO</w:t>
      </w:r>
      <w:r>
        <w:rPr>
          <w:b/>
          <w:bCs/>
        </w:rPr>
        <w:t xml:space="preserve">: </w:t>
      </w:r>
      <w:r>
        <w:t xml:space="preserve">Se recomiendan las precauciones estándar. </w:t>
      </w:r>
      <w:r>
        <w:rPr>
          <w:b/>
          <w:bCs/>
        </w:rPr>
        <w:t>M</w:t>
      </w:r>
      <w:r>
        <w:rPr>
          <w:b/>
          <w:bCs/>
          <w:sz w:val="13"/>
          <w:szCs w:val="13"/>
        </w:rPr>
        <w:t>EDIDAS PREVENTIVAS</w:t>
      </w:r>
      <w:r>
        <w:rPr>
          <w:b/>
          <w:bCs/>
        </w:rPr>
        <w:t xml:space="preserve">: </w:t>
      </w:r>
      <w:r>
        <w:t>Es importante cumplir con medidas de eliminación sanitaria de desperdicios de excreta humana. También ha sido de gran trascendencia la enseñanza sobre el peligro de infección a través de la piel desnuda o pies descalzos.</w:t>
      </w:r>
    </w:p>
    <w:p w14:paraId="09801597" w14:textId="77777777" w:rsidR="00D03C17" w:rsidRDefault="00D03C17">
      <w:pPr>
        <w:pStyle w:val="BodyText"/>
        <w:spacing w:after="100"/>
        <w:ind w:firstLine="360"/>
      </w:pPr>
      <w:r>
        <w:t xml:space="preserve">En el niño con algún defecto inmunológico o que necesita inmunosupresores y que proviene de una región endémica, habrá que pensar en la posibilidad de estudiar los excrementos y quizá las secreciones de vías respiratorias y el líquido duodenal en busca de </w:t>
      </w:r>
      <w:r>
        <w:rPr>
          <w:rFonts w:ascii="Times New Roman" w:eastAsia="Times New Roman" w:hAnsi="Times New Roman" w:cs="Times New Roman"/>
          <w:i/>
          <w:iCs/>
          <w:sz w:val="16"/>
          <w:szCs w:val="16"/>
        </w:rPr>
        <w:t>5. stercoralis</w:t>
      </w:r>
      <w:r>
        <w:t xml:space="preserve"> antes de emprender la terapia inmunosupresora. Los métodos serológicos al parecer son los más sensibles para el diagnóstico, pero ellos no diferencian entre infecciones pasadas y la actual, y quizá no puedan obtenerse de inmediato los resultados en un laboratorio especializado. Si el estado del paciente obliga a iniciar la administración de inmunosupresores antes de contar con los resultados de métodos diagnósticos, habrá que comparar los riesgos de la terapia empírica con antiparasitarios contra estrongiloidiasis y los peligros de la infección diseminada.</w:t>
      </w:r>
    </w:p>
    <w:p w14:paraId="11C8FA34" w14:textId="77777777" w:rsidR="00D03C17" w:rsidRDefault="00D03C17">
      <w:pPr>
        <w:pStyle w:val="Bodytext70"/>
        <w:spacing w:after="0"/>
      </w:pPr>
      <w:r>
        <w:rPr>
          <w:i/>
          <w:iCs/>
        </w:rPr>
        <w:t>Giardia lamblia,</w:t>
      </w:r>
      <w:r>
        <w:t xml:space="preserve"> infecciones</w:t>
      </w:r>
    </w:p>
    <w:p w14:paraId="66336724" w14:textId="77777777" w:rsidR="00D03C17" w:rsidRDefault="00D03C17">
      <w:pPr>
        <w:pStyle w:val="Other0"/>
        <w:spacing w:line="252" w:lineRule="auto"/>
        <w:ind w:firstLine="0"/>
        <w:rPr>
          <w:sz w:val="20"/>
          <w:szCs w:val="20"/>
        </w:rPr>
      </w:pPr>
      <w:r>
        <w:rPr>
          <w:rFonts w:ascii="Arial" w:eastAsia="Arial" w:hAnsi="Arial" w:cs="Arial"/>
          <w:b/>
          <w:bCs/>
          <w:w w:val="70"/>
          <w:sz w:val="20"/>
          <w:szCs w:val="20"/>
        </w:rPr>
        <w:t>(Giardiasis)</w:t>
      </w:r>
    </w:p>
    <w:p w14:paraId="5D08D081" w14:textId="77777777" w:rsidR="00D03C17" w:rsidRDefault="00D03C17">
      <w:pPr>
        <w:pStyle w:val="BodyText"/>
        <w:ind w:firstLine="0"/>
      </w:pPr>
      <w:r>
        <w:rPr>
          <w:b/>
          <w:bCs/>
          <w:smallCaps/>
          <w:sz w:val="20"/>
          <w:szCs w:val="20"/>
        </w:rPr>
        <w:t>M</w:t>
      </w:r>
      <w:r>
        <w:rPr>
          <w:b/>
          <w:bCs/>
          <w:smallCaps/>
          <w:sz w:val="16"/>
          <w:szCs w:val="16"/>
        </w:rPr>
        <w:t>anifestaciones clínicas</w:t>
      </w:r>
      <w:r>
        <w:rPr>
          <w:b/>
          <w:bCs/>
          <w:smallCaps/>
          <w:sz w:val="20"/>
          <w:szCs w:val="20"/>
        </w:rPr>
        <w:t>:</w:t>
      </w:r>
      <w:r>
        <w:t xml:space="preserve"> La infección sintomática origina manifestaciones clínicas de muy diversa índole. Los niños en días ocasionales pueden presentar diarrea acuosa aguda con dolor abdominal o bien un cuadro tardío, intermitente y a menudo debilitante que se caracteriza por la expulsión de excrementos fétidos, acompañado de flatulencia, distensión abdominal y anorexia. Esta última, en combinación con la mala absorción, puede ocasionar notable pérdida ponderal, retraso en el crecimiento y anemia. Es frecuente que surjan infecciones asintomáticas.</w:t>
      </w:r>
    </w:p>
    <w:p w14:paraId="3633CB71" w14:textId="77777777" w:rsidR="00D03C17" w:rsidRDefault="00D03C17">
      <w:pPr>
        <w:pStyle w:val="BodyText"/>
        <w:ind w:firstLine="0"/>
      </w:pPr>
      <w:r>
        <w:rPr>
          <w:b/>
          <w:bCs/>
        </w:rPr>
        <w:t>C</w:t>
      </w:r>
      <w:r>
        <w:rPr>
          <w:b/>
          <w:bCs/>
          <w:sz w:val="13"/>
          <w:szCs w:val="13"/>
        </w:rPr>
        <w:t>AUSA</w:t>
      </w:r>
      <w:r>
        <w:rPr>
          <w:b/>
          <w:bCs/>
        </w:rPr>
        <w:t xml:space="preserve">: </w:t>
      </w:r>
      <w:r>
        <w:rPr>
          <w:rFonts w:ascii="Times New Roman" w:eastAsia="Times New Roman" w:hAnsi="Times New Roman" w:cs="Times New Roman"/>
          <w:i/>
          <w:iCs/>
          <w:sz w:val="16"/>
          <w:szCs w:val="16"/>
        </w:rPr>
        <w:t>Giardia lamblia</w:t>
      </w:r>
      <w:r>
        <w:t xml:space="preserve"> es un protozoo flagelado que está en las formas de trofozoíto y quiste; esta última es la forma infectante. La infección se circunscribe al intestino delgado y a las vías biliares.</w:t>
      </w:r>
    </w:p>
    <w:p w14:paraId="7C107B13" w14:textId="77777777" w:rsidR="00D03C17" w:rsidRDefault="00D03C17">
      <w:pPr>
        <w:pStyle w:val="BodyText"/>
        <w:spacing w:after="60"/>
        <w:ind w:firstLine="0"/>
        <w:sectPr w:rsidR="00D03C17" w:rsidSect="00D03C17">
          <w:headerReference w:type="even" r:id="rId426"/>
          <w:headerReference w:type="default" r:id="rId427"/>
          <w:footerReference w:type="even" r:id="rId428"/>
          <w:footerReference w:type="default" r:id="rId429"/>
          <w:headerReference w:type="first" r:id="rId430"/>
          <w:footerReference w:type="first" r:id="rId431"/>
          <w:footnotePr>
            <w:numFmt w:val="chicago"/>
          </w:footnotePr>
          <w:pgSz w:w="8501" w:h="13022"/>
          <w:pgMar w:top="701" w:right="814" w:bottom="469" w:left="765" w:header="0" w:footer="3" w:gutter="0"/>
          <w:pgNumType w:start="774"/>
          <w:cols w:space="720"/>
          <w:noEndnote/>
          <w:titlePg/>
          <w:docGrid w:linePitch="360"/>
          <w15:footnoteColumns w:val="1"/>
        </w:sectPr>
      </w:pPr>
      <w:r>
        <w:rPr>
          <w:b/>
          <w:bCs/>
        </w:rPr>
        <w:t>A</w:t>
      </w:r>
      <w:r>
        <w:rPr>
          <w:b/>
          <w:bCs/>
          <w:sz w:val="13"/>
          <w:szCs w:val="13"/>
        </w:rPr>
        <w:t>SPECTOS EPIDEMIOLÓGICOS</w:t>
      </w:r>
      <w:r>
        <w:rPr>
          <w:b/>
          <w:bCs/>
        </w:rPr>
        <w:t xml:space="preserve">: </w:t>
      </w:r>
      <w:r>
        <w:t>La giardiasis tiene distribución mundial. Los seres humanos constituyen el principal reservorio de la infección, pero los microorganismos</w:t>
      </w:r>
    </w:p>
    <w:p w14:paraId="1F4E7D9E" w14:textId="77777777" w:rsidR="00D03C17" w:rsidRDefault="00D03C17">
      <w:pPr>
        <w:pStyle w:val="Bodytext70"/>
        <w:spacing w:after="0"/>
      </w:pPr>
      <w:r>
        <w:t>Sífilis</w:t>
      </w:r>
    </w:p>
    <w:p w14:paraId="2135D7AA" w14:textId="77777777" w:rsidR="00D03C17" w:rsidRDefault="00D03C17">
      <w:pPr>
        <w:pStyle w:val="Other0"/>
        <w:spacing w:line="257" w:lineRule="auto"/>
        <w:ind w:firstLine="0"/>
        <w:rPr>
          <w:sz w:val="20"/>
          <w:szCs w:val="20"/>
        </w:rPr>
      </w:pPr>
      <w:r>
        <w:rPr>
          <w:b/>
          <w:bCs/>
          <w:smallCaps/>
          <w:sz w:val="20"/>
          <w:szCs w:val="20"/>
        </w:rPr>
        <w:t>M</w:t>
      </w:r>
      <w:r>
        <w:rPr>
          <w:b/>
          <w:bCs/>
          <w:smallCaps/>
          <w:sz w:val="16"/>
          <w:szCs w:val="16"/>
        </w:rPr>
        <w:t>anifestaciones clínicas</w:t>
      </w:r>
      <w:r>
        <w:rPr>
          <w:b/>
          <w:bCs/>
          <w:smallCaps/>
          <w:sz w:val="20"/>
          <w:szCs w:val="20"/>
        </w:rPr>
        <w:t>:</w:t>
      </w:r>
    </w:p>
    <w:p w14:paraId="299F5041" w14:textId="77777777" w:rsidR="00D03C17" w:rsidRDefault="00D03C17">
      <w:pPr>
        <w:pStyle w:val="BodyText"/>
        <w:ind w:firstLine="0"/>
      </w:pPr>
      <w:r>
        <w:rPr>
          <w:rFonts w:ascii="Arial" w:eastAsia="Arial" w:hAnsi="Arial" w:cs="Arial"/>
          <w:b/>
          <w:bCs/>
          <w:i/>
          <w:iCs/>
          <w:sz w:val="15"/>
          <w:szCs w:val="15"/>
        </w:rPr>
        <w:t>Sífilis congénita.</w:t>
      </w:r>
      <w:r>
        <w:t xml:space="preserve"> La infección sifilítica intrauterina puede originar óbito o hidropesía fetales o premadurez. Los lactantes pueden tener hepatosplenomegalia, romadizo, linfadenopatía, lesiones mucocutáneas, osteocondritis o seudoparálisis, edema, erupciones, anemia hemolítica o trombocitopenia, al nacer o en los primeros meses de vida. Sin tratamiento, independientemente de que hayan surgido manifestaciones en la lactancia temprana, los niños pueden presentar manifestaciones tardías, por lo común después de dos años de vida que abarcan el sistema nervioso central (SNC), huesos y articulaciones, dientes, ojos y piel. Es posible que algunas consecuencias de la infección intrauterina se manifiesten sólo después que hayan transcurrido muchos años desde el nacimiento, como sería queratitis intersticial (cinco a 20 años); sordera por ataque del octavo par (10 a 40 años), dientes de Hutchinson (cólicos, incisivos centrales con muescas), genovaro anterior, prominencia frontal, molares en forma de mora, nariz en silla de montar, grietas y articulaciones de Clutton (hinchazón simétrica e indolora de las rodillas). Se conoce a las primeras tres manifestaciones como tríada de Hutchinson.</w:t>
      </w:r>
    </w:p>
    <w:p w14:paraId="5FD689A1" w14:textId="77777777" w:rsidR="00D03C17" w:rsidRDefault="00D03C17">
      <w:pPr>
        <w:pStyle w:val="BodyText"/>
        <w:ind w:firstLine="360"/>
      </w:pPr>
      <w:r>
        <w:rPr>
          <w:rFonts w:ascii="Arial" w:eastAsia="Arial" w:hAnsi="Arial" w:cs="Arial"/>
          <w:b/>
          <w:bCs/>
          <w:i/>
          <w:iCs/>
          <w:sz w:val="15"/>
          <w:szCs w:val="15"/>
        </w:rPr>
        <w:t>Sífilis adquirida.</w:t>
      </w:r>
      <w:r>
        <w:t xml:space="preserve"> La infección se divide en tres etapas. La </w:t>
      </w:r>
      <w:r>
        <w:rPr>
          <w:b/>
          <w:bCs/>
        </w:rPr>
        <w:t xml:space="preserve">fase primaria </w:t>
      </w:r>
      <w:r>
        <w:t xml:space="preserve">se caracteriza por la presencia de una o más úlceras induradas e indoloras (chancros) de la piel o las mucosas en el sitio de la inoculación; muy a menudo se les identifica en los genitales. La </w:t>
      </w:r>
      <w:r>
        <w:rPr>
          <w:b/>
          <w:bCs/>
        </w:rPr>
        <w:t xml:space="preserve">etapa secundaria </w:t>
      </w:r>
      <w:r>
        <w:t xml:space="preserve">que comienza uno o dos meses después se caracteriza por erupciones, lesiones mucocutáneas y linfadenopatía. La erupción maculopapular polimórfica es generalizada y en forma típica abarca las palmas y las plantas. En zonas húmedas alrededor de la vulva o el ano se observan lesiones papulares hipertróficas (condilomas planos). Se observan a veces linfadenopatía generalizada, fiebre, malestar general, esplenomegalia, faringitis, cefalea y artralgia. Surge después un periodo variable de latencia, aunque a veces es interrumpido en los primeros años por recidivas de síntomas de la sífilis secundaria. La sífilis latente se define como el periodo después de la infección en que los pacientes son serorreactivos pero no muestran manifestaciones clínicas de la enfermedad. La sífilis </w:t>
      </w:r>
      <w:r>
        <w:rPr>
          <w:b/>
          <w:bCs/>
        </w:rPr>
        <w:t xml:space="preserve">latente </w:t>
      </w:r>
      <w:r>
        <w:t xml:space="preserve">con contagio en los 12 meses anteriores se conoce como </w:t>
      </w:r>
      <w:r>
        <w:rPr>
          <w:rFonts w:ascii="Times New Roman" w:eastAsia="Times New Roman" w:hAnsi="Times New Roman" w:cs="Times New Roman"/>
          <w:i/>
          <w:iCs/>
          <w:sz w:val="16"/>
          <w:szCs w:val="16"/>
        </w:rPr>
        <w:t>latente temprana</w:t>
      </w:r>
      <w:r>
        <w:rPr>
          <w:i/>
          <w:iCs/>
        </w:rPr>
        <w:t>;</w:t>
      </w:r>
      <w:r>
        <w:t xml:space="preserve"> los demás casos corresponden a la </w:t>
      </w:r>
      <w:r>
        <w:rPr>
          <w:rFonts w:ascii="Times New Roman" w:eastAsia="Times New Roman" w:hAnsi="Times New Roman" w:cs="Times New Roman"/>
          <w:i/>
          <w:iCs/>
          <w:sz w:val="16"/>
          <w:szCs w:val="16"/>
        </w:rPr>
        <w:t>latente tardía</w:t>
      </w:r>
      <w:r>
        <w:t xml:space="preserve"> o a la sífilis de duración indeterminada. La etapa terciaria de la infección incluye la formación de gomas y ataque cardiovascular pero no ataque del sistema nervioso (neurosífilis). La etapa terciaria se caracteriza por aortitis o cambios gomatosos de piel, huesos o vísceras, años a decenios después de la infección primaria. La neurosífilis se define como la infección del sistema nervioso central por </w:t>
      </w:r>
      <w:r>
        <w:rPr>
          <w:rFonts w:ascii="Times New Roman" w:eastAsia="Times New Roman" w:hAnsi="Times New Roman" w:cs="Times New Roman"/>
          <w:i/>
          <w:iCs/>
          <w:sz w:val="16"/>
          <w:szCs w:val="16"/>
        </w:rPr>
        <w:t>Treponema pallidum</w:t>
      </w:r>
      <w:r>
        <w:rPr>
          <w:i/>
          <w:iCs/>
        </w:rPr>
        <w:t>;</w:t>
      </w:r>
      <w:r>
        <w:t xml:space="preserve"> sus manifestaciones pueden surgir en cualquier fase de la infección, particularmente en personas infectadas por virus de inmunodeficiencia humana (VIH).</w:t>
      </w:r>
    </w:p>
    <w:p w14:paraId="446AD249" w14:textId="77777777" w:rsidR="00D03C17" w:rsidRDefault="00D03C17">
      <w:pPr>
        <w:pStyle w:val="BodyText"/>
        <w:ind w:firstLine="0"/>
      </w:pPr>
      <w:r>
        <w:rPr>
          <w:b/>
          <w:bCs/>
        </w:rPr>
        <w:t>C</w:t>
      </w:r>
      <w:r>
        <w:rPr>
          <w:b/>
          <w:bCs/>
          <w:sz w:val="13"/>
          <w:szCs w:val="13"/>
        </w:rPr>
        <w:t>AUSAS</w:t>
      </w:r>
      <w:r>
        <w:rPr>
          <w:b/>
          <w:bCs/>
        </w:rPr>
        <w:t xml:space="preserve">: </w:t>
      </w:r>
      <w:r>
        <w:rPr>
          <w:rFonts w:ascii="Times New Roman" w:eastAsia="Times New Roman" w:hAnsi="Times New Roman" w:cs="Times New Roman"/>
          <w:i/>
          <w:iCs/>
          <w:sz w:val="16"/>
          <w:szCs w:val="16"/>
        </w:rPr>
        <w:t>Treponema pallidum</w:t>
      </w:r>
      <w:r>
        <w:t xml:space="preserve"> es una espiroqueta móvil fina extraordinariamente trofoespecífica que vive sólo por lapsos breves fuera del hospedador. Es imposible cultivar satisfactoriamente dicha espiroqueta en medios artificiales.</w:t>
      </w:r>
    </w:p>
    <w:p w14:paraId="51120A78" w14:textId="77777777" w:rsidR="00D03C17" w:rsidRDefault="00D03C17">
      <w:pPr>
        <w:pStyle w:val="BodyText"/>
        <w:ind w:firstLine="0"/>
      </w:pPr>
      <w:r>
        <w:rPr>
          <w:b/>
          <w:bCs/>
        </w:rPr>
        <w:t>A</w:t>
      </w:r>
      <w:r>
        <w:rPr>
          <w:b/>
          <w:bCs/>
          <w:sz w:val="13"/>
          <w:szCs w:val="13"/>
        </w:rPr>
        <w:t xml:space="preserve">SPECTOS </w:t>
      </w:r>
      <w:r>
        <w:rPr>
          <w:b/>
          <w:bCs/>
          <w:smallCaps/>
          <w:sz w:val="16"/>
          <w:szCs w:val="16"/>
        </w:rPr>
        <w:t>epidemiológicos</w:t>
      </w:r>
      <w:r>
        <w:rPr>
          <w:b/>
          <w:bCs/>
          <w:smallCaps/>
          <w:sz w:val="20"/>
          <w:szCs w:val="20"/>
        </w:rPr>
        <w:t>:</w:t>
      </w:r>
      <w:r>
        <w:t xml:space="preserve"> La sífilis, que es rara en muchos de los países industrializados, persiste en Estados Unidos y en países en desarrollo. Después de 1985 y antes de 1995 se observó un incremento impresionante en la incidencia de sífilis adquirida y la congénita, pero la cifra disminuyó más adelante. Las tasas de infección siguen siendo desproporcionadamente altas en grandes zonas urbanas y en áreas rurales del sur de Estados Unidos. En los adultos la enfermedad es más frecuente en personas con infección por virus de inmunodeficiencia humana.</w:t>
      </w:r>
    </w:p>
    <w:p w14:paraId="3C28702A" w14:textId="77777777" w:rsidR="00D03C17" w:rsidRDefault="00D03C17">
      <w:pPr>
        <w:pStyle w:val="BodyText"/>
        <w:ind w:firstLine="360"/>
      </w:pPr>
      <w:r>
        <w:t xml:space="preserve">La sífilis congénita se contagia de la madre infectada, al pasar </w:t>
      </w:r>
      <w:r>
        <w:rPr>
          <w:rFonts w:ascii="Times New Roman" w:eastAsia="Times New Roman" w:hAnsi="Times New Roman" w:cs="Times New Roman"/>
          <w:i/>
          <w:iCs/>
          <w:sz w:val="16"/>
          <w:szCs w:val="16"/>
        </w:rPr>
        <w:t>T. pallidum</w:t>
      </w:r>
      <w:r>
        <w:t xml:space="preserve"> a través de la placenta en cualquier momento del embarazo o en el parto. En mujeres con sífilis temprana no tratada, 40% de las gestaciones culminan en aborto espontáneo, óbito fetal o muerte perinatal. La infección se transmite al feto en cualquier fase de la enfermedad; la cifra de transmisión es de 60 a 100% durante la sífilis secundaria y disminuye lentamente con el paso del tiempo. Las secreciones húmedas de la sífilis congénita son muy infectantes. Sin embargo, rara vez se detectan los microorganismos en heridas, si han transcurrido más de 24 h de haber comenzado el tratamiento.</w:t>
      </w:r>
    </w:p>
    <w:p w14:paraId="7663DB8A" w14:textId="77777777" w:rsidR="00D03C17" w:rsidRDefault="00D03C17">
      <w:pPr>
        <w:pStyle w:val="BodyText"/>
        <w:ind w:firstLine="360"/>
      </w:pPr>
      <w:r>
        <w:t>La sífilis adquirida siempre es consecuencia de un contacto sexual directo con lesiones ulcerosas de la piel o las mucosas de personas infectadas. En todo niño de corta edad con tal tipo de sífilis habrá que sospechar abuso sexual. Las lesiones húmedas y abiertas de las fases primaria o secundaria son fuertemente infectantes. Incluso cuatro años después de la infección primaria puede haber recaídas de sífilis secundaria con lesiones mucocutáneas infectantes.</w:t>
      </w:r>
    </w:p>
    <w:p w14:paraId="6FEA26A1" w14:textId="77777777" w:rsidR="00D03C17" w:rsidRDefault="00D03C17">
      <w:pPr>
        <w:pStyle w:val="BodyText"/>
        <w:ind w:firstLine="360"/>
      </w:pPr>
      <w:r>
        <w:t xml:space="preserve">El </w:t>
      </w:r>
      <w:r>
        <w:rPr>
          <w:b/>
          <w:bCs/>
        </w:rPr>
        <w:t xml:space="preserve">periodo de incubación </w:t>
      </w:r>
      <w:r>
        <w:t>de la sífilis primaria adquirida es de tres semanas, en forma típica, pero varía de 10 a 90 días.</w:t>
      </w:r>
    </w:p>
    <w:p w14:paraId="04D8E51B" w14:textId="77777777" w:rsidR="00D03C17" w:rsidRDefault="00D03C17">
      <w:pPr>
        <w:pStyle w:val="BodyText"/>
        <w:ind w:firstLine="0"/>
      </w:pPr>
      <w:r>
        <w:rPr>
          <w:b/>
          <w:bCs/>
        </w:rPr>
        <w:t>M</w:t>
      </w:r>
      <w:r>
        <w:rPr>
          <w:b/>
          <w:bCs/>
          <w:sz w:val="13"/>
          <w:szCs w:val="13"/>
        </w:rPr>
        <w:t>ÉTODOS DIAGNÓSTICOS</w:t>
      </w:r>
      <w:r>
        <w:rPr>
          <w:b/>
          <w:bCs/>
        </w:rPr>
        <w:t xml:space="preserve">: </w:t>
      </w:r>
      <w:r>
        <w:t xml:space="preserve">El diagnóstico definitivo se hace cuando se identifican las espiroquetas en campo oscuro o por medio de pruebas de anticuerpos fluorescentes directos del exudado de la lesión o tejidos como placenta o cordón umbilical. Las muestras deben ser obtenidas por raspado de lesiones mucocutáneas húmedas o de aspiración de un ganglio linfático regional. Las muestras de las lesiones en la boca necesitan de técnicas de anticuerpos fluorescentes directos para diferenciar </w:t>
      </w:r>
      <w:r>
        <w:rPr>
          <w:rFonts w:ascii="Times New Roman" w:eastAsia="Times New Roman" w:hAnsi="Times New Roman" w:cs="Times New Roman"/>
          <w:i/>
          <w:iCs/>
          <w:sz w:val="16"/>
          <w:szCs w:val="16"/>
        </w:rPr>
        <w:t xml:space="preserve">T pallidum </w:t>
      </w:r>
      <w:r>
        <w:t>de treponemas no patógenos. Son frecuentes resultados negativos falsos de estudios microscópicos y por ello se necesitan métodos serológicos. Se han creado, aunque no se practican en laboratorios comerciales, reacciones en cadena de polimerasa y la inmunotransferencia de inmunoglobulina M.</w:t>
      </w:r>
    </w:p>
    <w:p w14:paraId="0FD9DE9B" w14:textId="77777777" w:rsidR="00D03C17" w:rsidRDefault="00D03C17">
      <w:pPr>
        <w:pStyle w:val="BodyText"/>
        <w:ind w:firstLine="360"/>
      </w:pPr>
      <w:r>
        <w:t>Es posible el diagnóstico provisional por medio de pruebas no treponémicas y treponémicas. No basta un solo tipo de estudio para el diagnóstico porque surgen resultados positivos falsos con métodos no treponémicos en varias enfermedades clínicas, y también pueden surgir resultados similares en pruebas treponémicas, en caso de otras enfermedades por espiroquetas.</w:t>
      </w:r>
    </w:p>
    <w:p w14:paraId="343D90B7" w14:textId="77777777" w:rsidR="00D03C17" w:rsidRDefault="00D03C17">
      <w:pPr>
        <w:pStyle w:val="BodyText"/>
        <w:ind w:firstLine="360"/>
      </w:pPr>
      <w:r>
        <w:t xml:space="preserve">Los métodos no treponémicos corrientes para identificar sífilis incluyen la prueba de laminilla del </w:t>
      </w:r>
      <w:r>
        <w:rPr>
          <w:rFonts w:ascii="Times New Roman" w:eastAsia="Times New Roman" w:hAnsi="Times New Roman" w:cs="Times New Roman"/>
          <w:i/>
          <w:iCs/>
          <w:sz w:val="16"/>
          <w:szCs w:val="16"/>
        </w:rPr>
        <w:t>Venereal Disease Research Laboratory</w:t>
      </w:r>
      <w:r>
        <w:t xml:space="preserve"> (VDRL), la de reagina plasmática rápida </w:t>
      </w:r>
      <w:r>
        <w:rPr>
          <w:i/>
          <w:iCs/>
        </w:rPr>
        <w:t>(</w:t>
      </w:r>
      <w:r>
        <w:rPr>
          <w:rFonts w:ascii="Times New Roman" w:eastAsia="Times New Roman" w:hAnsi="Times New Roman" w:cs="Times New Roman"/>
          <w:i/>
          <w:iCs/>
          <w:sz w:val="16"/>
          <w:szCs w:val="16"/>
        </w:rPr>
        <w:t>rapid plasma reagin</w:t>
      </w:r>
      <w:r>
        <w:rPr>
          <w:i/>
          <w:iCs/>
        </w:rPr>
        <w:t>,</w:t>
      </w:r>
      <w:r>
        <w:t xml:space="preserve"> RPR) y la prueba de reagina automatizada </w:t>
      </w:r>
      <w:r>
        <w:rPr>
          <w:i/>
          <w:iCs/>
        </w:rPr>
        <w:t>(</w:t>
      </w:r>
      <w:r>
        <w:rPr>
          <w:rFonts w:ascii="Times New Roman" w:eastAsia="Times New Roman" w:hAnsi="Times New Roman" w:cs="Times New Roman"/>
          <w:i/>
          <w:iCs/>
          <w:sz w:val="16"/>
          <w:szCs w:val="16"/>
        </w:rPr>
        <w:t>automated reagin test</w:t>
      </w:r>
      <w:r>
        <w:rPr>
          <w:i/>
          <w:iCs/>
        </w:rPr>
        <w:t>,</w:t>
      </w:r>
      <w:r>
        <w:t xml:space="preserve"> ART). Las pruebas miden los anticuerpos contra el antígeno lipoidal de T. pallidum, la interacción de los anticuerpos con los tejidos del hospedador o ambos fenómenos. Los métodos anteriores son baratos y se practican rápidamente y aportan resultados cuantitativos. Estos últimos ayudan a definir la actividad de la enfermedad y vigilar su reacción al tratamiento. Los resultados de estudios no treponémicos pueden ser negativos falsos (es decir, no reactivos) en caso de la sífilis primaria temprana, de la sífilis adquirida latente de larga duración o en la variante congénita tardía. A veces, surgirá reactividad débil o un resultado negativo falso en alguna prueba no treponémica hecha en muestras de suero que contienen elevadas concentraciones de anticuerpo contra el </w:t>
      </w:r>
      <w:r>
        <w:rPr>
          <w:rFonts w:ascii="Times New Roman" w:eastAsia="Times New Roman" w:hAnsi="Times New Roman" w:cs="Times New Roman"/>
          <w:i/>
          <w:iCs/>
          <w:sz w:val="16"/>
          <w:szCs w:val="16"/>
        </w:rPr>
        <w:t>T. pallidum</w:t>
      </w:r>
      <w:r>
        <w:t xml:space="preserve">, reacción llamada fenómeno de </w:t>
      </w:r>
      <w:r>
        <w:rPr>
          <w:rFonts w:ascii="Times New Roman" w:eastAsia="Times New Roman" w:hAnsi="Times New Roman" w:cs="Times New Roman"/>
          <w:i/>
          <w:iCs/>
          <w:sz w:val="16"/>
          <w:szCs w:val="16"/>
        </w:rPr>
        <w:t>prozona</w:t>
      </w:r>
      <w:r>
        <w:t>, que detectan por los común los técnicos expertos de laboratorio; el uso del suero diluido confiere positividad a la prueba. Cuando se utilizan métodos no treponémicos para vigilar la respuesta al tratamiento, hay que usar en todo el periodo de vigilancia la misma prueba específica (como VDRL, RPR o ART), de preferencia en el mismo laboratorio. Esto garantizará la posibilidad de comparar los resultados.</w:t>
      </w:r>
    </w:p>
    <w:p w14:paraId="38E57CFF" w14:textId="77777777" w:rsidR="00D03C17" w:rsidRDefault="00D03C17">
      <w:pPr>
        <w:pStyle w:val="BodyText"/>
        <w:ind w:firstLine="360"/>
      </w:pPr>
      <w:r>
        <w:t>La prueba no treponémica reactiva de una persona con lesiones típicas indica la necesidad del tratamiento. Sin embargo, los datos de cualquier prueba reactiva de ese tipo deben ser confirmados por algunas de las pruebas treponémicas específicas para así descartar un resultado positivo falso. Este tipo de resultados pueden depender de algunas infecciones víricas (como sería mononucleosis infecciosa, hepatitis, varicela y sarampión), linfoma, tuberculosis, paludismo, endocarditis, enfermedades del tejido conectivo en embarazo, drogas inyectables de las que se abusa, errores de laboratorio o técnicos o contaminación con la gelatina de Wharton cuando se utilizan muestras de sangre del cordón umbilical. Es importante emprender inmediatamente el tratamiento y no esperar los resultados de los métodos treponémicos si la persona está sintomática o expuesta a un gran peligro de infección. El decremento cuádruple sostenido en el título de resultados de las pruebas no treponémicas después de tratamiento demuestra que fue adecuado. El incremento cuádruple en el título después de la terapia sugiere reinfección o recaída. El resultado de una prueba cuantitativa no treponémica por lo común se torna sin reactividad en términos de un año de la terapia curativa si el título inicial era pequeño (</w:t>
      </w:r>
      <w:r>
        <w:rPr>
          <w:rFonts w:ascii="Arial" w:eastAsia="Arial" w:hAnsi="Arial" w:cs="Arial"/>
        </w:rPr>
        <w:t xml:space="preserve">&lt; </w:t>
      </w:r>
      <w:r>
        <w:t>1:8) y recibió tratamiento temprano la infección (sífilis primaria o secundaria). El niño por lo común se torna seronegativo en término de dos años, incluso si el título inicial era alto o la infección era de tipo congénito. Algunas personas seguirán mostrando títulos pequeños de anticuerpos no treponémicos a pesar del tratamiento eficaz. El estado “serorresistente” es más frecuente en personas tratadas por sífilis latente o terciaria.</w:t>
      </w:r>
    </w:p>
    <w:p w14:paraId="56F9052C" w14:textId="77777777" w:rsidR="00D03C17" w:rsidRDefault="00D03C17">
      <w:pPr>
        <w:pStyle w:val="BodyText"/>
        <w:spacing w:line="276" w:lineRule="auto"/>
        <w:ind w:firstLine="360"/>
      </w:pPr>
      <w:r>
        <w:t xml:space="preserve">Las pruebas treponémicas que se usan incluye la absorción de anticuerpos fluorescentes contra treponemas </w:t>
      </w:r>
      <w:r>
        <w:rPr>
          <w:i/>
          <w:iCs/>
        </w:rPr>
        <w:t>(</w:t>
      </w:r>
      <w:r>
        <w:rPr>
          <w:rFonts w:ascii="Times New Roman" w:eastAsia="Times New Roman" w:hAnsi="Times New Roman" w:cs="Times New Roman"/>
          <w:i/>
          <w:iCs/>
          <w:sz w:val="16"/>
          <w:szCs w:val="16"/>
        </w:rPr>
        <w:t>fluorescent treponemal antibody absorption</w:t>
      </w:r>
      <w:r>
        <w:rPr>
          <w:i/>
          <w:iCs/>
        </w:rPr>
        <w:t xml:space="preserve">, </w:t>
      </w:r>
      <w:r>
        <w:t xml:space="preserve">FTA-ABS) y las de aglutinación de partículas de </w:t>
      </w:r>
      <w:r>
        <w:rPr>
          <w:rFonts w:ascii="Times New Roman" w:eastAsia="Times New Roman" w:hAnsi="Times New Roman" w:cs="Times New Roman"/>
          <w:i/>
          <w:iCs/>
          <w:sz w:val="16"/>
          <w:szCs w:val="16"/>
        </w:rPr>
        <w:t xml:space="preserve">T pallidum </w:t>
      </w:r>
      <w:r>
        <w:rPr>
          <w:i/>
          <w:iCs/>
        </w:rPr>
        <w:t>(</w:t>
      </w:r>
      <w:r>
        <w:rPr>
          <w:rFonts w:ascii="Times New Roman" w:eastAsia="Times New Roman" w:hAnsi="Times New Roman" w:cs="Times New Roman"/>
          <w:i/>
          <w:iCs/>
          <w:sz w:val="16"/>
          <w:szCs w:val="16"/>
        </w:rPr>
        <w:t>T. pallidum, particle agglutination</w:t>
      </w:r>
      <w:r>
        <w:rPr>
          <w:i/>
          <w:iCs/>
        </w:rPr>
        <w:t>,</w:t>
      </w:r>
      <w:r>
        <w:t xml:space="preserve"> TP-PA). Los niños que muestran resultados positivos en las dos pruebas por lo regular muestran reactividad toda su vida, incluso después de tratamiento satisfactorio. Los títulos de anticuerpos en pruebas treponémicas no guardan relación exacta con la actividad patológica (de la enfermedad) y no deben utilizarse para valorar la respuesta al tratamiento.</w:t>
      </w:r>
    </w:p>
    <w:p w14:paraId="2A484E37" w14:textId="77777777" w:rsidR="00D03C17" w:rsidRDefault="00D03C17">
      <w:pPr>
        <w:pStyle w:val="BodyText"/>
        <w:ind w:firstLine="360"/>
        <w:rPr>
          <w:sz w:val="16"/>
          <w:szCs w:val="16"/>
        </w:rPr>
      </w:pPr>
      <w:r>
        <w:t xml:space="preserve">Las pruebas treponémicas no tienen una especificidad absoluta (100%) respecto a la sífilis; surgen de modo variable reacciones positivas en personas con otras espiroquetosis como frambesia, el mal de pinto, la leptospirosis, el sodoku, la fiebre recurrente y la enfermedad de Lyme. Se pueden utilizar métodos no treponémicos para diferenciar entre la enfermedad de Lyme y la sífilis porque con la primera enfermedad no hay reactividad en el uso de </w:t>
      </w:r>
      <w:r>
        <w:rPr>
          <w:rFonts w:ascii="Times New Roman" w:eastAsia="Times New Roman" w:hAnsi="Times New Roman" w:cs="Times New Roman"/>
          <w:i/>
          <w:iCs/>
          <w:sz w:val="16"/>
          <w:szCs w:val="16"/>
        </w:rPr>
        <w:t>Venereal Disease Research Laboratory.</w:t>
      </w:r>
    </w:p>
    <w:p w14:paraId="32ED56AB" w14:textId="77777777" w:rsidR="00D03C17" w:rsidRDefault="00D03C17">
      <w:pPr>
        <w:pStyle w:val="BodyText"/>
        <w:ind w:firstLine="360"/>
      </w:pPr>
      <w:r>
        <w:t>En general, como medida inicial se practica un método no treponémico en suero y si se advierte reactividad se hará un método treponémico. La probabilidad de sífilis es grande en una persona sexualmente activa cuyo suero reacciona con las pruebas no treponémica y treponémica. Suele ser difícil diferenciar la sífilis tratada en épocas pasadas o la reinfección, salvo que se advierte incremento del título no treponémico.</w:t>
      </w:r>
    </w:p>
    <w:p w14:paraId="5622AAEC" w14:textId="77777777" w:rsidR="00D03C17" w:rsidRDefault="00D03C17">
      <w:pPr>
        <w:pStyle w:val="BodyText"/>
        <w:ind w:firstLine="360"/>
      </w:pPr>
      <w:r>
        <w:t>En resumen, se utilizan como métodos de detección sistemática estudios no treponémicos con anticuerpos (VDRL, RPR y ART) y se recurre a las pruebas treponémicas (FTA-ABS y TP-PA) para definir un diagnóstico provisional. Las pruebas cuantitativas con anticuerpos no treponémicos se utilizan para valorar la adecuación del tratamiento y detectar reinfección y recaída. Todo paciente sifilítico debe ser sometido a pruebas para identificar infección por virus de inmunodeficiencia humana.</w:t>
      </w:r>
    </w:p>
    <w:p w14:paraId="0B04008C" w14:textId="77777777" w:rsidR="00D03C17" w:rsidRDefault="00D03C17">
      <w:pPr>
        <w:pStyle w:val="BodyText"/>
        <w:ind w:firstLine="360"/>
      </w:pPr>
      <w:r>
        <w:rPr>
          <w:rFonts w:ascii="Arial" w:eastAsia="Arial" w:hAnsi="Arial" w:cs="Arial"/>
          <w:b/>
          <w:bCs/>
          <w:i/>
          <w:iCs/>
          <w:sz w:val="15"/>
          <w:szCs w:val="15"/>
        </w:rPr>
        <w:t>Métodos en líquido cefalorraquídeo.</w:t>
      </w:r>
      <w:r>
        <w:t xml:space="preserve"> Para valorar una posible neurosífilis habrá que realizar el método VDRL en líquido cefalorraquídeo (LCR). Además de este método recién mencionado, también se utiliza en dicho líquido procedimientos para valorar proteínas y el número de leucocitos y así evaluar la posibilidad de ataque del sistema nervioso central. Algunos expertos también practican la prueba FTA-ABS, con la idea de que es más sensible aunque menos específica que VDRL en LCR. Es importante interpretar con cautela los resultados de la prueba VDRL porque un resultado negativo con ella en LCR no descarta el diagnóstico de neurosífilis. Son pocos los datos publicados de la aplicación de la prueba TP-PA en LCR y no existen datos respecto a la prueba RPR; será mejor no usar ambos procedimientos para el estudio de líquido cefalorraquídeo.</w:t>
      </w:r>
    </w:p>
    <w:p w14:paraId="3395A20C" w14:textId="77777777" w:rsidR="00D03C17" w:rsidRDefault="00D03C17">
      <w:pPr>
        <w:pStyle w:val="BodyText"/>
        <w:ind w:firstLine="360"/>
      </w:pPr>
      <w:r>
        <w:rPr>
          <w:rFonts w:ascii="Arial" w:eastAsia="Arial" w:hAnsi="Arial" w:cs="Arial"/>
          <w:b/>
          <w:bCs/>
          <w:i/>
          <w:iCs/>
          <w:sz w:val="15"/>
          <w:szCs w:val="15"/>
        </w:rPr>
        <w:t>Pruebas durante el embarazo.</w:t>
      </w:r>
      <w:r>
        <w:t xml:space="preserve"> Es importante la práctica de pruebas serológicas como medios de detección sistemática en todas las mujeres en busca de sífilis en los comienzos del embarazo, y para ello se usará estudio no treponémico (VDRL o RPR), que de preferencia se repetirá en el parto. En zonas de alta prevalencia y en mujeres que están expuestas a un gran peligro de contraer sífilis, conviene practicar una prueba sérica no treponémica en el comienzo del tercer trimestre (28 semanas de gestación). En mujeres tratadas durante el embarazo se necesita la práctica seriada de métodos serológicos para evaluar la eficacia del tratamiento. A veces en el embarazo hay resultados positivos falsos con títulos bajos en las pruebas no treponémicas con anticuerpos. El resultado de una prueba positiva no treponémica debe confirmarse con la práctica de una prueba de anticuerpos treponémicos (como FTA-ABS). Si una embarazada tiene un resultado reactivo en una prueba no treponémica y persistentemente hay un resultado negativo en la prueba treponémica, se confirmará la existencia de un resultado positivo falso.</w:t>
      </w:r>
    </w:p>
    <w:p w14:paraId="0E768020" w14:textId="77777777" w:rsidR="00D03C17" w:rsidRDefault="00D03C17">
      <w:pPr>
        <w:pStyle w:val="BodyText"/>
        <w:spacing w:line="276" w:lineRule="auto"/>
        <w:ind w:firstLine="360"/>
      </w:pPr>
      <w:r>
        <w:rPr>
          <w:rFonts w:ascii="Arial" w:eastAsia="Arial" w:hAnsi="Arial" w:cs="Arial"/>
          <w:b/>
          <w:bCs/>
          <w:i/>
          <w:iCs/>
          <w:sz w:val="15"/>
          <w:szCs w:val="15"/>
        </w:rPr>
        <w:t>Valoración de neonatos en busca de infección congénita.</w:t>
      </w:r>
      <w:r>
        <w:t xml:space="preserve"> Ningún neonato debe ser dado de alta del hospital sin conocer el estado serológico respecto a sífilis, de su madre. No es un método adecuado para la detección sistemática el estudio de una muestra de sangre del cordón o del suero del neonato porque los resultados de las pruebas quizá no sean reactivos, incluso en una madre seropositiva. Todo pequeño que es hijo de una madre seropositiva requiere la exploración cuidadosa y que se le practique una prueba no treponémica cuantitativa para detección de sífilis. La prueba realizada en el lactante debe ser la misma que la que se hizo en la madre para así poder comparar los resultados de los títulos.</w:t>
      </w:r>
    </w:p>
    <w:p w14:paraId="731E1653" w14:textId="77777777" w:rsidR="00D03C17" w:rsidRDefault="00D03C17">
      <w:pPr>
        <w:pStyle w:val="BodyText"/>
        <w:ind w:firstLine="360"/>
      </w:pPr>
      <w:r>
        <w:t>Es importante valorar al pequeño con más pruebas para buscar sífilis congénita si hubo un incremento cuádruple del título materno, si el título del recién nacido es cuatro veces mayor que el de su madre o si el pequeño muestra síntomas. Además, habrá que valorar al lactante con mayor detenimiento si es hijo de una madre con resultados positivos en las pruebas no treponémica y treponémica y si la gestante tiene uno o más de los cuadros siguientes:</w:t>
      </w:r>
    </w:p>
    <w:p w14:paraId="644B7206" w14:textId="77777777" w:rsidR="00D03C17" w:rsidRDefault="00D03C17">
      <w:pPr>
        <w:pStyle w:val="BodyText"/>
        <w:numPr>
          <w:ilvl w:val="0"/>
          <w:numId w:val="105"/>
        </w:numPr>
        <w:tabs>
          <w:tab w:val="left" w:pos="341"/>
        </w:tabs>
        <w:ind w:left="360" w:hanging="360"/>
      </w:pPr>
      <w:bookmarkStart w:id="400" w:name="bookmark1406"/>
      <w:bookmarkEnd w:id="400"/>
      <w:r>
        <w:t>Sífilis no tratada o tratada inadecuadamente o ausencia de documentación del tratamiento (véase “Tratamiento”, más adelante en este resumen).</w:t>
      </w:r>
    </w:p>
    <w:p w14:paraId="3D624465" w14:textId="77777777" w:rsidR="00D03C17" w:rsidRDefault="00D03C17">
      <w:pPr>
        <w:pStyle w:val="BodyText"/>
        <w:numPr>
          <w:ilvl w:val="0"/>
          <w:numId w:val="105"/>
        </w:numPr>
        <w:tabs>
          <w:tab w:val="left" w:pos="341"/>
        </w:tabs>
        <w:ind w:left="360" w:hanging="360"/>
      </w:pPr>
      <w:bookmarkStart w:id="401" w:name="bookmark1407"/>
      <w:bookmarkEnd w:id="401"/>
      <w:r>
        <w:t>Sífilis durante el embarazo, tratada con un régimen no penicilínico como sería el uso de eritromicina.</w:t>
      </w:r>
    </w:p>
    <w:p w14:paraId="7DE6A5F6" w14:textId="77777777" w:rsidR="00D03C17" w:rsidRDefault="00D03C17">
      <w:pPr>
        <w:pStyle w:val="BodyText"/>
        <w:numPr>
          <w:ilvl w:val="0"/>
          <w:numId w:val="105"/>
        </w:numPr>
        <w:tabs>
          <w:tab w:val="left" w:pos="341"/>
        </w:tabs>
        <w:ind w:left="360" w:hanging="360"/>
      </w:pPr>
      <w:bookmarkStart w:id="402" w:name="bookmark1408"/>
      <w:bookmarkEnd w:id="402"/>
      <w:r>
        <w:t>Sífilis durante el embarazo tratada con un régimen adecuado con penicilina, pero sin la disminución prevista del título de anticuerpos no treponémicos después de la terapia.</w:t>
      </w:r>
    </w:p>
    <w:p w14:paraId="1479D551" w14:textId="77777777" w:rsidR="00D03C17" w:rsidRDefault="00D03C17">
      <w:pPr>
        <w:pStyle w:val="BodyText"/>
        <w:numPr>
          <w:ilvl w:val="0"/>
          <w:numId w:val="105"/>
        </w:numPr>
        <w:tabs>
          <w:tab w:val="left" w:pos="341"/>
        </w:tabs>
        <w:ind w:left="360" w:hanging="360"/>
      </w:pPr>
      <w:bookmarkStart w:id="403" w:name="bookmark1409"/>
      <w:bookmarkEnd w:id="403"/>
      <w:r>
        <w:t>Sífilis tratada en un lapso menor de 30 días antes del parto (porque surge ineficacia del tratamiento y no puede suponerse que el tratamiento ha dado resultado).</w:t>
      </w:r>
    </w:p>
    <w:p w14:paraId="20F93D26" w14:textId="77777777" w:rsidR="00D03C17" w:rsidRDefault="00D03C17">
      <w:pPr>
        <w:pStyle w:val="BodyText"/>
        <w:numPr>
          <w:ilvl w:val="0"/>
          <w:numId w:val="105"/>
        </w:numPr>
        <w:tabs>
          <w:tab w:val="left" w:pos="340"/>
        </w:tabs>
        <w:ind w:left="360" w:hanging="360"/>
      </w:pPr>
      <w:bookmarkStart w:id="404" w:name="bookmark1410"/>
      <w:bookmarkEnd w:id="404"/>
      <w:r>
        <w:t>Sífilis tratada antes del embarazo, pero con vigilancia serológica insuficiente para evaluar la respuesta al tratamiento y el estado actual de la infección.</w:t>
      </w:r>
    </w:p>
    <w:p w14:paraId="14ABA18A" w14:textId="77777777" w:rsidR="00D03C17" w:rsidRDefault="00D03C17">
      <w:pPr>
        <w:pStyle w:val="BodyText"/>
        <w:ind w:firstLine="0"/>
      </w:pPr>
      <w:r>
        <w:t>La valoración del lactante en busca de sífilis debe incluir los aspectos siguientes:</w:t>
      </w:r>
    </w:p>
    <w:p w14:paraId="1760F098" w14:textId="77777777" w:rsidR="00D03C17" w:rsidRDefault="00D03C17">
      <w:pPr>
        <w:pStyle w:val="BodyText"/>
        <w:numPr>
          <w:ilvl w:val="0"/>
          <w:numId w:val="105"/>
        </w:numPr>
        <w:tabs>
          <w:tab w:val="left" w:pos="340"/>
        </w:tabs>
        <w:ind w:firstLine="0"/>
      </w:pPr>
      <w:bookmarkStart w:id="405" w:name="bookmark1411"/>
      <w:bookmarkEnd w:id="405"/>
      <w:r>
        <w:t>Exploración física.</w:t>
      </w:r>
    </w:p>
    <w:p w14:paraId="7CFAB94D" w14:textId="77777777" w:rsidR="00D03C17" w:rsidRDefault="00D03C17">
      <w:pPr>
        <w:pStyle w:val="BodyText"/>
        <w:numPr>
          <w:ilvl w:val="0"/>
          <w:numId w:val="105"/>
        </w:numPr>
        <w:tabs>
          <w:tab w:val="left" w:pos="340"/>
        </w:tabs>
        <w:ind w:left="360" w:hanging="360"/>
      </w:pPr>
      <w:bookmarkStart w:id="406" w:name="bookmark1412"/>
      <w:bookmarkEnd w:id="406"/>
      <w:r>
        <w:t>Método serológico no treponémico cuantitativo del suero obtenido del pequeño en busca de sífilis (no se usará sangre del cordón umbilical porque con ella pueden surgir resultados positivos y negativos, ambos falsos).</w:t>
      </w:r>
    </w:p>
    <w:p w14:paraId="39A3C71E" w14:textId="77777777" w:rsidR="00D03C17" w:rsidRDefault="00D03C17">
      <w:pPr>
        <w:pStyle w:val="BodyText"/>
        <w:numPr>
          <w:ilvl w:val="0"/>
          <w:numId w:val="105"/>
        </w:numPr>
        <w:tabs>
          <w:tab w:val="left" w:pos="340"/>
        </w:tabs>
        <w:ind w:left="360" w:hanging="360"/>
      </w:pPr>
      <w:bookmarkStart w:id="407" w:name="bookmark1413"/>
      <w:bookmarkEnd w:id="407"/>
      <w:r>
        <w:t>Práctica de prueba de VDRL en LCR y análisis del mismo líquido en busca de células y concentración de proteína (véase “Métodos en líquido cefalorraquídeo”, más adelante en este resumen, para conocer las indicaciones).</w:t>
      </w:r>
    </w:p>
    <w:p w14:paraId="5B1AA562" w14:textId="77777777" w:rsidR="00D03C17" w:rsidRDefault="00D03C17">
      <w:pPr>
        <w:pStyle w:val="BodyText"/>
        <w:numPr>
          <w:ilvl w:val="0"/>
          <w:numId w:val="105"/>
        </w:numPr>
        <w:tabs>
          <w:tab w:val="left" w:pos="340"/>
        </w:tabs>
        <w:ind w:left="360" w:hanging="360"/>
      </w:pPr>
      <w:bookmarkStart w:id="408" w:name="bookmark1414"/>
      <w:bookmarkEnd w:id="408"/>
      <w:r>
        <w:t>Radiografías de huesos largos (salvo que el diagnóstico se haya corroborado con otros medios).</w:t>
      </w:r>
    </w:p>
    <w:p w14:paraId="2847987D" w14:textId="77777777" w:rsidR="00D03C17" w:rsidRDefault="00D03C17">
      <w:pPr>
        <w:pStyle w:val="BodyText"/>
        <w:numPr>
          <w:ilvl w:val="0"/>
          <w:numId w:val="105"/>
        </w:numPr>
        <w:tabs>
          <w:tab w:val="left" w:pos="340"/>
        </w:tabs>
        <w:ind w:firstLine="0"/>
      </w:pPr>
      <w:bookmarkStart w:id="409" w:name="bookmark1415"/>
      <w:bookmarkEnd w:id="409"/>
      <w:r>
        <w:t>Recuento celular y de plaquetas completo en la sangre.</w:t>
      </w:r>
    </w:p>
    <w:p w14:paraId="5DB1BEDD" w14:textId="77777777" w:rsidR="00D03C17" w:rsidRDefault="00D03C17">
      <w:pPr>
        <w:pStyle w:val="BodyText"/>
        <w:numPr>
          <w:ilvl w:val="0"/>
          <w:numId w:val="105"/>
        </w:numPr>
        <w:tabs>
          <w:tab w:val="left" w:pos="340"/>
        </w:tabs>
        <w:ind w:left="360" w:hanging="360"/>
      </w:pPr>
      <w:bookmarkStart w:id="410" w:name="bookmark1416"/>
      <w:bookmarkEnd w:id="410"/>
      <w:r>
        <w:t>Otros métodos indicados clínicamente (como radiografías de tórax y pruebas de función hepática).</w:t>
      </w:r>
    </w:p>
    <w:p w14:paraId="06F3FAC2" w14:textId="77777777" w:rsidR="00D03C17" w:rsidRDefault="00D03C17">
      <w:pPr>
        <w:pStyle w:val="BodyText"/>
        <w:ind w:firstLine="360"/>
      </w:pPr>
      <w:r>
        <w:t>También es recomendable el estudio patológico de la placenta o del cordón umbilical por la tinción fluorescente especial de anticuerpos antitreponémicos, si se practica el método.</w:t>
      </w:r>
    </w:p>
    <w:p w14:paraId="58E7891E" w14:textId="77777777" w:rsidR="00D03C17" w:rsidRDefault="00D03C17">
      <w:pPr>
        <w:pStyle w:val="BodyText"/>
        <w:ind w:firstLine="360"/>
      </w:pPr>
      <w:r>
        <w:t>En el cuadro 3-64 se incluye una guía para interpretar los resultados de las pruebas serológicas no treponémicas y treponémicas. La prueba en un neonato infectado puede ser reactiva o no reactiva, según la fecha en que ocurrió la infección de la gestante y del feto, razón que explica el énfasis que se concede a la detección sistemática de sífilis en sangre materna. Por lo contrario, en la gestante que ha sido tratada adecuadamente de la sífilis durante el embarazo, puede haber transmisión transplacentaria de anticuerpos no treponémicos y treponémicos al feto, lo cual origina resultados positivos de la prueba en un neonato sin la infección. El título de la prueba no treponémica del neonato en tales circunstancias por lo común se negativiza en cuestión de cuatro a seis meses, en tanto que el resultado positivo de las pruebas FTA-ABS o TP-PA, por la adquisición pasiva de anticuerpos desde la madre quizá no se torne negativo durante 12 meses o más.</w:t>
      </w:r>
    </w:p>
    <w:p w14:paraId="458416EB" w14:textId="77777777" w:rsidR="00D03C17" w:rsidRDefault="00D03C17">
      <w:pPr>
        <w:pStyle w:val="BodyText"/>
        <w:ind w:firstLine="360"/>
      </w:pPr>
      <w:r>
        <w:t>En un producto con signos clínicos o histológicos que sugieren sífilis congénita, la positividad de un resultado de la prueba no treponémica sérica refuerza decididamente el diagnóstico, sea cual sea la terapia que la gestante recibió durante su embarazo.</w:t>
      </w:r>
    </w:p>
    <w:p w14:paraId="77701919" w14:textId="77777777" w:rsidR="00D03C17" w:rsidRDefault="00D03C17">
      <w:pPr>
        <w:pStyle w:val="BodyText"/>
        <w:spacing w:line="276" w:lineRule="auto"/>
        <w:ind w:firstLine="360"/>
      </w:pPr>
      <w:r>
        <w:rPr>
          <w:rFonts w:ascii="Arial" w:eastAsia="Arial" w:hAnsi="Arial" w:cs="Arial"/>
          <w:b/>
          <w:bCs/>
          <w:i/>
          <w:iCs/>
          <w:sz w:val="15"/>
          <w:szCs w:val="15"/>
        </w:rPr>
        <w:t>Métodos en líquido cefalorraquídeo</w:t>
      </w:r>
      <w:r>
        <w:rPr>
          <w:i/>
          <w:iCs/>
        </w:rPr>
        <w:t>.</w:t>
      </w:r>
      <w:r>
        <w:t xml:space="preserve"> Es importante estudiar el líquido mencionado en todos los productos en quienes se valora la posible sífilis congénita, si el pequeño tiene alguno de los factores siguientes: 1) signos anormales en la exploración física compatibles con sífilis congénita; 2) un título cuantitativo sérico no treponémico cuatro veces mayor que el título de la madre; o 3) una prueba de anticuerpos que en campo oscuro o fluorescente es positiva, hecha en líquidos corporales. En otras situaciones conviene estudiar el LCR para saber cuál será el tratamiento apropiado (véase “Valoración de neonatos en busca de infección congénita”, párrafos anteriores en este resumen y “Tratamiento”, en párrafos siguientes). Habrá que estudiar también el líquido cefalorraquídeo en toda persona en que se sospeche neurosífilis o sífilis no tratada adquirida de más de un año de duración. Las anormalidades en LCR en personas con neurosífilis incluyen mayor concentración de proteínas y mayor número de leucocitos con un resultado reactivo de la prueba VDRL. Algunos expertos recomiendan también practicar la prueba FTA-ABS en líquido cefalorraquídeo en el entendido de que puede ser más sensible pero menos específica que la prueba de VDRL</w:t>
      </w: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1013"/>
        <w:gridCol w:w="1214"/>
        <w:gridCol w:w="1214"/>
        <w:gridCol w:w="1099"/>
        <w:gridCol w:w="2381"/>
      </w:tblGrid>
      <w:tr w:rsidR="00D03C17" w14:paraId="1BA3F5FE" w14:textId="77777777">
        <w:tblPrEx>
          <w:tblCellMar>
            <w:top w:w="0" w:type="dxa"/>
            <w:bottom w:w="0" w:type="dxa"/>
          </w:tblCellMar>
        </w:tblPrEx>
        <w:trPr>
          <w:trHeight w:hRule="exact" w:val="542"/>
          <w:jc w:val="center"/>
        </w:trPr>
        <w:tc>
          <w:tcPr>
            <w:tcW w:w="6921" w:type="dxa"/>
            <w:gridSpan w:val="5"/>
            <w:tcBorders>
              <w:top w:val="single" w:sz="4" w:space="0" w:color="auto"/>
            </w:tcBorders>
            <w:shd w:val="clear" w:color="auto" w:fill="FFFFFF"/>
            <w:vAlign w:val="bottom"/>
          </w:tcPr>
          <w:p w14:paraId="227FCB38" w14:textId="77777777" w:rsidR="00D03C17" w:rsidRDefault="00D03C17">
            <w:pPr>
              <w:pStyle w:val="Other0"/>
              <w:spacing w:line="240" w:lineRule="auto"/>
              <w:ind w:firstLine="0"/>
              <w:jc w:val="center"/>
              <w:rPr>
                <w:sz w:val="26"/>
                <w:szCs w:val="26"/>
              </w:rPr>
            </w:pPr>
            <w:r>
              <w:rPr>
                <w:rFonts w:ascii="Arial" w:eastAsia="Arial" w:hAnsi="Arial" w:cs="Arial"/>
                <w:w w:val="70"/>
                <w:sz w:val="26"/>
                <w:szCs w:val="26"/>
              </w:rPr>
              <w:t xml:space="preserve">Cuadro 3-64. </w:t>
            </w:r>
            <w:r>
              <w:rPr>
                <w:rFonts w:ascii="Arial" w:eastAsia="Arial" w:hAnsi="Arial" w:cs="Arial"/>
                <w:b/>
                <w:bCs/>
                <w:w w:val="70"/>
                <w:sz w:val="26"/>
                <w:szCs w:val="26"/>
              </w:rPr>
              <w:t>Guía para interpretar los resultados de métodos serológicos</w:t>
            </w:r>
          </w:p>
        </w:tc>
      </w:tr>
      <w:tr w:rsidR="00D03C17" w14:paraId="55260784" w14:textId="77777777">
        <w:tblPrEx>
          <w:tblCellMar>
            <w:top w:w="0" w:type="dxa"/>
            <w:bottom w:w="0" w:type="dxa"/>
          </w:tblCellMar>
        </w:tblPrEx>
        <w:trPr>
          <w:trHeight w:hRule="exact" w:val="326"/>
          <w:jc w:val="center"/>
        </w:trPr>
        <w:tc>
          <w:tcPr>
            <w:tcW w:w="1013" w:type="dxa"/>
            <w:shd w:val="clear" w:color="auto" w:fill="FFFFFF"/>
          </w:tcPr>
          <w:p w14:paraId="7C20D228" w14:textId="77777777" w:rsidR="00D03C17" w:rsidRDefault="00D03C17">
            <w:pPr>
              <w:rPr>
                <w:sz w:val="10"/>
                <w:szCs w:val="10"/>
              </w:rPr>
            </w:pPr>
          </w:p>
        </w:tc>
        <w:tc>
          <w:tcPr>
            <w:tcW w:w="3527" w:type="dxa"/>
            <w:gridSpan w:val="3"/>
            <w:shd w:val="clear" w:color="auto" w:fill="FFFFFF"/>
          </w:tcPr>
          <w:p w14:paraId="122B5447" w14:textId="77777777" w:rsidR="00D03C17" w:rsidRDefault="00D03C17">
            <w:pPr>
              <w:pStyle w:val="Other0"/>
              <w:spacing w:line="240" w:lineRule="auto"/>
              <w:ind w:firstLine="260"/>
              <w:jc w:val="both"/>
              <w:rPr>
                <w:sz w:val="26"/>
                <w:szCs w:val="26"/>
              </w:rPr>
            </w:pPr>
            <w:r>
              <w:rPr>
                <w:rFonts w:ascii="Arial" w:eastAsia="Arial" w:hAnsi="Arial" w:cs="Arial"/>
                <w:b/>
                <w:bCs/>
                <w:w w:val="70"/>
                <w:sz w:val="26"/>
                <w:szCs w:val="26"/>
              </w:rPr>
              <w:t>en sífilis, obtenidos en la gestante y</w:t>
            </w:r>
          </w:p>
        </w:tc>
        <w:tc>
          <w:tcPr>
            <w:tcW w:w="2381" w:type="dxa"/>
            <w:shd w:val="clear" w:color="auto" w:fill="FFFFFF"/>
          </w:tcPr>
          <w:p w14:paraId="234CD221" w14:textId="77777777" w:rsidR="00D03C17" w:rsidRDefault="00D03C17">
            <w:pPr>
              <w:pStyle w:val="Other0"/>
              <w:spacing w:line="240" w:lineRule="auto"/>
              <w:ind w:firstLine="0"/>
              <w:rPr>
                <w:sz w:val="26"/>
                <w:szCs w:val="26"/>
              </w:rPr>
            </w:pPr>
            <w:r>
              <w:rPr>
                <w:rFonts w:ascii="Arial" w:eastAsia="Arial" w:hAnsi="Arial" w:cs="Arial"/>
                <w:b/>
                <w:bCs/>
                <w:w w:val="70"/>
                <w:sz w:val="26"/>
                <w:szCs w:val="26"/>
              </w:rPr>
              <w:t>el producto</w:t>
            </w:r>
          </w:p>
        </w:tc>
      </w:tr>
      <w:tr w:rsidR="00D03C17" w14:paraId="09B3BD60" w14:textId="77777777">
        <w:tblPrEx>
          <w:tblCellMar>
            <w:top w:w="0" w:type="dxa"/>
            <w:bottom w:w="0" w:type="dxa"/>
          </w:tblCellMar>
        </w:tblPrEx>
        <w:trPr>
          <w:trHeight w:hRule="exact" w:val="859"/>
          <w:jc w:val="center"/>
        </w:trPr>
        <w:tc>
          <w:tcPr>
            <w:tcW w:w="2227" w:type="dxa"/>
            <w:gridSpan w:val="2"/>
            <w:shd w:val="clear" w:color="auto" w:fill="231F20"/>
          </w:tcPr>
          <w:p w14:paraId="2EFB3064" w14:textId="77777777" w:rsidR="00D03C17" w:rsidRDefault="00D03C17">
            <w:pPr>
              <w:pStyle w:val="Other0"/>
              <w:pBdr>
                <w:top w:val="single" w:sz="0" w:space="0" w:color="231F20"/>
                <w:left w:val="single" w:sz="0" w:space="0" w:color="231F20"/>
                <w:bottom w:val="single" w:sz="0" w:space="0" w:color="231F20"/>
                <w:right w:val="single" w:sz="0" w:space="0" w:color="231F20"/>
              </w:pBdr>
              <w:shd w:val="clear" w:color="auto" w:fill="231F20"/>
              <w:spacing w:line="259" w:lineRule="auto"/>
              <w:ind w:firstLine="0"/>
              <w:rPr>
                <w:sz w:val="24"/>
                <w:szCs w:val="24"/>
              </w:rPr>
            </w:pPr>
            <w:r>
              <w:rPr>
                <w:rFonts w:ascii="Arial" w:eastAsia="Arial" w:hAnsi="Arial" w:cs="Arial"/>
                <w:b/>
                <w:bCs/>
                <w:color w:val="FFFFFF"/>
                <w:w w:val="70"/>
                <w:sz w:val="24"/>
                <w:szCs w:val="24"/>
              </w:rPr>
              <w:t>Resultado de prueba no treponémica (como VDRL, RPR, ART)</w:t>
            </w:r>
          </w:p>
        </w:tc>
        <w:tc>
          <w:tcPr>
            <w:tcW w:w="2313" w:type="dxa"/>
            <w:gridSpan w:val="2"/>
            <w:shd w:val="clear" w:color="auto" w:fill="231F20"/>
          </w:tcPr>
          <w:p w14:paraId="757C3335" w14:textId="77777777" w:rsidR="00D03C17" w:rsidRDefault="00D03C17">
            <w:pPr>
              <w:pStyle w:val="Other0"/>
              <w:pBdr>
                <w:top w:val="single" w:sz="0" w:space="0" w:color="231F20"/>
                <w:left w:val="single" w:sz="0" w:space="0" w:color="231F20"/>
                <w:bottom w:val="single" w:sz="0" w:space="0" w:color="231F20"/>
                <w:right w:val="single" w:sz="0" w:space="0" w:color="231F20"/>
              </w:pBdr>
              <w:shd w:val="clear" w:color="auto" w:fill="231F20"/>
              <w:spacing w:line="259" w:lineRule="auto"/>
              <w:ind w:left="140" w:firstLine="0"/>
              <w:rPr>
                <w:sz w:val="24"/>
                <w:szCs w:val="24"/>
              </w:rPr>
            </w:pPr>
            <w:r>
              <w:rPr>
                <w:rFonts w:ascii="Arial" w:eastAsia="Arial" w:hAnsi="Arial" w:cs="Arial"/>
                <w:b/>
                <w:bCs/>
                <w:color w:val="FFFFFF"/>
                <w:w w:val="70"/>
                <w:sz w:val="24"/>
                <w:szCs w:val="24"/>
              </w:rPr>
              <w:t>Resultado de estudios treponémico (como MHA-TP, FTA-ABS)</w:t>
            </w:r>
          </w:p>
        </w:tc>
        <w:tc>
          <w:tcPr>
            <w:tcW w:w="2381" w:type="dxa"/>
            <w:shd w:val="clear" w:color="auto" w:fill="231F20"/>
          </w:tcPr>
          <w:p w14:paraId="38C57203" w14:textId="77777777" w:rsidR="00D03C17" w:rsidRDefault="00D03C17">
            <w:pPr>
              <w:rPr>
                <w:sz w:val="10"/>
                <w:szCs w:val="10"/>
              </w:rPr>
            </w:pPr>
          </w:p>
        </w:tc>
      </w:tr>
      <w:tr w:rsidR="00D03C17" w14:paraId="2DA2B2A5" w14:textId="77777777">
        <w:tblPrEx>
          <w:tblCellMar>
            <w:top w:w="0" w:type="dxa"/>
            <w:bottom w:w="0" w:type="dxa"/>
          </w:tblCellMar>
        </w:tblPrEx>
        <w:trPr>
          <w:trHeight w:hRule="exact" w:val="264"/>
          <w:jc w:val="center"/>
        </w:trPr>
        <w:tc>
          <w:tcPr>
            <w:tcW w:w="1013" w:type="dxa"/>
            <w:tcBorders>
              <w:top w:val="single" w:sz="4" w:space="0" w:color="auto"/>
            </w:tcBorders>
            <w:shd w:val="clear" w:color="auto" w:fill="231F20"/>
            <w:vAlign w:val="bottom"/>
          </w:tcPr>
          <w:p w14:paraId="4F74CF03" w14:textId="77777777" w:rsidR="00D03C17" w:rsidRDefault="00D03C17">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Gestante</w:t>
            </w:r>
          </w:p>
        </w:tc>
        <w:tc>
          <w:tcPr>
            <w:tcW w:w="1214" w:type="dxa"/>
            <w:tcBorders>
              <w:top w:val="single" w:sz="4" w:space="0" w:color="auto"/>
            </w:tcBorders>
            <w:shd w:val="clear" w:color="auto" w:fill="231F20"/>
            <w:vAlign w:val="bottom"/>
          </w:tcPr>
          <w:p w14:paraId="4F367656" w14:textId="77777777" w:rsidR="00D03C17" w:rsidRDefault="00D03C17">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200"/>
              <w:rPr>
                <w:sz w:val="24"/>
                <w:szCs w:val="24"/>
              </w:rPr>
            </w:pPr>
            <w:r>
              <w:rPr>
                <w:rFonts w:ascii="Arial" w:eastAsia="Arial" w:hAnsi="Arial" w:cs="Arial"/>
                <w:b/>
                <w:bCs/>
                <w:color w:val="FFFFFF"/>
                <w:w w:val="70"/>
                <w:sz w:val="24"/>
                <w:szCs w:val="24"/>
              </w:rPr>
              <w:t>Producto</w:t>
            </w:r>
          </w:p>
        </w:tc>
        <w:tc>
          <w:tcPr>
            <w:tcW w:w="1214" w:type="dxa"/>
            <w:tcBorders>
              <w:top w:val="single" w:sz="4" w:space="0" w:color="auto"/>
            </w:tcBorders>
            <w:shd w:val="clear" w:color="auto" w:fill="231F20"/>
            <w:vAlign w:val="bottom"/>
          </w:tcPr>
          <w:p w14:paraId="7766AFAF" w14:textId="77777777" w:rsidR="00D03C17" w:rsidRDefault="00D03C17">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Gestante</w:t>
            </w:r>
          </w:p>
        </w:tc>
        <w:tc>
          <w:tcPr>
            <w:tcW w:w="1099" w:type="dxa"/>
            <w:tcBorders>
              <w:top w:val="single" w:sz="4" w:space="0" w:color="auto"/>
            </w:tcBorders>
            <w:shd w:val="clear" w:color="auto" w:fill="231F20"/>
            <w:vAlign w:val="bottom"/>
          </w:tcPr>
          <w:p w14:paraId="396EC2BD" w14:textId="77777777" w:rsidR="00D03C17" w:rsidRDefault="00D03C17">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Producto</w:t>
            </w:r>
          </w:p>
        </w:tc>
        <w:tc>
          <w:tcPr>
            <w:tcW w:w="2381" w:type="dxa"/>
            <w:shd w:val="clear" w:color="auto" w:fill="231F20"/>
            <w:vAlign w:val="bottom"/>
          </w:tcPr>
          <w:p w14:paraId="6931915E" w14:textId="77777777" w:rsidR="00D03C17" w:rsidRDefault="00D03C17">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8"/>
                <w:szCs w:val="8"/>
              </w:rPr>
            </w:pPr>
            <w:r>
              <w:rPr>
                <w:rFonts w:ascii="Arial" w:eastAsia="Arial" w:hAnsi="Arial" w:cs="Arial"/>
                <w:b/>
                <w:bCs/>
                <w:color w:val="FFFFFF"/>
                <w:w w:val="70"/>
                <w:sz w:val="24"/>
                <w:szCs w:val="24"/>
              </w:rPr>
              <w:t>Interpretación</w:t>
            </w:r>
            <w:r>
              <w:rPr>
                <w:rFonts w:ascii="Times New Roman" w:eastAsia="Times New Roman" w:hAnsi="Times New Roman" w:cs="Times New Roman"/>
                <w:color w:val="FFFFFF"/>
                <w:sz w:val="8"/>
                <w:szCs w:val="8"/>
                <w:vertAlign w:val="superscript"/>
              </w:rPr>
              <w:t>1</w:t>
            </w:r>
          </w:p>
        </w:tc>
      </w:tr>
      <w:tr w:rsidR="00D03C17" w14:paraId="5E1FD997" w14:textId="77777777">
        <w:tblPrEx>
          <w:tblCellMar>
            <w:top w:w="0" w:type="dxa"/>
            <w:bottom w:w="0" w:type="dxa"/>
          </w:tblCellMar>
        </w:tblPrEx>
        <w:trPr>
          <w:trHeight w:hRule="exact" w:val="936"/>
          <w:jc w:val="center"/>
        </w:trPr>
        <w:tc>
          <w:tcPr>
            <w:tcW w:w="1013" w:type="dxa"/>
            <w:shd w:val="clear" w:color="auto" w:fill="FFFFFF"/>
          </w:tcPr>
          <w:p w14:paraId="55AC2235"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w:t>
            </w:r>
          </w:p>
        </w:tc>
        <w:tc>
          <w:tcPr>
            <w:tcW w:w="1214" w:type="dxa"/>
            <w:shd w:val="clear" w:color="auto" w:fill="FFFFFF"/>
          </w:tcPr>
          <w:p w14:paraId="47A922EB" w14:textId="77777777" w:rsidR="00D03C17" w:rsidRDefault="00D03C17">
            <w:pPr>
              <w:pStyle w:val="Other0"/>
              <w:spacing w:line="240" w:lineRule="auto"/>
              <w:ind w:firstLine="200"/>
              <w:rPr>
                <w:sz w:val="16"/>
                <w:szCs w:val="16"/>
              </w:rPr>
            </w:pPr>
            <w:r>
              <w:rPr>
                <w:rFonts w:ascii="Times New Roman" w:eastAsia="Times New Roman" w:hAnsi="Times New Roman" w:cs="Times New Roman"/>
                <w:sz w:val="16"/>
                <w:szCs w:val="16"/>
              </w:rPr>
              <w:t>-</w:t>
            </w:r>
          </w:p>
        </w:tc>
        <w:tc>
          <w:tcPr>
            <w:tcW w:w="1214" w:type="dxa"/>
            <w:shd w:val="clear" w:color="auto" w:fill="FFFFFF"/>
          </w:tcPr>
          <w:p w14:paraId="3EAD7F24"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w:t>
            </w:r>
          </w:p>
        </w:tc>
        <w:tc>
          <w:tcPr>
            <w:tcW w:w="1099" w:type="dxa"/>
            <w:shd w:val="clear" w:color="auto" w:fill="FFFFFF"/>
          </w:tcPr>
          <w:p w14:paraId="20F365E4"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w:t>
            </w:r>
          </w:p>
        </w:tc>
        <w:tc>
          <w:tcPr>
            <w:tcW w:w="2381" w:type="dxa"/>
            <w:shd w:val="clear" w:color="auto" w:fill="FFFFFF"/>
            <w:vAlign w:val="bottom"/>
          </w:tcPr>
          <w:p w14:paraId="34989F31" w14:textId="77777777" w:rsidR="00D03C17" w:rsidRDefault="00D03C17">
            <w:pPr>
              <w:pStyle w:val="Other0"/>
              <w:spacing w:line="283" w:lineRule="auto"/>
              <w:ind w:left="200" w:hanging="200"/>
              <w:rPr>
                <w:sz w:val="16"/>
                <w:szCs w:val="16"/>
              </w:rPr>
            </w:pPr>
            <w:r>
              <w:rPr>
                <w:rFonts w:ascii="Times New Roman" w:eastAsia="Times New Roman" w:hAnsi="Times New Roman" w:cs="Times New Roman"/>
                <w:sz w:val="16"/>
                <w:szCs w:val="16"/>
              </w:rPr>
              <w:t>No hay sífilis o está en fase de incubación en la gestante o el producto o ha ocurrido el fenómeno prozona</w:t>
            </w:r>
          </w:p>
        </w:tc>
      </w:tr>
      <w:tr w:rsidR="00D03C17" w14:paraId="0CA83481" w14:textId="77777777">
        <w:tblPrEx>
          <w:tblCellMar>
            <w:top w:w="0" w:type="dxa"/>
            <w:bottom w:w="0" w:type="dxa"/>
          </w:tblCellMar>
        </w:tblPrEx>
        <w:trPr>
          <w:trHeight w:hRule="exact" w:val="1080"/>
          <w:jc w:val="center"/>
        </w:trPr>
        <w:tc>
          <w:tcPr>
            <w:tcW w:w="1013" w:type="dxa"/>
            <w:shd w:val="clear" w:color="auto" w:fill="FFFFFF"/>
          </w:tcPr>
          <w:p w14:paraId="06EB57F1"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w:t>
            </w:r>
          </w:p>
        </w:tc>
        <w:tc>
          <w:tcPr>
            <w:tcW w:w="1214" w:type="dxa"/>
            <w:shd w:val="clear" w:color="auto" w:fill="FFFFFF"/>
          </w:tcPr>
          <w:p w14:paraId="0D99631D" w14:textId="77777777" w:rsidR="00D03C17" w:rsidRDefault="00D03C17">
            <w:pPr>
              <w:pStyle w:val="Other0"/>
              <w:spacing w:line="240" w:lineRule="auto"/>
              <w:ind w:firstLine="200"/>
              <w:rPr>
                <w:sz w:val="16"/>
                <w:szCs w:val="16"/>
              </w:rPr>
            </w:pPr>
            <w:r>
              <w:rPr>
                <w:rFonts w:ascii="Times New Roman" w:eastAsia="Times New Roman" w:hAnsi="Times New Roman" w:cs="Times New Roman"/>
                <w:sz w:val="16"/>
                <w:szCs w:val="16"/>
              </w:rPr>
              <w:t>+</w:t>
            </w:r>
          </w:p>
        </w:tc>
        <w:tc>
          <w:tcPr>
            <w:tcW w:w="1214" w:type="dxa"/>
            <w:shd w:val="clear" w:color="auto" w:fill="FFFFFF"/>
          </w:tcPr>
          <w:p w14:paraId="507C099B" w14:textId="77777777" w:rsidR="00D03C17" w:rsidRDefault="00D03C17">
            <w:pPr>
              <w:rPr>
                <w:sz w:val="10"/>
                <w:szCs w:val="10"/>
              </w:rPr>
            </w:pPr>
          </w:p>
        </w:tc>
        <w:tc>
          <w:tcPr>
            <w:tcW w:w="1099" w:type="dxa"/>
            <w:shd w:val="clear" w:color="auto" w:fill="FFFFFF"/>
          </w:tcPr>
          <w:p w14:paraId="41895062" w14:textId="77777777" w:rsidR="00D03C17" w:rsidRDefault="00D03C17">
            <w:pPr>
              <w:rPr>
                <w:sz w:val="10"/>
                <w:szCs w:val="10"/>
              </w:rPr>
            </w:pPr>
          </w:p>
        </w:tc>
        <w:tc>
          <w:tcPr>
            <w:tcW w:w="2381" w:type="dxa"/>
            <w:shd w:val="clear" w:color="auto" w:fill="FFFFFF"/>
            <w:vAlign w:val="bottom"/>
          </w:tcPr>
          <w:p w14:paraId="4BDD879B" w14:textId="77777777" w:rsidR="00D03C17" w:rsidRDefault="00D03C17">
            <w:pPr>
              <w:pStyle w:val="Other0"/>
              <w:spacing w:line="283" w:lineRule="auto"/>
              <w:ind w:left="200" w:hanging="200"/>
              <w:rPr>
                <w:sz w:val="16"/>
                <w:szCs w:val="16"/>
              </w:rPr>
            </w:pPr>
            <w:r>
              <w:rPr>
                <w:rFonts w:ascii="Times New Roman" w:eastAsia="Times New Roman" w:hAnsi="Times New Roman" w:cs="Times New Roman"/>
                <w:sz w:val="16"/>
                <w:szCs w:val="16"/>
              </w:rPr>
              <w:t>No hay sífilis en la gestante (resultado positivo falso del estudio no treponémico con transferencia pasiva de anticuerpos al producto)</w:t>
            </w:r>
          </w:p>
        </w:tc>
      </w:tr>
      <w:tr w:rsidR="00D03C17" w14:paraId="7E64DEFA" w14:textId="77777777">
        <w:tblPrEx>
          <w:tblCellMar>
            <w:top w:w="0" w:type="dxa"/>
            <w:bottom w:w="0" w:type="dxa"/>
          </w:tblCellMar>
        </w:tblPrEx>
        <w:trPr>
          <w:trHeight w:hRule="exact" w:val="1517"/>
          <w:jc w:val="center"/>
        </w:trPr>
        <w:tc>
          <w:tcPr>
            <w:tcW w:w="1013" w:type="dxa"/>
            <w:shd w:val="clear" w:color="auto" w:fill="FFFFFF"/>
          </w:tcPr>
          <w:p w14:paraId="2BF3019F"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w:t>
            </w:r>
          </w:p>
        </w:tc>
        <w:tc>
          <w:tcPr>
            <w:tcW w:w="1214" w:type="dxa"/>
            <w:shd w:val="clear" w:color="auto" w:fill="FFFFFF"/>
          </w:tcPr>
          <w:p w14:paraId="2491F28D" w14:textId="77777777" w:rsidR="00D03C17" w:rsidRDefault="00D03C17">
            <w:pPr>
              <w:pStyle w:val="Other0"/>
              <w:spacing w:line="240" w:lineRule="auto"/>
              <w:ind w:firstLine="200"/>
              <w:rPr>
                <w:sz w:val="16"/>
                <w:szCs w:val="16"/>
              </w:rPr>
            </w:pPr>
            <w:r>
              <w:rPr>
                <w:rFonts w:ascii="Times New Roman" w:eastAsia="Times New Roman" w:hAnsi="Times New Roman" w:cs="Times New Roman"/>
                <w:sz w:val="16"/>
                <w:szCs w:val="16"/>
              </w:rPr>
              <w:t>+ o -</w:t>
            </w:r>
          </w:p>
        </w:tc>
        <w:tc>
          <w:tcPr>
            <w:tcW w:w="1214" w:type="dxa"/>
            <w:shd w:val="clear" w:color="auto" w:fill="FFFFFF"/>
          </w:tcPr>
          <w:p w14:paraId="0E12D122"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w:t>
            </w:r>
          </w:p>
        </w:tc>
        <w:tc>
          <w:tcPr>
            <w:tcW w:w="1099" w:type="dxa"/>
            <w:shd w:val="clear" w:color="auto" w:fill="FFFFFF"/>
          </w:tcPr>
          <w:p w14:paraId="02EDCAE4"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w:t>
            </w:r>
          </w:p>
        </w:tc>
        <w:tc>
          <w:tcPr>
            <w:tcW w:w="2381" w:type="dxa"/>
            <w:shd w:val="clear" w:color="auto" w:fill="FFFFFF"/>
            <w:vAlign w:val="bottom"/>
          </w:tcPr>
          <w:p w14:paraId="778D2F84" w14:textId="77777777" w:rsidR="00D03C17" w:rsidRDefault="00D03C17">
            <w:pPr>
              <w:pStyle w:val="Other0"/>
              <w:spacing w:line="283" w:lineRule="auto"/>
              <w:ind w:left="200" w:hanging="200"/>
              <w:rPr>
                <w:sz w:val="16"/>
                <w:szCs w:val="16"/>
              </w:rPr>
            </w:pPr>
            <w:r>
              <w:rPr>
                <w:rFonts w:ascii="Times New Roman" w:eastAsia="Times New Roman" w:hAnsi="Times New Roman" w:cs="Times New Roman"/>
                <w:sz w:val="16"/>
                <w:szCs w:val="16"/>
              </w:rPr>
              <w:t>Sífilis de la gestante con posible infección al producto; la madre recibió tratamiento contra la sífilis durante el embarazo; o la gestante tiene sífilis latente con posible infección del producto</w:t>
            </w:r>
            <w:r>
              <w:rPr>
                <w:rFonts w:ascii="Times New Roman" w:eastAsia="Times New Roman" w:hAnsi="Times New Roman" w:cs="Times New Roman"/>
                <w:sz w:val="16"/>
                <w:szCs w:val="16"/>
                <w:vertAlign w:val="superscript"/>
              </w:rPr>
              <w:t>2</w:t>
            </w:r>
          </w:p>
        </w:tc>
      </w:tr>
      <w:tr w:rsidR="00D03C17" w14:paraId="5B9CDDC9" w14:textId="77777777">
        <w:tblPrEx>
          <w:tblCellMar>
            <w:top w:w="0" w:type="dxa"/>
            <w:bottom w:w="0" w:type="dxa"/>
          </w:tblCellMar>
        </w:tblPrEx>
        <w:trPr>
          <w:trHeight w:hRule="exact" w:val="653"/>
          <w:jc w:val="center"/>
        </w:trPr>
        <w:tc>
          <w:tcPr>
            <w:tcW w:w="1013" w:type="dxa"/>
            <w:shd w:val="clear" w:color="auto" w:fill="FFFFFF"/>
          </w:tcPr>
          <w:p w14:paraId="7ECB0FAF"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w:t>
            </w:r>
          </w:p>
        </w:tc>
        <w:tc>
          <w:tcPr>
            <w:tcW w:w="1214" w:type="dxa"/>
            <w:shd w:val="clear" w:color="auto" w:fill="FFFFFF"/>
          </w:tcPr>
          <w:p w14:paraId="4F2597F2" w14:textId="77777777" w:rsidR="00D03C17" w:rsidRDefault="00D03C17">
            <w:pPr>
              <w:pStyle w:val="Other0"/>
              <w:spacing w:line="240" w:lineRule="auto"/>
              <w:ind w:firstLine="200"/>
              <w:rPr>
                <w:sz w:val="16"/>
                <w:szCs w:val="16"/>
              </w:rPr>
            </w:pPr>
            <w:r>
              <w:rPr>
                <w:rFonts w:ascii="Times New Roman" w:eastAsia="Times New Roman" w:hAnsi="Times New Roman" w:cs="Times New Roman"/>
                <w:sz w:val="16"/>
                <w:szCs w:val="16"/>
              </w:rPr>
              <w:t>+</w:t>
            </w:r>
          </w:p>
        </w:tc>
        <w:tc>
          <w:tcPr>
            <w:tcW w:w="1214" w:type="dxa"/>
            <w:shd w:val="clear" w:color="auto" w:fill="FFFFFF"/>
          </w:tcPr>
          <w:p w14:paraId="704303FD"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w:t>
            </w:r>
          </w:p>
        </w:tc>
        <w:tc>
          <w:tcPr>
            <w:tcW w:w="1099" w:type="dxa"/>
            <w:shd w:val="clear" w:color="auto" w:fill="FFFFFF"/>
          </w:tcPr>
          <w:p w14:paraId="55FD0263"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w:t>
            </w:r>
          </w:p>
        </w:tc>
        <w:tc>
          <w:tcPr>
            <w:tcW w:w="2381" w:type="dxa"/>
            <w:shd w:val="clear" w:color="auto" w:fill="FFFFFF"/>
            <w:vAlign w:val="bottom"/>
          </w:tcPr>
          <w:p w14:paraId="66516502" w14:textId="77777777" w:rsidR="00D03C17" w:rsidRDefault="00D03C17">
            <w:pPr>
              <w:pStyle w:val="Other0"/>
              <w:spacing w:line="283" w:lineRule="auto"/>
              <w:ind w:left="200" w:hanging="200"/>
              <w:rPr>
                <w:sz w:val="16"/>
                <w:szCs w:val="16"/>
              </w:rPr>
            </w:pPr>
            <w:r>
              <w:rPr>
                <w:rFonts w:ascii="Times New Roman" w:eastAsia="Times New Roman" w:hAnsi="Times New Roman" w:cs="Times New Roman"/>
                <w:sz w:val="16"/>
                <w:szCs w:val="16"/>
              </w:rPr>
              <w:t>Sífilis reciente o previa en la gestante; posible infección del producto</w:t>
            </w:r>
          </w:p>
        </w:tc>
      </w:tr>
      <w:tr w:rsidR="00D03C17" w14:paraId="6D9F9C44" w14:textId="77777777">
        <w:tblPrEx>
          <w:tblCellMar>
            <w:top w:w="0" w:type="dxa"/>
            <w:bottom w:w="0" w:type="dxa"/>
          </w:tblCellMar>
        </w:tblPrEx>
        <w:trPr>
          <w:trHeight w:hRule="exact" w:val="1814"/>
          <w:jc w:val="center"/>
        </w:trPr>
        <w:tc>
          <w:tcPr>
            <w:tcW w:w="1013" w:type="dxa"/>
            <w:tcBorders>
              <w:bottom w:val="single" w:sz="4" w:space="0" w:color="auto"/>
            </w:tcBorders>
            <w:shd w:val="clear" w:color="auto" w:fill="FFFFFF"/>
          </w:tcPr>
          <w:p w14:paraId="2BF53C9D" w14:textId="77777777" w:rsidR="00D03C17" w:rsidRDefault="00D03C17">
            <w:pPr>
              <w:rPr>
                <w:sz w:val="10"/>
                <w:szCs w:val="10"/>
              </w:rPr>
            </w:pPr>
          </w:p>
        </w:tc>
        <w:tc>
          <w:tcPr>
            <w:tcW w:w="1214" w:type="dxa"/>
            <w:tcBorders>
              <w:bottom w:val="single" w:sz="4" w:space="0" w:color="auto"/>
            </w:tcBorders>
            <w:shd w:val="clear" w:color="auto" w:fill="FFFFFF"/>
          </w:tcPr>
          <w:p w14:paraId="7A232FA5" w14:textId="77777777" w:rsidR="00D03C17" w:rsidRDefault="00D03C17">
            <w:pPr>
              <w:rPr>
                <w:sz w:val="10"/>
                <w:szCs w:val="10"/>
              </w:rPr>
            </w:pPr>
          </w:p>
        </w:tc>
        <w:tc>
          <w:tcPr>
            <w:tcW w:w="1214" w:type="dxa"/>
            <w:tcBorders>
              <w:bottom w:val="single" w:sz="4" w:space="0" w:color="auto"/>
            </w:tcBorders>
            <w:shd w:val="clear" w:color="auto" w:fill="FFFFFF"/>
          </w:tcPr>
          <w:p w14:paraId="32E7BA43"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w:t>
            </w:r>
          </w:p>
        </w:tc>
        <w:tc>
          <w:tcPr>
            <w:tcW w:w="1099" w:type="dxa"/>
            <w:tcBorders>
              <w:bottom w:val="single" w:sz="4" w:space="0" w:color="auto"/>
            </w:tcBorders>
            <w:shd w:val="clear" w:color="auto" w:fill="FFFFFF"/>
          </w:tcPr>
          <w:p w14:paraId="7EE176C6" w14:textId="77777777" w:rsidR="00D03C17" w:rsidRDefault="00D03C17">
            <w:pPr>
              <w:pStyle w:val="Other0"/>
              <w:spacing w:line="240" w:lineRule="auto"/>
              <w:ind w:firstLine="0"/>
              <w:rPr>
                <w:sz w:val="16"/>
                <w:szCs w:val="16"/>
              </w:rPr>
            </w:pPr>
            <w:r>
              <w:rPr>
                <w:rFonts w:ascii="Times New Roman" w:eastAsia="Times New Roman" w:hAnsi="Times New Roman" w:cs="Times New Roman"/>
                <w:sz w:val="16"/>
                <w:szCs w:val="16"/>
              </w:rPr>
              <w:t>+</w:t>
            </w:r>
          </w:p>
        </w:tc>
        <w:tc>
          <w:tcPr>
            <w:tcW w:w="2381" w:type="dxa"/>
            <w:tcBorders>
              <w:bottom w:val="single" w:sz="4" w:space="0" w:color="auto"/>
            </w:tcBorders>
            <w:shd w:val="clear" w:color="auto" w:fill="FFFFFF"/>
          </w:tcPr>
          <w:p w14:paraId="2A96935A" w14:textId="77777777" w:rsidR="00D03C17" w:rsidRDefault="00D03C17">
            <w:pPr>
              <w:pStyle w:val="Other0"/>
              <w:spacing w:line="283" w:lineRule="auto"/>
              <w:ind w:left="200" w:hanging="200"/>
              <w:rPr>
                <w:sz w:val="16"/>
                <w:szCs w:val="16"/>
              </w:rPr>
            </w:pPr>
            <w:r>
              <w:rPr>
                <w:rFonts w:ascii="Times New Roman" w:eastAsia="Times New Roman" w:hAnsi="Times New Roman" w:cs="Times New Roman"/>
                <w:sz w:val="16"/>
                <w:szCs w:val="16"/>
              </w:rPr>
              <w:t>Gestante tratada satisfactoriamente contra sífilis antes del embarazo o en sus comienzos o gestante con enfermedad de Lyme, frambesia o pinta (es decir, un resultado positivo falso de estudios serológicos)</w:t>
            </w:r>
          </w:p>
        </w:tc>
      </w:tr>
    </w:tbl>
    <w:p w14:paraId="1F3ABBDD" w14:textId="77777777" w:rsidR="00D03C17" w:rsidRDefault="00D03C17">
      <w:pPr>
        <w:pStyle w:val="Tablecaption0"/>
        <w:ind w:left="82"/>
      </w:pPr>
      <w:r>
        <w:t xml:space="preserve">VDRL, </w:t>
      </w:r>
      <w:r>
        <w:rPr>
          <w:i/>
          <w:iCs/>
        </w:rPr>
        <w:t>Venerai Disease Research laboratory;</w:t>
      </w:r>
      <w:r>
        <w:t xml:space="preserve"> RPR, reagina plasmática rápida </w:t>
      </w:r>
      <w:r>
        <w:rPr>
          <w:i/>
          <w:iCs/>
        </w:rPr>
        <w:t>(rapidplasma reagin);</w:t>
      </w:r>
      <w:r>
        <w:t xml:space="preserve"> ART, prueba de reagina automatizada </w:t>
      </w:r>
      <w:r>
        <w:rPr>
          <w:i/>
          <w:iCs/>
        </w:rPr>
        <w:t>(automated reagin test);</w:t>
      </w:r>
      <w:r>
        <w:t xml:space="preserve"> MHA-TP, prueba de microhemaglutinación de Treponema pallidum </w:t>
      </w:r>
      <w:r>
        <w:rPr>
          <w:i/>
          <w:iCs/>
        </w:rPr>
        <w:t>(microhemagglutination test for Treponema pallidum);</w:t>
      </w:r>
      <w:r>
        <w:t xml:space="preserve"> FTA-ABS, absorción de anticuerpos fluorescentes contra treponemas; +, reactiva; -, no reactiva.</w:t>
      </w:r>
    </w:p>
    <w:p w14:paraId="2B45DB23" w14:textId="77777777" w:rsidR="00D03C17" w:rsidRDefault="00D03C17">
      <w:pPr>
        <w:pStyle w:val="Tablecaption0"/>
        <w:numPr>
          <w:ilvl w:val="0"/>
          <w:numId w:val="106"/>
        </w:numPr>
        <w:tabs>
          <w:tab w:val="left" w:pos="70"/>
        </w:tabs>
        <w:ind w:left="82"/>
      </w:pPr>
      <w:r>
        <w:t>El cuadro es una guía y no una interpretación definitiva de los resultados de estudios serológicos de sífilis en las gestantes y sus neonatos. Los antecedentes de la gestante constituyen el aspecto más importante para interpretar los resultados de la prueba. Entre los factores que es necesario considerar está la fecha de la infección de la gestante, naturaleza y fecha del tratamiento de la mujer, títulos cuantitativos de la gestante y el producto y medición seriada de los títulos de pruebas no treponémicas en la madre y el lactante.</w:t>
      </w:r>
    </w:p>
    <w:p w14:paraId="31F49CFD" w14:textId="77777777" w:rsidR="00D03C17" w:rsidRDefault="00D03C17">
      <w:pPr>
        <w:pStyle w:val="Tablecaption0"/>
        <w:numPr>
          <w:ilvl w:val="0"/>
          <w:numId w:val="106"/>
        </w:numPr>
        <w:tabs>
          <w:tab w:val="left" w:pos="79"/>
        </w:tabs>
        <w:ind w:left="82"/>
      </w:pPr>
      <w:r>
        <w:t>Las gestantes con sífilis latente pueden mostrar falta de reactividad en los resultados de métodos no treponémicos.</w:t>
      </w:r>
    </w:p>
    <w:p w14:paraId="1037767F" w14:textId="77777777" w:rsidR="00D03C17" w:rsidRDefault="00D03C17">
      <w:pPr>
        <w:spacing w:after="559" w:line="1" w:lineRule="exact"/>
      </w:pPr>
    </w:p>
    <w:p w14:paraId="3AC99EC8" w14:textId="77777777" w:rsidR="00D03C17" w:rsidRDefault="00D03C17">
      <w:pPr>
        <w:pStyle w:val="BodyText"/>
        <w:ind w:firstLine="0"/>
      </w:pPr>
      <w:r>
        <w:t>en LCR, para detectar neurosífilis. Ante la enorme variación de los valores normales en el número de leucocitos y en la concentración de proteína en el LCR del neonato, la interpretación puede ser difícil. Se podrían considerar como normales el número de leucocitos incluso de 25 células/ml y una concentración de proteínas mayor de 150 mg/ 100 ml, pero algunos expertos recomiendan que deben considerarse como los límites superiores de lo normal los siguientes parámetros: recuento leucocítico de 5 células/ml de concentración de proteínas de 40 mg/100 ml. El resultado negativo de las pruebas VDRL o FTA-ABS de LCR no descarta la existencia de neurosífilis congénita y es una de las razones por las que los productos con sífilis congénita probada o probable necesitan 10 días de tratamiento parenteral con penicilina G, sean cuales sean los resultados de los estudios con el líquido cefalorraquídeo.</w:t>
      </w:r>
    </w:p>
    <w:p w14:paraId="63DD44C8" w14:textId="77777777" w:rsidR="00D03C17" w:rsidRDefault="00D03C17">
      <w:pPr>
        <w:pStyle w:val="BodyText"/>
        <w:ind w:firstLine="0"/>
      </w:pPr>
      <w:r>
        <w:rPr>
          <w:b/>
          <w:bCs/>
        </w:rPr>
        <w:t>T</w:t>
      </w:r>
      <w:r>
        <w:rPr>
          <w:b/>
          <w:bCs/>
          <w:sz w:val="13"/>
          <w:szCs w:val="13"/>
        </w:rPr>
        <w:t>RATAMIENTO</w:t>
      </w:r>
      <w:r>
        <w:rPr>
          <w:b/>
          <w:bCs/>
        </w:rPr>
        <w:t>:</w:t>
      </w:r>
      <w:r>
        <w:rPr>
          <w:b/>
          <w:bCs/>
        </w:rPr>
        <w:footnoteReference w:id="41"/>
      </w:r>
      <w:r>
        <w:rPr>
          <w:b/>
          <w:bCs/>
        </w:rPr>
        <w:t xml:space="preserve"> </w:t>
      </w:r>
      <w:r>
        <w:t>La penicilina G parenteral sigue siendo el fármaco preferido para tratar la sífilis en cualquier etapa. Las recomendaciones de su uso y la duración del tratamiento son variables según la etapa de la enfermedad y las manifestaciones clínicas. La penicilina G parenteral constituye el único fármaco eficaz corroborado para niños con neurosífilis, sífilis congénita o en caso de sífilis durante el embarazo y se recomienda decididamente en personas infectadas por VIH. Los pacientes mencionados deben recibir siempre penicilina, incluso si se necesita desensibilización por alergia a ese antibiótico. Si es imposible administrar penicilina G, se puede conseguir recomendaciones de otros tratamientos en la página web (</w:t>
      </w:r>
      <w:hyperlink r:id="rId432" w:history="1">
        <w:r>
          <w:t>www.cdc.gov/nchstp/dstd/penicillinG.htm</w:t>
        </w:r>
      </w:hyperlink>
      <w:r>
        <w:t>).</w:t>
      </w:r>
    </w:p>
    <w:p w14:paraId="3AA49C9A" w14:textId="77777777" w:rsidR="00D03C17" w:rsidRDefault="00D03C17">
      <w:pPr>
        <w:pStyle w:val="BodyText"/>
        <w:spacing w:line="276" w:lineRule="auto"/>
        <w:ind w:firstLine="360"/>
      </w:pPr>
      <w:r>
        <w:rPr>
          <w:rFonts w:ascii="Arial" w:eastAsia="Arial" w:hAnsi="Arial" w:cs="Arial"/>
          <w:b/>
          <w:bCs/>
          <w:i/>
          <w:iCs/>
          <w:sz w:val="15"/>
          <w:szCs w:val="15"/>
        </w:rPr>
        <w:t>Alergia a la penicilina.</w:t>
      </w:r>
      <w:r>
        <w:t xml:space="preserve"> Por medio de pruebas cutáneas para detectar hipersensibilidad a la penicilina con los determinantes mayor y menor es posible identificar con certeza a niños expuestos a gran riesgo de reaccionar a la penicilina; en la actualidad en el comercio se practican las pruebas con el determinante mayor (benzilpiniciloil poli-L-lisina) y penicilina G, en la piel. Se ha calculado que con el uso del determinante mayor de penicilina G no se identifica a 3 a 6% de pacientes alérgicos a la penicilina que están expuestos a grave peligro de mostrar reacciones graves o letales. De este modo, conviene seguir una estrategia cauta con el uso de la penicilina cuando es imposible someter al paciente a pruebas con todos los reactivos penicilínicos usados en cutirreacciones. Se cuenta con un protocolo de desensibilización oral o intravenosa para personas con positividad de las pruebas cutáneas, y debe realizarse dentro de hospitales.* Se considera que la desensibilización oral es más segura y más fácil. La desensibilización por lo común se completa en unas 4 h, después de usar la primera dosis de penicilina.</w:t>
      </w:r>
    </w:p>
    <w:p w14:paraId="581881A8" w14:textId="77777777" w:rsidR="00D03C17" w:rsidRDefault="00D03C17">
      <w:pPr>
        <w:pStyle w:val="BodyText"/>
        <w:spacing w:line="276" w:lineRule="auto"/>
        <w:ind w:firstLine="360"/>
      </w:pPr>
      <w:r>
        <w:rPr>
          <w:rFonts w:ascii="Arial" w:eastAsia="Arial" w:hAnsi="Arial" w:cs="Arial"/>
          <w:b/>
          <w:bCs/>
          <w:i/>
          <w:iCs/>
          <w:sz w:val="15"/>
          <w:szCs w:val="15"/>
        </w:rPr>
        <w:t>Sífilis congénita: neonatos (véase cuadro 3-65).</w:t>
      </w:r>
      <w:r>
        <w:t xml:space="preserve"> Se emprenderá tratamiento de la sífilis congénita de lactantes si tienen enfermedad probada o probable demostrada por alguno de los factores siguientes o varios de ellos: 1) signos físicos, de laboratorio o radiográficos de enfermedad activa; 2) resultados positivos en placenta o cordón umbilical, es decir presencia de treponemas, por medio de la tinción DFA-TP o el estudio en campo oscuro; 3) un resultado reactivo en la aplicación de la prueba VDRL en líquido cefalorraquídeo; o 4) un título sérico cuantitativo de prueba no treponémica como mínimo o cuatro veces mayor que el título de la madre, con empleo de la misma prueba y de preferencia el mismo laboratorio. Si el título de la gestante es cuatro veces mayor que el de su hijo, aún puede haber sífilis congénita. Cuando se justifica valorar a un neonato en busca de sífilis congénita (véase “Valoración de neonatos en busca de infecciones congénitas”, páginas anteriores en este resumen), el pequeño debe recibir tratamiento si los resultados no descartan la infección, si es imposible valorar exhaustivamente al lactante o si no se puede asegurar que se hará vigilancia adecuada.</w:t>
      </w:r>
    </w:p>
    <w:p w14:paraId="3F32EF56" w14:textId="77777777" w:rsidR="00D03C17" w:rsidRDefault="00D03C17">
      <w:pPr>
        <w:pStyle w:val="BodyText"/>
        <w:ind w:firstLine="360"/>
      </w:pPr>
      <w:r>
        <w:t>En neonatos con enfermedad probada o probable se prefiere usar penicilina G cristalina acuosa. Su dosis se basará en la edad cronológica y no en la gestacional (cuadro 3-65). Como otra posibilidad, algunos expertos recomiendan la penicilina G procaínica para tratar la sífilis congénita; sin embargo, con tal régimen tal vez no se alcancen concentraciones adecuadas en LCR. Si se omitieron más de un día de tratamiento habrá que iniciar de nuevo el ciclo completo. No se han publicado datos a favor del uso de ampicilina para tratar la sífilis congénita.</w:t>
      </w:r>
    </w:p>
    <w:p w14:paraId="20147FE6" w14:textId="77777777" w:rsidR="00D03C17" w:rsidRDefault="00D03C17">
      <w:pPr>
        <w:pStyle w:val="BodyText"/>
        <w:ind w:firstLine="360"/>
      </w:pPr>
      <w:r>
        <w:t>Los lactantes asintomáticos están expuestos al riesgo mínimo de sífilis: 1) si son hijos de madres que recibieron penicilinoterapia adecuada contra la sífilis, con un lapso mayor de cuatro semanas antes del parto; 2) si la gestante mostró una respuesta serológica apropiada al tratamiento (en la sífilis temprana o de “título alto”, un decremento corroborado del cuádruple o más en los títulos de VDRL, RPR o ART o en caso de sífilis latente con bajos títulos, los títulos permanecieron estables y en bajo nivel); 3) los pequeños mostraron un título de las pruebas serológicas cuantitativas no treponémicas igual o menor que cuatro veces el título de la madre; y 4) la gestante no mostró signos de la infección o recaída. Tal vez no se necesite una serie de pruebas completas, pero los lactantes en cuestión deben ser revisados con gran cuidado, de preferencia cada mes hasta que se advierta negatividad en los resultados de pruebas serológicas no treponémicas. Si todo lo anterior no pudo realizarse, muchos expertos tratarían a los lactantes en cuestión con una sola inyección de penicilina G benzatínica.</w:t>
      </w:r>
    </w:p>
    <w:p w14:paraId="4D7B633C" w14:textId="77777777" w:rsidR="00D03C17" w:rsidRDefault="00D03C17">
      <w:pPr>
        <w:pStyle w:val="BodyText"/>
        <w:ind w:firstLine="360"/>
      </w:pPr>
      <w:r>
        <w:t>Los pequeños hijos de madres que no recibieron tratamiento o que recibieron terapia inadecuada contra la sífilis necesitan ser considerados en forma especial. Se considera como inadecuado el tratamiento contra la sífilis en la gestante si: 1) se desconoce la dosis de penicilina que ella recibió, no se documentó o se hizo en forma inadecuada; 2) la mujer recibió eritromicina o cualquier otro régimen no penicilínico durante el embarazo, contra sífilis; 3) el tratamiento se emprendió en término de 30 días de haber nacido el pequeño; o 4) no se ha definido la respuesta de la gestante al tratamiento de la sífilis temprana o de títulos altos, al demostrar un decremento cuádruple del título, por medio de métodos serológicos no treponémicos contra sífilis.</w:t>
      </w:r>
    </w:p>
    <w:p w14:paraId="119AD5FB" w14:textId="77777777" w:rsidR="00D03C17" w:rsidRDefault="00D03C17">
      <w:pPr>
        <w:pStyle w:val="BodyText"/>
        <w:ind w:firstLine="360"/>
        <w:sectPr w:rsidR="00D03C17" w:rsidSect="00D03C17">
          <w:headerReference w:type="even" r:id="rId433"/>
          <w:headerReference w:type="default" r:id="rId434"/>
          <w:footerReference w:type="even" r:id="rId435"/>
          <w:footerReference w:type="default" r:id="rId436"/>
          <w:footnotePr>
            <w:numFmt w:val="chicago"/>
          </w:footnotePr>
          <w:pgSz w:w="8501" w:h="13022"/>
          <w:pgMar w:top="701" w:right="814" w:bottom="469" w:left="765" w:header="0" w:footer="3" w:gutter="0"/>
          <w:pgNumType w:start="613"/>
          <w:cols w:space="720"/>
          <w:noEndnote/>
          <w:docGrid w:linePitch="360"/>
          <w15:footnoteColumns w:val="1"/>
        </w:sectPr>
      </w:pPr>
      <w:r>
        <w:t>Los pequeños asintomáticos cuyo título serológico no treponémico cuantitativo es igual o menos de cuatro tantos que el título de su madre y nacieron de mujeres que no recibieron tratamiento, o quienes recibieron terapia inadecuada (definidos por uno o más de los criterios) deben ser valorados plenamente, y en su estudio se incluirá el examen de líquido cefalorraquídeo (véase “Valoración de neonatos en busca de infección congénita”, páginas anteriores en este resumen). Algunos expertos los tratarían con penicilina G cristalina acuosa (penicilina G procaínica acuosa) durante 10 días, porque mediante la exploración física y los resultados de estudios de laboratorio es imposible descartar con certeza la presencia de la enfermedad en todos los casos. Sin embargo, si los datos de exploración física del producto, que incluya el estudio oftalmológico, los signos de LCR, las radiografías de huesos largos y tórax y las hematimetrías completa, así como el recuento plaquetario, son normales, algunos expertos tratarían a los lactantes en las circunstancias específicas señaladas en el cuadro 3-65 con una sola dosis de penicilina G benzatínica (50 000 U/kg por vía intramuscular). En el caso en que no se ha demostrado la respuesta de la madre al tratamiento, pero ella recibió el régimen de penicilinoterapia apropiada por más de un mes antes del parto, la valoración del pequeño es normal y se puede asegurar la vigilancia clínica y serológica, algunos expertos aplicarían una sola dosis de penicilina G benzatínica y seguirían observando al pequeño.</w:t>
      </w:r>
    </w:p>
    <w:p w14:paraId="7C0FC836" w14:textId="77777777" w:rsidR="00D03C17" w:rsidRDefault="00D03C17">
      <w:pPr>
        <w:pStyle w:val="Heading31"/>
        <w:keepNext/>
        <w:keepLines/>
        <w:spacing w:after="40" w:line="211" w:lineRule="auto"/>
        <w:jc w:val="center"/>
      </w:pPr>
      <w:bookmarkStart w:id="411" w:name="bookmark1417"/>
      <w:bookmarkStart w:id="412" w:name="bookmark1418"/>
      <w:bookmarkStart w:id="413" w:name="bookmark1419"/>
      <w:r>
        <w:rPr>
          <w:b w:val="0"/>
          <w:bCs w:val="0"/>
        </w:rPr>
        <w:t xml:space="preserve">Cuadro 3-65. </w:t>
      </w:r>
      <w:r>
        <w:t>Tratamiento recomendado de neonatos (cuatro semanas de vida o menos)</w:t>
      </w:r>
      <w:r>
        <w:br/>
        <w:t>con sífilis congénita probada o posible</w:t>
      </w:r>
      <w:bookmarkEnd w:id="411"/>
      <w:bookmarkEnd w:id="412"/>
      <w:bookmarkEnd w:id="413"/>
    </w:p>
    <w:p w14:paraId="0480AB25" w14:textId="77777777" w:rsidR="00D03C17" w:rsidRDefault="00D03C17">
      <w:pPr>
        <w:pStyle w:val="Heading41"/>
        <w:keepNext/>
        <w:keepLines/>
        <w:pBdr>
          <w:top w:val="single" w:sz="0" w:space="0" w:color="231F20"/>
          <w:left w:val="single" w:sz="0" w:space="0" w:color="231F20"/>
          <w:bottom w:val="single" w:sz="0" w:space="0" w:color="231F20"/>
          <w:right w:val="single" w:sz="0" w:space="0" w:color="231F20"/>
        </w:pBdr>
        <w:shd w:val="clear" w:color="auto" w:fill="231F20"/>
        <w:ind w:left="4320"/>
        <w:rPr>
          <w:sz w:val="8"/>
          <w:szCs w:val="8"/>
        </w:rPr>
        <w:sectPr w:rsidR="00D03C17" w:rsidSect="00D03C17">
          <w:headerReference w:type="even" r:id="rId437"/>
          <w:headerReference w:type="default" r:id="rId438"/>
          <w:footerReference w:type="even" r:id="rId439"/>
          <w:footerReference w:type="default" r:id="rId440"/>
          <w:footnotePr>
            <w:numFmt w:val="chicago"/>
          </w:footnotePr>
          <w:pgSz w:w="13022" w:h="8501" w:orient="landscape"/>
          <w:pgMar w:top="1104" w:right="1041" w:bottom="328" w:left="662" w:header="676" w:footer="3" w:gutter="0"/>
          <w:pgNumType w:start="784"/>
          <w:cols w:space="720"/>
          <w:noEndnote/>
          <w:docGrid w:linePitch="360"/>
          <w15:footnoteColumns w:val="1"/>
        </w:sectPr>
      </w:pPr>
      <w:r>
        <w:rPr>
          <w:noProof/>
        </w:rPr>
        <mc:AlternateContent>
          <mc:Choice Requires="wps">
            <w:drawing>
              <wp:anchor distT="0" distB="0" distL="114300" distR="114300" simplePos="0" relativeHeight="251682816" behindDoc="0" locked="0" layoutInCell="1" allowOverlap="1" wp14:anchorId="77C73EC8" wp14:editId="31C0895A">
                <wp:simplePos x="0" y="0"/>
                <wp:positionH relativeFrom="page">
                  <wp:posOffset>423545</wp:posOffset>
                </wp:positionH>
                <wp:positionV relativeFrom="paragraph">
                  <wp:posOffset>12700</wp:posOffset>
                </wp:positionV>
                <wp:extent cx="746760" cy="189230"/>
                <wp:effectExtent l="0" t="0" r="0" b="0"/>
                <wp:wrapSquare wrapText="right"/>
                <wp:docPr id="1857" name="Shape 1857"/>
                <wp:cNvGraphicFramePr/>
                <a:graphic xmlns:a="http://schemas.openxmlformats.org/drawingml/2006/main">
                  <a:graphicData uri="http://schemas.microsoft.com/office/word/2010/wordprocessingShape">
                    <wps:wsp>
                      <wps:cNvSpPr txBox="1"/>
                      <wps:spPr>
                        <a:xfrm>
                          <a:off x="0" y="0"/>
                          <a:ext cx="746760" cy="189230"/>
                        </a:xfrm>
                        <a:prstGeom prst="rect">
                          <a:avLst/>
                        </a:prstGeom>
                        <a:noFill/>
                      </wps:spPr>
                      <wps:txbx>
                        <w:txbxContent>
                          <w:p w14:paraId="7E403943" w14:textId="77777777" w:rsidR="00D03C17" w:rsidRDefault="00D03C17">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Estado clínico</w:t>
                            </w:r>
                          </w:p>
                        </w:txbxContent>
                      </wps:txbx>
                      <wps:bodyPr wrap="none" lIns="0" tIns="0" rIns="0" bIns="0"/>
                    </wps:wsp>
                  </a:graphicData>
                </a:graphic>
              </wp:anchor>
            </w:drawing>
          </mc:Choice>
          <mc:Fallback>
            <w:pict>
              <v:shape w14:anchorId="77C73EC8" id="Shape 1857" o:spid="_x0000_s1049" type="#_x0000_t202" style="position:absolute;left:0;text-align:left;margin-left:33.35pt;margin-top:1pt;width:58.8pt;height:14.9pt;z-index:251682816;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" filled="f" stroked="f">
                <v:textbox inset="0,0,0,0">
                  <w:txbxContent>
                    <w:p w14:paraId="7E403943" w14:textId="77777777" w:rsidR="00D03C17" w:rsidRDefault="00D03C17">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Estado clínico</w:t>
                      </w:r>
                    </w:p>
                  </w:txbxContent>
                </v:textbox>
                <w10:wrap type="square" side="right" anchorx="page"/>
              </v:shape>
            </w:pict>
          </mc:Fallback>
        </mc:AlternateContent>
      </w:r>
      <w:bookmarkStart w:id="414" w:name="bookmark1420"/>
      <w:bookmarkStart w:id="415" w:name="bookmark1421"/>
      <w:bookmarkStart w:id="416" w:name="bookmark1422"/>
      <w:r>
        <w:rPr>
          <w:color w:val="FFFFFF"/>
        </w:rPr>
        <w:t>Terapia antimicrobiana</w:t>
      </w:r>
      <w:r>
        <w:rPr>
          <w:rFonts w:ascii="Times New Roman" w:eastAsia="Times New Roman" w:hAnsi="Times New Roman" w:cs="Times New Roman"/>
          <w:b w:val="0"/>
          <w:bCs w:val="0"/>
          <w:color w:val="FFFFFF"/>
          <w:w w:val="100"/>
          <w:sz w:val="8"/>
          <w:szCs w:val="8"/>
          <w:vertAlign w:val="superscript"/>
        </w:rPr>
        <w:t>1</w:t>
      </w:r>
      <w:bookmarkEnd w:id="414"/>
      <w:bookmarkEnd w:id="415"/>
      <w:bookmarkEnd w:id="416"/>
    </w:p>
    <w:p w14:paraId="573250BB" w14:textId="77777777" w:rsidR="00D03C17" w:rsidRDefault="00D03C17">
      <w:pPr>
        <w:spacing w:line="1" w:lineRule="exact"/>
      </w:pPr>
      <w:r>
        <w:rPr>
          <w:noProof/>
        </w:rPr>
        <mc:AlternateContent>
          <mc:Choice Requires="wps">
            <w:drawing>
              <wp:anchor distT="12700" distB="304800" distL="114300" distR="114300" simplePos="0" relativeHeight="251683840" behindDoc="0" locked="0" layoutInCell="1" allowOverlap="1" wp14:anchorId="4261FD90" wp14:editId="44495C2C">
                <wp:simplePos x="0" y="0"/>
                <wp:positionH relativeFrom="page">
                  <wp:posOffset>426720</wp:posOffset>
                </wp:positionH>
                <wp:positionV relativeFrom="paragraph">
                  <wp:posOffset>2776855</wp:posOffset>
                </wp:positionV>
                <wp:extent cx="7153910" cy="938530"/>
                <wp:effectExtent l="0" t="0" r="0" b="0"/>
                <wp:wrapTopAndBottom/>
                <wp:docPr id="1859" name="Shape 1859"/>
                <wp:cNvGraphicFramePr/>
                <a:graphic xmlns:a="http://schemas.openxmlformats.org/drawingml/2006/main">
                  <a:graphicData uri="http://schemas.microsoft.com/office/word/2010/wordprocessingShape">
                    <wps:wsp>
                      <wps:cNvSpPr txBox="1"/>
                      <wps:spPr>
                        <a:xfrm>
                          <a:off x="0" y="0"/>
                          <a:ext cx="7153910" cy="938530"/>
                        </a:xfrm>
                        <a:prstGeom prst="rect">
                          <a:avLst/>
                        </a:prstGeom>
                        <a:noFill/>
                      </wps:spPr>
                      <wps:txbx>
                        <w:txbxContent>
                          <w:p w14:paraId="6DB7DDAD" w14:textId="77777777" w:rsidR="00D03C17" w:rsidRDefault="00D03C17">
                            <w:pPr>
                              <w:pStyle w:val="Bodytext20"/>
                              <w:spacing w:line="240" w:lineRule="auto"/>
                              <w:ind w:firstLine="180"/>
                              <w:jc w:val="both"/>
                              <w:rPr>
                                <w:sz w:val="15"/>
                                <w:szCs w:val="15"/>
                              </w:rPr>
                            </w:pPr>
                            <w:r>
                              <w:rPr>
                                <w:sz w:val="15"/>
                                <w:szCs w:val="15"/>
                              </w:rPr>
                              <w:t xml:space="preserve">IV, intravenosa; IM, intramuscular, LCR, líquido cefalorraquídeo; CBC, hematimetría completa </w:t>
                            </w:r>
                            <w:r>
                              <w:rPr>
                                <w:i/>
                                <w:iCs/>
                                <w:sz w:val="15"/>
                                <w:szCs w:val="15"/>
                              </w:rPr>
                              <w:t>(complete blood cell).</w:t>
                            </w:r>
                          </w:p>
                          <w:p w14:paraId="41C01528" w14:textId="77777777" w:rsidR="00D03C17" w:rsidRDefault="00D03C17">
                            <w:pPr>
                              <w:pStyle w:val="Bodytext20"/>
                              <w:numPr>
                                <w:ilvl w:val="0"/>
                                <w:numId w:val="107"/>
                              </w:numPr>
                              <w:tabs>
                                <w:tab w:val="left" w:pos="149"/>
                              </w:tabs>
                              <w:spacing w:line="470" w:lineRule="auto"/>
                              <w:jc w:val="both"/>
                              <w:rPr>
                                <w:sz w:val="15"/>
                                <w:szCs w:val="15"/>
                              </w:rPr>
                            </w:pPr>
                            <w:bookmarkStart w:id="417" w:name="bookmark1423"/>
                            <w:bookmarkEnd w:id="417"/>
                            <w:r>
                              <w:rPr>
                                <w:sz w:val="15"/>
                                <w:szCs w:val="15"/>
                              </w:rPr>
                              <w:t>Véase el texto en cuanto a detalles.</w:t>
                            </w:r>
                          </w:p>
                          <w:p w14:paraId="00F886B6" w14:textId="77777777" w:rsidR="00D03C17" w:rsidRDefault="00D03C17">
                            <w:pPr>
                              <w:pStyle w:val="Bodytext20"/>
                              <w:numPr>
                                <w:ilvl w:val="0"/>
                                <w:numId w:val="107"/>
                              </w:numPr>
                              <w:tabs>
                                <w:tab w:val="left" w:pos="173"/>
                              </w:tabs>
                              <w:spacing w:line="240" w:lineRule="auto"/>
                              <w:jc w:val="both"/>
                              <w:rPr>
                                <w:sz w:val="15"/>
                                <w:szCs w:val="15"/>
                              </w:rPr>
                            </w:pPr>
                            <w:bookmarkStart w:id="418" w:name="bookmark1424"/>
                            <w:bookmarkEnd w:id="418"/>
                            <w:r>
                              <w:rPr>
                                <w:sz w:val="15"/>
                                <w:szCs w:val="15"/>
                              </w:rPr>
                              <w:t>Si se dejó de aplicar el antibiótico por más de un día, habrá que comenzar de nuevo y seguir el ciclo completo.</w:t>
                            </w:r>
                          </w:p>
                          <w:p w14:paraId="5954AC2A" w14:textId="77777777" w:rsidR="00D03C17" w:rsidRDefault="00D03C17">
                            <w:pPr>
                              <w:pStyle w:val="Bodytext20"/>
                              <w:numPr>
                                <w:ilvl w:val="0"/>
                                <w:numId w:val="107"/>
                              </w:numPr>
                              <w:tabs>
                                <w:tab w:val="left" w:pos="168"/>
                              </w:tabs>
                              <w:spacing w:line="470" w:lineRule="auto"/>
                              <w:jc w:val="both"/>
                              <w:rPr>
                                <w:sz w:val="15"/>
                                <w:szCs w:val="15"/>
                              </w:rPr>
                            </w:pPr>
                            <w:bookmarkStart w:id="419" w:name="bookmark1425"/>
                            <w:bookmarkEnd w:id="419"/>
                            <w:r>
                              <w:rPr>
                                <w:sz w:val="15"/>
                                <w:szCs w:val="15"/>
                              </w:rPr>
                              <w:t xml:space="preserve">Se han aprobado para aplicación IM </w:t>
                            </w:r>
                            <w:r>
                              <w:rPr>
                                <w:i/>
                                <w:iCs/>
                                <w:sz w:val="15"/>
                                <w:szCs w:val="15"/>
                              </w:rPr>
                              <w:t>sólo</w:t>
                            </w:r>
                            <w:r>
                              <w:rPr>
                                <w:sz w:val="15"/>
                                <w:szCs w:val="15"/>
                              </w:rPr>
                              <w:t xml:space="preserve"> las penicilinas G benzatínica y procaínica.</w:t>
                            </w:r>
                          </w:p>
                          <w:p w14:paraId="205D9C01" w14:textId="77777777" w:rsidR="00D03C17" w:rsidRDefault="00D03C17">
                            <w:pPr>
                              <w:pStyle w:val="Bodytext20"/>
                              <w:numPr>
                                <w:ilvl w:val="0"/>
                                <w:numId w:val="107"/>
                              </w:numPr>
                              <w:tabs>
                                <w:tab w:val="left" w:pos="158"/>
                              </w:tabs>
                              <w:spacing w:line="240" w:lineRule="auto"/>
                              <w:ind w:left="180" w:hanging="180"/>
                              <w:jc w:val="both"/>
                              <w:rPr>
                                <w:sz w:val="15"/>
                                <w:szCs w:val="15"/>
                              </w:rPr>
                            </w:pPr>
                            <w:bookmarkStart w:id="420" w:name="bookmark1426"/>
                            <w:bookmarkEnd w:id="420"/>
                            <w:r>
                              <w:rPr>
                                <w:sz w:val="15"/>
                                <w:szCs w:val="15"/>
                              </w:rPr>
                              <w:t>Véase el texto en cuanto a una definición (incluye a los lactantes en quienes el título cuantitativo del estudio serológico treponémico es el mismo o menos de cuatro veces el título de la gestante). Si el seguimiento de la valoración del pequeño es anormal o no se realizó o si no son interpretables los datos del análisis de LCR, se necesitará un periodo de 10 días a base de penicilina.</w:t>
                            </w:r>
                          </w:p>
                          <w:p w14:paraId="4236A203" w14:textId="77777777" w:rsidR="00D03C17" w:rsidRDefault="00D03C17">
                            <w:pPr>
                              <w:pStyle w:val="Bodytext20"/>
                              <w:numPr>
                                <w:ilvl w:val="0"/>
                                <w:numId w:val="107"/>
                              </w:numPr>
                              <w:tabs>
                                <w:tab w:val="left" w:pos="158"/>
                              </w:tabs>
                              <w:spacing w:line="240" w:lineRule="auto"/>
                              <w:jc w:val="both"/>
                              <w:rPr>
                                <w:sz w:val="15"/>
                                <w:szCs w:val="15"/>
                              </w:rPr>
                            </w:pPr>
                            <w:bookmarkStart w:id="421" w:name="bookmark1427"/>
                            <w:bookmarkEnd w:id="421"/>
                            <w:r>
                              <w:rPr>
                                <w:sz w:val="15"/>
                                <w:szCs w:val="15"/>
                              </w:rPr>
                              <w:t>Algunos expertos no someterían a tratamiento al lactante y en vez de ello tendrían vigilancia minuciosa con estudios serológicos.</w:t>
                            </w:r>
                          </w:p>
                        </w:txbxContent>
                      </wps:txbx>
                      <wps:bodyPr lIns="0" tIns="0" rIns="0" bIns="0"/>
                    </wps:wsp>
                  </a:graphicData>
                </a:graphic>
              </wp:anchor>
            </w:drawing>
          </mc:Choice>
          <mc:Fallback>
            <w:pict>
              <v:shape w14:anchorId="4261FD90" id="Shape 1859" o:spid="_x0000_s1050" type="#_x0000_t202" style="position:absolute;margin-left:33.6pt;margin-top:218.65pt;width:563.3pt;height:73.9pt;z-index:251683840;visibility:visible;mso-wrap-style:square;mso-wrap-distance-left:9pt;mso-wrap-distance-top:1pt;mso-wrap-distance-right:9pt;mso-wrap-distance-bottom:24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" filled="f" stroked="f">
                <v:textbox inset="0,0,0,0">
                  <w:txbxContent>
                    <w:p w14:paraId="6DB7DDAD" w14:textId="77777777" w:rsidR="00D03C17" w:rsidRDefault="00D03C17">
                      <w:pPr>
                        <w:pStyle w:val="Bodytext20"/>
                        <w:spacing w:line="240" w:lineRule="auto"/>
                        <w:ind w:firstLine="180"/>
                        <w:jc w:val="both"/>
                        <w:rPr>
                          <w:sz w:val="15"/>
                          <w:szCs w:val="15"/>
                        </w:rPr>
                      </w:pPr>
                      <w:r>
                        <w:rPr>
                          <w:sz w:val="15"/>
                          <w:szCs w:val="15"/>
                        </w:rPr>
                        <w:t xml:space="preserve">IV, intravenosa; IM, intramuscular, LCR, líquido cefalorraquídeo; CBC, hematimetría completa </w:t>
                      </w:r>
                      <w:r>
                        <w:rPr>
                          <w:i/>
                          <w:iCs/>
                          <w:sz w:val="15"/>
                          <w:szCs w:val="15"/>
                        </w:rPr>
                        <w:t>(complete blood cell).</w:t>
                      </w:r>
                    </w:p>
                    <w:p w14:paraId="41C01528" w14:textId="77777777" w:rsidR="00D03C17" w:rsidRDefault="00D03C17">
                      <w:pPr>
                        <w:pStyle w:val="Bodytext20"/>
                        <w:numPr>
                          <w:ilvl w:val="0"/>
                          <w:numId w:val="107"/>
                        </w:numPr>
                        <w:tabs>
                          <w:tab w:val="left" w:pos="149"/>
                        </w:tabs>
                        <w:spacing w:line="470" w:lineRule="auto"/>
                        <w:jc w:val="both"/>
                        <w:rPr>
                          <w:sz w:val="15"/>
                          <w:szCs w:val="15"/>
                        </w:rPr>
                      </w:pPr>
                      <w:bookmarkStart w:id="422" w:name="bookmark1423"/>
                      <w:bookmarkEnd w:id="422"/>
                      <w:r>
                        <w:rPr>
                          <w:sz w:val="15"/>
                          <w:szCs w:val="15"/>
                        </w:rPr>
                        <w:t>Véase el texto en cuanto a detalles.</w:t>
                      </w:r>
                    </w:p>
                    <w:p w14:paraId="00F886B6" w14:textId="77777777" w:rsidR="00D03C17" w:rsidRDefault="00D03C17">
                      <w:pPr>
                        <w:pStyle w:val="Bodytext20"/>
                        <w:numPr>
                          <w:ilvl w:val="0"/>
                          <w:numId w:val="107"/>
                        </w:numPr>
                        <w:tabs>
                          <w:tab w:val="left" w:pos="173"/>
                        </w:tabs>
                        <w:spacing w:line="240" w:lineRule="auto"/>
                        <w:jc w:val="both"/>
                        <w:rPr>
                          <w:sz w:val="15"/>
                          <w:szCs w:val="15"/>
                        </w:rPr>
                      </w:pPr>
                      <w:bookmarkStart w:id="423" w:name="bookmark1424"/>
                      <w:bookmarkEnd w:id="423"/>
                      <w:r>
                        <w:rPr>
                          <w:sz w:val="15"/>
                          <w:szCs w:val="15"/>
                        </w:rPr>
                        <w:t>Si se dejó de aplicar el antibiótico por más de un día, habrá que comenzar de nuevo y seguir el ciclo completo.</w:t>
                      </w:r>
                    </w:p>
                    <w:p w14:paraId="5954AC2A" w14:textId="77777777" w:rsidR="00D03C17" w:rsidRDefault="00D03C17">
                      <w:pPr>
                        <w:pStyle w:val="Bodytext20"/>
                        <w:numPr>
                          <w:ilvl w:val="0"/>
                          <w:numId w:val="107"/>
                        </w:numPr>
                        <w:tabs>
                          <w:tab w:val="left" w:pos="168"/>
                        </w:tabs>
                        <w:spacing w:line="470" w:lineRule="auto"/>
                        <w:jc w:val="both"/>
                        <w:rPr>
                          <w:sz w:val="15"/>
                          <w:szCs w:val="15"/>
                        </w:rPr>
                      </w:pPr>
                      <w:bookmarkStart w:id="424" w:name="bookmark1425"/>
                      <w:bookmarkEnd w:id="424"/>
                      <w:r>
                        <w:rPr>
                          <w:sz w:val="15"/>
                          <w:szCs w:val="15"/>
                        </w:rPr>
                        <w:t xml:space="preserve">Se han aprobado para aplicación IM </w:t>
                      </w:r>
                      <w:r>
                        <w:rPr>
                          <w:i/>
                          <w:iCs/>
                          <w:sz w:val="15"/>
                          <w:szCs w:val="15"/>
                        </w:rPr>
                        <w:t>sólo</w:t>
                      </w:r>
                      <w:r>
                        <w:rPr>
                          <w:sz w:val="15"/>
                          <w:szCs w:val="15"/>
                        </w:rPr>
                        <w:t xml:space="preserve"> las penicilinas G benzatínica y procaínica.</w:t>
                      </w:r>
                    </w:p>
                    <w:p w14:paraId="205D9C01" w14:textId="77777777" w:rsidR="00D03C17" w:rsidRDefault="00D03C17">
                      <w:pPr>
                        <w:pStyle w:val="Bodytext20"/>
                        <w:numPr>
                          <w:ilvl w:val="0"/>
                          <w:numId w:val="107"/>
                        </w:numPr>
                        <w:tabs>
                          <w:tab w:val="left" w:pos="158"/>
                        </w:tabs>
                        <w:spacing w:line="240" w:lineRule="auto"/>
                        <w:ind w:left="180" w:hanging="180"/>
                        <w:jc w:val="both"/>
                        <w:rPr>
                          <w:sz w:val="15"/>
                          <w:szCs w:val="15"/>
                        </w:rPr>
                      </w:pPr>
                      <w:bookmarkStart w:id="425" w:name="bookmark1426"/>
                      <w:bookmarkEnd w:id="425"/>
                      <w:r>
                        <w:rPr>
                          <w:sz w:val="15"/>
                          <w:szCs w:val="15"/>
                        </w:rPr>
                        <w:t>Véase el texto en cuanto a una definición (incluye a los lactantes en quienes el título cuantitativo del estudio serológico treponémico es el mismo o menos de cuatro veces el título de la gestante). Si el seguimiento de la valoración del pequeño es anormal o no se realizó o si no son interpretables los datos del análisis de LCR, se necesitará un periodo de 10 días a base de penicilina.</w:t>
                      </w:r>
                    </w:p>
                    <w:p w14:paraId="4236A203" w14:textId="77777777" w:rsidR="00D03C17" w:rsidRDefault="00D03C17">
                      <w:pPr>
                        <w:pStyle w:val="Bodytext20"/>
                        <w:numPr>
                          <w:ilvl w:val="0"/>
                          <w:numId w:val="107"/>
                        </w:numPr>
                        <w:tabs>
                          <w:tab w:val="left" w:pos="158"/>
                        </w:tabs>
                        <w:spacing w:line="240" w:lineRule="auto"/>
                        <w:jc w:val="both"/>
                        <w:rPr>
                          <w:sz w:val="15"/>
                          <w:szCs w:val="15"/>
                        </w:rPr>
                      </w:pPr>
                      <w:bookmarkStart w:id="426" w:name="bookmark1427"/>
                      <w:bookmarkEnd w:id="426"/>
                      <w:r>
                        <w:rPr>
                          <w:sz w:val="15"/>
                          <w:szCs w:val="15"/>
                        </w:rPr>
                        <w:t>Algunos expertos no someterían a tratamiento al lactante y en vez de ello tendrían vigilancia minuciosa con estudios serológicos.</w:t>
                      </w:r>
                    </w:p>
                  </w:txbxContent>
                </v:textbox>
                <w10:wrap type="topAndBottom" anchorx="page"/>
              </v:shape>
            </w:pict>
          </mc:Fallback>
        </mc:AlternateContent>
      </w:r>
      <w:r>
        <w:rPr>
          <w:noProof/>
        </w:rPr>
        <mc:AlternateContent>
          <mc:Choice Requires="wps">
            <w:drawing>
              <wp:anchor distT="0" distB="0" distL="114300" distR="114300" simplePos="0" relativeHeight="251684864" behindDoc="0" locked="0" layoutInCell="1" allowOverlap="1" wp14:anchorId="4D61DC2D" wp14:editId="3E487C2B">
                <wp:simplePos x="0" y="0"/>
                <wp:positionH relativeFrom="page">
                  <wp:posOffset>7867015</wp:posOffset>
                </wp:positionH>
                <wp:positionV relativeFrom="paragraph">
                  <wp:posOffset>1447800</wp:posOffset>
                </wp:positionV>
                <wp:extent cx="121920" cy="2325370"/>
                <wp:effectExtent l="0" t="0" r="0" b="0"/>
                <wp:wrapSquare wrapText="bothSides"/>
                <wp:docPr id="1861" name="Shape 1861"/>
                <wp:cNvGraphicFramePr/>
                <a:graphic xmlns:a="http://schemas.openxmlformats.org/drawingml/2006/main">
                  <a:graphicData uri="http://schemas.microsoft.com/office/word/2010/wordprocessingShape">
                    <wps:wsp>
                      <wps:cNvSpPr txBox="1"/>
                      <wps:spPr>
                        <a:xfrm>
                          <a:off x="0" y="0"/>
                          <a:ext cx="121920" cy="2325370"/>
                        </a:xfrm>
                        <a:prstGeom prst="rect">
                          <a:avLst/>
                        </a:prstGeom>
                        <a:noFill/>
                      </wps:spPr>
                      <wps:txbx>
                        <w:txbxContent>
                          <w:p w14:paraId="1947E493" w14:textId="77777777" w:rsidR="00D03C17" w:rsidRDefault="00D03C17">
                            <w:pPr>
                              <w:pStyle w:val="Bodytext80"/>
                              <w:tabs>
                                <w:tab w:val="left" w:pos="3370"/>
                              </w:tabs>
                              <w:rPr>
                                <w:sz w:val="16"/>
                                <w:szCs w:val="16"/>
                              </w:rPr>
                            </w:pPr>
                            <w:r>
                              <w:t>SÍFILIS</w:t>
                            </w:r>
                            <w:r>
                              <w:tab/>
                            </w:r>
                            <w:r>
                              <w:rPr>
                                <w:sz w:val="16"/>
                                <w:szCs w:val="16"/>
                              </w:rPr>
                              <w:t>621</w:t>
                            </w:r>
                          </w:p>
                        </w:txbxContent>
                      </wps:txbx>
                      <wps:bodyPr vert="vert" lIns="0" tIns="0" rIns="0" bIns="0" upright="1"/>
                    </wps:wsp>
                  </a:graphicData>
                </a:graphic>
              </wp:anchor>
            </w:drawing>
          </mc:Choice>
          <mc:Fallback>
            <w:pict>
              <v:shape w14:anchorId="4D61DC2D" id="Shape 1861" o:spid="_x0000_s1051" type="#_x0000_t202" style="position:absolute;margin-left:619.45pt;margin-top:114pt;width:9.6pt;height:183.1pt;z-index:251684864;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" filled="f" stroked="f">
                <v:textbox style="layout-flow:vertical" inset="0,0,0,0">
                  <w:txbxContent>
                    <w:p w14:paraId="1947E493" w14:textId="77777777" w:rsidR="00D03C17" w:rsidRDefault="00D03C17">
                      <w:pPr>
                        <w:pStyle w:val="Bodytext80"/>
                        <w:tabs>
                          <w:tab w:val="left" w:pos="3370"/>
                        </w:tabs>
                        <w:rPr>
                          <w:sz w:val="16"/>
                          <w:szCs w:val="16"/>
                        </w:rPr>
                      </w:pPr>
                      <w:r>
                        <w:t>SÍFILIS</w:t>
                      </w:r>
                      <w:r>
                        <w:tab/>
                      </w:r>
                      <w:r>
                        <w:rPr>
                          <w:sz w:val="16"/>
                          <w:szCs w:val="16"/>
                        </w:rPr>
                        <w:t>621</w:t>
                      </w:r>
                    </w:p>
                  </w:txbxContent>
                </v:textbox>
                <w10:wrap type="square" anchorx="page"/>
              </v:shape>
            </w:pict>
          </mc:Fallback>
        </mc:AlternateContent>
      </w:r>
    </w:p>
    <w:p w14:paraId="404FE8CE" w14:textId="77777777" w:rsidR="00D03C17" w:rsidRDefault="00D03C17">
      <w:pPr>
        <w:pStyle w:val="Bodytext20"/>
        <w:spacing w:after="800" w:line="240" w:lineRule="auto"/>
      </w:pPr>
      <w:r>
        <w:t>Enfermedad probada o muy probable</w:t>
      </w:r>
      <w:r>
        <w:rPr>
          <w:vertAlign w:val="superscript"/>
        </w:rPr>
        <w:t>2</w:t>
      </w:r>
    </w:p>
    <w:p w14:paraId="54A2FCA1" w14:textId="77777777" w:rsidR="00D03C17" w:rsidRDefault="00D03C17">
      <w:pPr>
        <w:pStyle w:val="Bodytext20"/>
        <w:spacing w:line="262" w:lineRule="auto"/>
      </w:pPr>
      <w:r>
        <w:t>Asintomático: resultados normales del estudio de LCR, de CBC y recuento plaquetario y estudios radiográficos; y se tiene la certeza de cumplimiento de las visitas ulteriores, con los antecedentes terapéuticos siguientes de la gestante:</w:t>
      </w:r>
    </w:p>
    <w:p w14:paraId="0BC28582" w14:textId="77777777" w:rsidR="00D03C17" w:rsidRDefault="00D03C17">
      <w:pPr>
        <w:pStyle w:val="Bodytext20"/>
        <w:numPr>
          <w:ilvl w:val="0"/>
          <w:numId w:val="105"/>
        </w:numPr>
        <w:tabs>
          <w:tab w:val="left" w:pos="188"/>
        </w:tabs>
        <w:spacing w:after="180" w:line="262" w:lineRule="auto"/>
        <w:ind w:left="300" w:hanging="300"/>
      </w:pPr>
      <w:bookmarkStart w:id="427" w:name="bookmark1428"/>
      <w:bookmarkEnd w:id="427"/>
      <w:r>
        <w:t>a) No se hizo penicilinoterapia o fue inadecuada o no hay corroboración escrita del tratamiento</w:t>
      </w:r>
      <w:r>
        <w:rPr>
          <w:vertAlign w:val="superscript"/>
        </w:rPr>
        <w:t>4</w:t>
      </w:r>
      <w:r>
        <w:t>; b) la gestante recibió eritromicina u otro régimen sin penicilina; c) la mujer fue sometida a tratamiento cuatro semanas antes del parto o un lapso más breve; d) los datos de estudios serológicos seriados en la gestante no señalan un decremento cuádruple o mayor del título de anticuerpos no treponémicos.</w:t>
      </w:r>
    </w:p>
    <w:p w14:paraId="4088779C" w14:textId="77777777" w:rsidR="00D03C17" w:rsidRDefault="00D03C17">
      <w:pPr>
        <w:pStyle w:val="Bodytext20"/>
        <w:numPr>
          <w:ilvl w:val="0"/>
          <w:numId w:val="105"/>
        </w:numPr>
        <w:tabs>
          <w:tab w:val="left" w:pos="188"/>
        </w:tabs>
        <w:spacing w:line="262" w:lineRule="auto"/>
        <w:ind w:left="300" w:hanging="300"/>
      </w:pPr>
      <w:bookmarkStart w:id="428" w:name="bookmark1429"/>
      <w:bookmarkEnd w:id="428"/>
      <w:r>
        <w:t>a) El tratamiento adecuado se hizo por un lapso que excedió de un mes antes del parto; b) los títulos no treponémicos de la gestante disminuyeron cuatro tantos después del tratamiento apropiado de la sífilis temprana y permanecieron estables y en nivel bajo en caso</w:t>
      </w:r>
    </w:p>
    <w:p w14:paraId="4E617C07" w14:textId="77777777" w:rsidR="00D03C17" w:rsidRDefault="00D03C17">
      <w:pPr>
        <w:pStyle w:val="Bodytext20"/>
        <w:spacing w:line="262" w:lineRule="auto"/>
        <w:ind w:firstLine="300"/>
      </w:pPr>
      <w:r>
        <w:t>de sífilis tardía; c) la mujer no mostró signos de reinfección o recidiva.</w:t>
      </w:r>
    </w:p>
    <w:p w14:paraId="0CE00904" w14:textId="77777777" w:rsidR="00D03C17" w:rsidRDefault="00D03C17">
      <w:pPr>
        <w:pStyle w:val="Bodytext20"/>
        <w:spacing w:line="262" w:lineRule="auto"/>
      </w:pPr>
      <w:r>
        <w:t xml:space="preserve">Penicilina G cristalina acuosa, 100 000 a 150 000 U/kg al día administrados a razón de 50 000 U/kg de peso por dosis, por vía IV cada 12 h durante los primeros 7 días de vida y cada 8 h a partir de esa fecha por un total de 10 días </w:t>
      </w:r>
      <w:r>
        <w:rPr>
          <w:b/>
          <w:bCs/>
        </w:rPr>
        <w:t>O</w:t>
      </w:r>
    </w:p>
    <w:p w14:paraId="09C68438" w14:textId="77777777" w:rsidR="00D03C17" w:rsidRDefault="00D03C17">
      <w:pPr>
        <w:pStyle w:val="Bodytext20"/>
        <w:spacing w:after="780" w:line="262" w:lineRule="auto"/>
      </w:pPr>
      <w:r>
        <w:t>Penicilina G procaínica,</w:t>
      </w:r>
      <w:r>
        <w:rPr>
          <w:vertAlign w:val="superscript"/>
        </w:rPr>
        <w:t>3</w:t>
      </w:r>
      <w:r>
        <w:t xml:space="preserve"> 50 000 U/kg por vía IM en una sola dosis durante 10 días</w:t>
      </w:r>
    </w:p>
    <w:p w14:paraId="1FCB20CD" w14:textId="77777777" w:rsidR="00D03C17" w:rsidRDefault="00D03C17">
      <w:pPr>
        <w:pStyle w:val="Bodytext20"/>
        <w:spacing w:line="262" w:lineRule="auto"/>
      </w:pPr>
      <w:r>
        <w:t>Penicilina G cristalina acuosa por vía IV durante 10 a 14 días</w:t>
      </w:r>
      <w:r>
        <w:rPr>
          <w:vertAlign w:val="superscript"/>
        </w:rPr>
        <w:t>2</w:t>
      </w:r>
    </w:p>
    <w:p w14:paraId="4EB624C0" w14:textId="77777777" w:rsidR="00D03C17" w:rsidRDefault="00D03C17">
      <w:pPr>
        <w:pStyle w:val="Bodytext20"/>
        <w:spacing w:line="262" w:lineRule="auto"/>
      </w:pPr>
      <w:r>
        <w:rPr>
          <w:b/>
          <w:bCs/>
        </w:rPr>
        <w:t>O</w:t>
      </w:r>
    </w:p>
    <w:p w14:paraId="3CACB025" w14:textId="77777777" w:rsidR="00D03C17" w:rsidRDefault="00D03C17">
      <w:pPr>
        <w:pStyle w:val="Bodytext20"/>
        <w:spacing w:line="262" w:lineRule="auto"/>
      </w:pPr>
      <w:r>
        <w:t>Penicilina G procaínica,</w:t>
      </w:r>
      <w:r>
        <w:rPr>
          <w:vertAlign w:val="superscript"/>
        </w:rPr>
        <w:t>3</w:t>
      </w:r>
      <w:r>
        <w:t xml:space="preserve"> a razón de 50 000 U/kg al día, por vía IM en una sola dosis durante 10 días</w:t>
      </w:r>
    </w:p>
    <w:p w14:paraId="47EE3F7A" w14:textId="77777777" w:rsidR="00D03C17" w:rsidRDefault="00D03C17">
      <w:pPr>
        <w:pStyle w:val="Bodytext20"/>
        <w:spacing w:line="262" w:lineRule="auto"/>
      </w:pPr>
      <w:r>
        <w:rPr>
          <w:b/>
          <w:bCs/>
        </w:rPr>
        <w:t>O</w:t>
      </w:r>
    </w:p>
    <w:p w14:paraId="1A060277" w14:textId="77777777" w:rsidR="00D03C17" w:rsidRDefault="00D03C17">
      <w:pPr>
        <w:pStyle w:val="Bodytext20"/>
        <w:spacing w:line="262" w:lineRule="auto"/>
      </w:pPr>
      <w:r>
        <w:t>Vigilancia clínica y por métodos serológicos y aplicación de una sola dosis intramuscular de penicilina G benzatínica,</w:t>
      </w:r>
      <w:r>
        <w:rPr>
          <w:vertAlign w:val="superscript"/>
        </w:rPr>
        <w:t>3</w:t>
      </w:r>
      <w:r>
        <w:t xml:space="preserve"> a razón de 50 000 U/kg</w:t>
      </w:r>
    </w:p>
    <w:p w14:paraId="73994C38" w14:textId="77777777" w:rsidR="00D03C17" w:rsidRDefault="00D03C17">
      <w:pPr>
        <w:pStyle w:val="Bodytext20"/>
        <w:spacing w:line="262" w:lineRule="auto"/>
        <w:sectPr w:rsidR="00D03C17" w:rsidSect="00D03C17">
          <w:footnotePr>
            <w:numFmt w:val="chicago"/>
          </w:footnotePr>
          <w:type w:val="continuous"/>
          <w:pgSz w:w="13022" w:h="8501" w:orient="landscape"/>
          <w:pgMar w:top="1104" w:right="1352" w:bottom="328" w:left="662" w:header="0" w:footer="3" w:gutter="0"/>
          <w:cols w:num="2" w:space="100"/>
          <w:noEndnote/>
          <w:docGrid w:linePitch="360"/>
          <w15:footnoteColumns w:val="1"/>
        </w:sectPr>
      </w:pPr>
      <w:r>
        <w:t>Vigilancia clínica y por métodos serológicos y aplicación de una sola dosis IM de penicilina G benzatínica, 50 000 U/kg de peso</w:t>
      </w:r>
      <w:r>
        <w:rPr>
          <w:vertAlign w:val="superscript"/>
        </w:rPr>
        <w:t>5</w:t>
      </w:r>
    </w:p>
    <w:p w14:paraId="5B0DFB00" w14:textId="77777777" w:rsidR="00D03C17" w:rsidRDefault="00D03C17">
      <w:pPr>
        <w:pStyle w:val="BodyText"/>
        <w:ind w:firstLine="360"/>
      </w:pPr>
      <w:r>
        <w:rPr>
          <w:rFonts w:ascii="Arial" w:eastAsia="Arial" w:hAnsi="Arial" w:cs="Arial"/>
          <w:b/>
          <w:bCs/>
          <w:i/>
          <w:iCs/>
          <w:sz w:val="15"/>
          <w:szCs w:val="15"/>
        </w:rPr>
        <w:t>Sífilis congénita: lactantes de mayor edad y niños.</w:t>
      </w:r>
      <w:r>
        <w:t xml:space="preserve"> Es difícil corroborar el diagnóstico de neurosífilis, y por ello habrá que aplicar 200 000 a 300 000 U/kg de penicilina cristalina acuosa al día, por vía intravenosa (cada 6 h), por 10 días, a todo lactante que tenga más de cuatro semanas de vida y que posiblemente muestre sífilis congénita, o que tenga ataque del sistema nervioso central. El régimen anterior también se utilizará para tratar a niños mayores de un año de vida que tienen sífilis congénita que no había sido tratada o la variante tardía de la enfermedad. Algunos expertos también sugieren aplicar a tales pacientes penicilina G benzatínica a razón de 50 000 U/kg, por vía intramuscular en tres dosis semanales después del ciclo de 10 días de penicilina cristalina acuosa por vía intravenosa. Si la persona muestra manifestaciones clínicas mínimas de la enfermedad, si su estudio del LCR es normal y mostró resultados negativos en la prueba de VDRL en líquido cefalorraquídeo, algunos expertos emprenderían tratamiento con tres dosis semanales de penicilina G benzatínica (50 000 U/kg por vía intramuscular).</w:t>
      </w:r>
    </w:p>
    <w:p w14:paraId="4263162D" w14:textId="77777777" w:rsidR="00D03C17" w:rsidRDefault="00D03C17">
      <w:pPr>
        <w:pStyle w:val="BodyText"/>
        <w:ind w:firstLine="360"/>
      </w:pPr>
      <w:r>
        <w:rPr>
          <w:rFonts w:ascii="Arial" w:eastAsia="Arial" w:hAnsi="Arial" w:cs="Arial"/>
          <w:b/>
          <w:bCs/>
          <w:i/>
          <w:iCs/>
          <w:sz w:val="15"/>
          <w:szCs w:val="15"/>
        </w:rPr>
        <w:t>Sífilis en el embarazo.</w:t>
      </w:r>
      <w:r>
        <w:t xml:space="preserve"> Sea cual sea la etapa del embarazo, la gestante debe ser tratada con penicilina con base en los planes posológicos adecuados para la etapa de la sífilis conforme a los recomendados para mujeres no embarazadas. En el caso de mujeres con sífilis adquirida en fecha temprana, algunos expertos recomiendan aplicar dos dosis de penicilina G benzatínica (de 2.4 millones de unidades cada una por vía intramuscular), con una diferencia de una semana, y no una dosis. En el caso de pacientes alérgicos a la penicilina no se cuenta con otro tratamiento probado. La embarazada con el antecedente de alergia a dicho antibiótico debe ser tratada con él después de desensibilización. En algunas personas las pruebas cutáneas pueden ser útiles. La desensibilización debe realizarse en consulta con un especialista y sólo en instituciones que cuenten con medios de auxilio en casos de emergencia (véase “Alergia a la penicilina”, páginas anteriores en este resumen).</w:t>
      </w:r>
    </w:p>
    <w:p w14:paraId="6E569AC1" w14:textId="77777777" w:rsidR="00D03C17" w:rsidRDefault="00D03C17">
      <w:pPr>
        <w:pStyle w:val="BodyText"/>
        <w:ind w:firstLine="360"/>
      </w:pPr>
      <w:r>
        <w:t>La eritromicina o cualquier otra alternativa diferente de la penicilina en la sífilis durante el embarazo no constituye una cura fiable contra la infección en el feto. Tampoco se recomienda la tetraciclina en la embarazada ante la posibilidad de que produzca efectos adversos en el producto.</w:t>
      </w:r>
    </w:p>
    <w:p w14:paraId="0B7BD939" w14:textId="77777777" w:rsidR="00D03C17" w:rsidRDefault="00D03C17">
      <w:pPr>
        <w:pStyle w:val="BodyText"/>
        <w:spacing w:line="276" w:lineRule="auto"/>
        <w:ind w:firstLine="360"/>
      </w:pPr>
      <w:r>
        <w:rPr>
          <w:rFonts w:ascii="Arial" w:eastAsia="Arial" w:hAnsi="Arial" w:cs="Arial"/>
          <w:b/>
          <w:bCs/>
          <w:i/>
          <w:iCs/>
          <w:sz w:val="15"/>
          <w:szCs w:val="15"/>
        </w:rPr>
        <w:t>Sífilis adquirida temprana (primaria, secundaria o latente temprana).</w:t>
      </w:r>
      <w:r>
        <w:t xml:space="preserve"> El tratamiento preferido para niños y adultos (cuadro 3-66) es una sola dosis intramuscular de penicilina G benzatínica. En todos los niños se hará estudio de líquido cefalorraquídeo antes del tratamiento para descartar la posibilidad de neurosífilis. Se necesita evaluar el líquido mencionado en adolescentes y adultos sólo si han surgido signos o síntomas clínicos de ataque del sistema nervioso o de los ojos. Habrá que incluir a la neurosífilis en el diagnóstico diferencial de enfermedades neurológicas en personas infectadas por virus de inmunodeficiencia humana.</w:t>
      </w:r>
    </w:p>
    <w:p w14:paraId="294923F8" w14:textId="77777777" w:rsidR="00D03C17" w:rsidRDefault="00D03C17">
      <w:pPr>
        <w:pStyle w:val="BodyText"/>
        <w:ind w:firstLine="360"/>
      </w:pPr>
      <w:r>
        <w:t>En el caso de mujeres no embarazadas alérgicas a la penicilina, habrá que administrar doxiciclina o tetraciclina durante 14 días. Los niños menores de ocho años no deben recibir ninguno de los dos antibióticos mencionados, salvo que sus beneficios sean mayores que el peligro de manchas en los dientes (véase “Antimicrobianos y fármacos similares”, sección 4). Fuera de la penicilina y las tetraciclinas no hay otros medicamentos con eficacia probada para tratar la sífilis. Algunos estudios clínicos junto con aspectos biológicos y farmacológicos sugieren que la ceftriaxona es eficaz en la sífilis temprana. No se ha definido la dosis y duración óptima de la administración de dicho antibiótico. Sin embargo, algunos expertos recomiendan la aplicación de 1 g diariamente por vías intramuscular o intravenosa durante ocho a 10 días (para adolescentes y adultos). La monoterapia con ceftriaxona sódica no es eficaz. Datos preliminares sugieren que la azitromicina dihidratada puede ser eficaz en una sola dosis ingerible de 2 g. No se ha corroborado en detalle la eficacia de los fármacos comentados, por lo que es esencial la vigilancia minuciosa. Si es imposible llevarla al cabo, especialmente en niños menores de ocho años, habrá que pensar en la posibilidad de hospitalización y desensibilización, para más adelante administrar penicilina G (véase “Alergia a la penicilina”, páginas anteriores en este resumen).</w:t>
      </w:r>
    </w:p>
    <w:p w14:paraId="75F5A6C6" w14:textId="77777777" w:rsidR="00D03C17" w:rsidRDefault="00D03C17">
      <w:pPr>
        <w:pStyle w:val="BodyText"/>
        <w:spacing w:line="276" w:lineRule="auto"/>
        <w:ind w:firstLine="360"/>
      </w:pPr>
      <w:r>
        <w:rPr>
          <w:rFonts w:ascii="Arial" w:eastAsia="Arial" w:hAnsi="Arial" w:cs="Arial"/>
          <w:b/>
          <w:bCs/>
          <w:i/>
          <w:iCs/>
          <w:sz w:val="15"/>
          <w:szCs w:val="15"/>
        </w:rPr>
        <w:t>Sífilis de más de un año de duración (excepto neurosífilis).</w:t>
      </w:r>
      <w:r>
        <w:t xml:space="preserve"> En estos casos habrá que administrar penicilina G benzatínica por vía intramuscular, en tres semanas sucesivas (cuadro 3-66). En pacientes alérgicos a penicilina, habrá que administrar doxiciclina o tetraciclina durante cuatro semanas sólo si los datos del estudio del LCR descartan la posibilidad de neurosífilis. Los niños menores de ocho años no deben recibir tetraciclina ni doxiciclina salvo que los beneficios de su uso sean mayores que los peligros de manchas en los dientes (véase “Antimicrobianos y fármacos similares”, sección 4). En caso de sospechar neurosífilis, en personas que también tienen infección por VIH, en situaciones de ineficacia terapéutica y en pacientes que reciben antimicrobianos diferentes de la penicilina, habrá que practicar prueba VDRL en líquido cefalorraquídeo, y hacer en él una prueba de concentración de proteínas y el recuento leucocítico.</w:t>
      </w:r>
    </w:p>
    <w:p w14:paraId="6C0BF748" w14:textId="77777777" w:rsidR="00D03C17" w:rsidRDefault="00D03C17">
      <w:pPr>
        <w:pStyle w:val="BodyText"/>
        <w:spacing w:line="276" w:lineRule="auto"/>
        <w:ind w:firstLine="360"/>
      </w:pPr>
      <w:r>
        <w:rPr>
          <w:rFonts w:ascii="Arial" w:eastAsia="Arial" w:hAnsi="Arial" w:cs="Arial"/>
          <w:b/>
          <w:bCs/>
          <w:i/>
          <w:iCs/>
          <w:sz w:val="15"/>
          <w:szCs w:val="15"/>
        </w:rPr>
        <w:t>Neurosífilis.</w:t>
      </w:r>
      <w:r>
        <w:t xml:space="preserve"> El régimen recomendado para adultos incluye la administración intravenosa de penicilina G cristalina acuosa durante 10 a 14 días (véase cuadro 3-66). Si hay la seguridad que el paciente cumpla con las instrucciones terapéuticas, podrá recibir otro régimen que incluye penicilina G procaínica y además probenecid durante 10 a 14 días. Algunos expertos recomiendan después de usar la combinación anterior, seguir con 2.4 millones de unidades de penicilina G benzatínica por vía intramuscular en un total de una a tres dosis semanales. En el caso de los niños conviene utilizar penicilina G cristalina acuosa durante 10 a 14 días, y algunas autoridades en la materia recomiendan administrar adicionalmente 50 000 U de penicilina G benzatínica/kg de peso por dosis (no exceder de 2.4 millones de unidades) en tres dosis semanales únicas.</w:t>
      </w:r>
    </w:p>
    <w:p w14:paraId="221A8104" w14:textId="77777777" w:rsidR="00D03C17" w:rsidRDefault="00D03C17">
      <w:pPr>
        <w:pStyle w:val="BodyText"/>
        <w:ind w:firstLine="360"/>
      </w:pPr>
      <w:r>
        <w:t>Si la persona tiene el antecedente de alergia a la penicilina habrá que pensar en desensibilizarla, y se solicitará la consulta con un especialista en la materia (véase “Alergia a la penicilina”, páginas anteriores en este resumen).</w:t>
      </w:r>
    </w:p>
    <w:p w14:paraId="6DD433AB" w14:textId="77777777" w:rsidR="00D03C17" w:rsidRDefault="00D03C17">
      <w:pPr>
        <w:pStyle w:val="Bodytext80"/>
        <w:rPr>
          <w:sz w:val="15"/>
          <w:szCs w:val="15"/>
        </w:rPr>
      </w:pPr>
      <w:r>
        <w:rPr>
          <w:b/>
          <w:bCs/>
          <w:i/>
          <w:iCs/>
          <w:sz w:val="15"/>
          <w:szCs w:val="15"/>
        </w:rPr>
        <w:t>Otras consideraciones</w:t>
      </w:r>
    </w:p>
    <w:p w14:paraId="00CF1053" w14:textId="77777777" w:rsidR="00D03C17" w:rsidRDefault="00D03C17">
      <w:pPr>
        <w:pStyle w:val="BodyText"/>
        <w:numPr>
          <w:ilvl w:val="0"/>
          <w:numId w:val="105"/>
        </w:numPr>
        <w:tabs>
          <w:tab w:val="left" w:pos="341"/>
        </w:tabs>
        <w:spacing w:line="276" w:lineRule="auto"/>
        <w:ind w:left="360" w:hanging="360"/>
      </w:pPr>
      <w:bookmarkStart w:id="429" w:name="bookmark1430"/>
      <w:bookmarkEnd w:id="429"/>
      <w:r>
        <w:t xml:space="preserve">Se necesita practicar estudios en busca de otras enfermedades de transmisión sexual </w:t>
      </w:r>
      <w:r>
        <w:rPr>
          <w:rFonts w:ascii="Times New Roman" w:eastAsia="Times New Roman" w:hAnsi="Times New Roman" w:cs="Times New Roman"/>
          <w:i/>
          <w:iCs/>
          <w:sz w:val="16"/>
          <w:szCs w:val="16"/>
        </w:rPr>
        <w:t>(sexually transmitted diseases, STD)</w:t>
      </w:r>
      <w:r>
        <w:t xml:space="preserve"> que incluyan gonorrea y </w:t>
      </w:r>
      <w:r>
        <w:rPr>
          <w:rFonts w:ascii="Times New Roman" w:eastAsia="Times New Roman" w:hAnsi="Times New Roman" w:cs="Times New Roman"/>
          <w:i/>
          <w:iCs/>
          <w:sz w:val="16"/>
          <w:szCs w:val="16"/>
        </w:rPr>
        <w:t xml:space="preserve">Chlamydia trachomatis, </w:t>
      </w:r>
      <w:r>
        <w:t>e infección por VIH y virus de hepatitis B en la madre de productos con sífilis congénita. Ante el modo de vida también dicha mujer pudiera estar en peligro de mostrar infección por virus de hepatitis C.</w:t>
      </w:r>
    </w:p>
    <w:p w14:paraId="22B1F488" w14:textId="77777777" w:rsidR="00D03C17" w:rsidRDefault="00D03C17">
      <w:pPr>
        <w:pStyle w:val="BodyText"/>
        <w:numPr>
          <w:ilvl w:val="0"/>
          <w:numId w:val="105"/>
        </w:numPr>
        <w:tabs>
          <w:tab w:val="left" w:pos="341"/>
        </w:tabs>
        <w:ind w:left="360" w:hanging="360"/>
      </w:pPr>
      <w:bookmarkStart w:id="430" w:name="bookmark1431"/>
      <w:bookmarkEnd w:id="430"/>
      <w:r>
        <w:t>Es importante buscar otras STD y sífilis en todos los contactos sexuales recientes de personas con sífilis adquirida (véase “Medidas preventivas”, más adelante).</w:t>
      </w:r>
    </w:p>
    <w:p w14:paraId="1FFEB79D" w14:textId="77777777" w:rsidR="00D03C17" w:rsidRDefault="00D03C17">
      <w:pPr>
        <w:pStyle w:val="BodyText"/>
        <w:numPr>
          <w:ilvl w:val="0"/>
          <w:numId w:val="105"/>
        </w:numPr>
        <w:tabs>
          <w:tab w:val="left" w:pos="341"/>
        </w:tabs>
        <w:ind w:left="360" w:hanging="360"/>
      </w:pPr>
      <w:bookmarkStart w:id="431" w:name="bookmark1432"/>
      <w:bookmarkEnd w:id="431"/>
      <w:r>
        <w:t>Habrá que practicar estudios en busca de otras STD, incluida la infección del VIH en todas las personas con sífilis. El paciente que ha tenido sífilis primaria debe ser sometido de nuevo a pruebas para identificar VIH después de tres meses, si el primer resultado de la detección de dicho virus no fue positivo.</w:t>
      </w:r>
    </w:p>
    <w:p w14:paraId="09D6B57A" w14:textId="77777777" w:rsidR="00D03C17" w:rsidRDefault="00D03C17">
      <w:pPr>
        <w:pStyle w:val="BodyText"/>
        <w:numPr>
          <w:ilvl w:val="0"/>
          <w:numId w:val="105"/>
        </w:numPr>
        <w:tabs>
          <w:tab w:val="left" w:pos="341"/>
        </w:tabs>
        <w:ind w:left="360" w:hanging="360"/>
        <w:sectPr w:rsidR="00D03C17" w:rsidSect="00D03C17">
          <w:headerReference w:type="even" r:id="rId441"/>
          <w:headerReference w:type="default" r:id="rId442"/>
          <w:footerReference w:type="even" r:id="rId443"/>
          <w:footerReference w:type="default" r:id="rId444"/>
          <w:headerReference w:type="first" r:id="rId445"/>
          <w:footerReference w:type="first" r:id="rId446"/>
          <w:footnotePr>
            <w:numFmt w:val="chicago"/>
          </w:footnotePr>
          <w:pgSz w:w="8501" w:h="13022"/>
          <w:pgMar w:top="936" w:right="821" w:bottom="533" w:left="811" w:header="0" w:footer="3" w:gutter="0"/>
          <w:pgNumType w:start="622"/>
          <w:cols w:space="720"/>
          <w:noEndnote/>
          <w:titlePg/>
          <w:docGrid w:linePitch="360"/>
          <w15:footnoteColumns w:val="1"/>
        </w:sectPr>
      </w:pPr>
      <w:bookmarkStart w:id="432" w:name="bookmark1433"/>
      <w:bookmarkEnd w:id="432"/>
      <w:r>
        <w:t>En el caso de personas infectadas por VIH y, además, sífilis es esencial la vigilancia cuidadosa. Los pacientes con la infección por el virus y, además, sífilis temprana pueden estar expuestos a un mayor peligro de complicaciones neurológicas y una frecuencia mayor de ineficacia terapéutica con los regímenes recomendados actualmente.</w:t>
      </w:r>
    </w:p>
    <w:p w14:paraId="0CFCC454" w14:textId="77777777" w:rsidR="00D03C17" w:rsidRDefault="00D03C17">
      <w:pPr>
        <w:pStyle w:val="Heading31"/>
        <w:keepNext/>
        <w:keepLines/>
        <w:framePr w:w="5011" w:h="322" w:wrap="none" w:hAnchor="page" w:x="3846" w:y="1"/>
      </w:pPr>
      <w:bookmarkStart w:id="433" w:name="bookmark1434"/>
      <w:bookmarkStart w:id="434" w:name="bookmark1435"/>
      <w:bookmarkStart w:id="435" w:name="bookmark1436"/>
      <w:r>
        <w:rPr>
          <w:b w:val="0"/>
          <w:bCs w:val="0"/>
        </w:rPr>
        <w:t xml:space="preserve">Cuadro 3-66. </w:t>
      </w:r>
      <w:r>
        <w:t>Tratamiento recomendado contra la sífilis</w:t>
      </w:r>
      <w:bookmarkEnd w:id="433"/>
      <w:bookmarkEnd w:id="434"/>
      <w:bookmarkEnd w:id="435"/>
    </w:p>
    <w:p w14:paraId="580492C8" w14:textId="77777777" w:rsidR="00D03C17" w:rsidRDefault="00D03C17">
      <w:pPr>
        <w:pStyle w:val="Heading41"/>
        <w:keepNext/>
        <w:keepLines/>
        <w:framePr w:w="504" w:h="298" w:wrap="none" w:hAnchor="page" w:x="3505" w:y="327"/>
        <w:pBdr>
          <w:top w:val="single" w:sz="0" w:space="0" w:color="231F20"/>
          <w:left w:val="single" w:sz="0" w:space="31" w:color="231F20"/>
          <w:bottom w:val="single" w:sz="0" w:space="0" w:color="231F20"/>
          <w:right w:val="single" w:sz="0" w:space="31" w:color="231F20"/>
        </w:pBdr>
        <w:shd w:val="clear" w:color="auto" w:fill="231F20"/>
      </w:pPr>
      <w:bookmarkStart w:id="436" w:name="bookmark1437"/>
      <w:bookmarkStart w:id="437" w:name="bookmark1438"/>
      <w:bookmarkStart w:id="438" w:name="bookmark1439"/>
      <w:r>
        <w:rPr>
          <w:color w:val="FFFFFF"/>
        </w:rPr>
        <w:t>Niños</w:t>
      </w:r>
      <w:bookmarkEnd w:id="436"/>
      <w:bookmarkEnd w:id="437"/>
      <w:bookmarkEnd w:id="438"/>
    </w:p>
    <w:p w14:paraId="427FF70F" w14:textId="77777777" w:rsidR="00D03C17" w:rsidRDefault="00D03C17">
      <w:pPr>
        <w:pStyle w:val="Heading41"/>
        <w:keepNext/>
        <w:keepLines/>
        <w:framePr w:w="658" w:h="298" w:wrap="none" w:hAnchor="page" w:x="7748" w:y="327"/>
        <w:pBdr>
          <w:top w:val="single" w:sz="0" w:space="0" w:color="231F20"/>
          <w:left w:val="single" w:sz="0" w:space="31" w:color="231F20"/>
          <w:bottom w:val="single" w:sz="0" w:space="0" w:color="231F20"/>
          <w:right w:val="single" w:sz="0" w:space="31" w:color="231F20"/>
        </w:pBdr>
        <w:shd w:val="clear" w:color="auto" w:fill="231F20"/>
      </w:pPr>
      <w:bookmarkStart w:id="439" w:name="bookmark1440"/>
      <w:bookmarkStart w:id="440" w:name="bookmark1441"/>
      <w:bookmarkStart w:id="441" w:name="bookmark1442"/>
      <w:r>
        <w:rPr>
          <w:color w:val="FFFFFF"/>
        </w:rPr>
        <w:t>Adultos</w:t>
      </w:r>
      <w:bookmarkEnd w:id="439"/>
      <w:bookmarkEnd w:id="440"/>
      <w:bookmarkEnd w:id="441"/>
    </w:p>
    <w:p w14:paraId="4235C7ED" w14:textId="77777777" w:rsidR="00D03C17" w:rsidRDefault="00D03C17">
      <w:pPr>
        <w:pStyle w:val="Bodytext20"/>
        <w:framePr w:w="2045" w:h="437" w:wrap="none" w:hAnchor="page" w:x="620" w:y="649"/>
        <w:spacing w:line="264" w:lineRule="auto"/>
      </w:pPr>
      <w:r>
        <w:rPr>
          <w:b/>
          <w:bCs/>
        </w:rPr>
        <w:t>Sífilis primaria, secundaria y latente temprana</w:t>
      </w:r>
      <w:r>
        <w:rPr>
          <w:b/>
          <w:bCs/>
          <w:vertAlign w:val="superscript"/>
        </w:rPr>
        <w:t>1</w:t>
      </w:r>
    </w:p>
    <w:p w14:paraId="2443A1E5" w14:textId="77777777" w:rsidR="00D03C17" w:rsidRDefault="00D03C17">
      <w:pPr>
        <w:pStyle w:val="Bodytext20"/>
        <w:framePr w:w="4061" w:h="638" w:wrap="none" w:hAnchor="page" w:x="3519" w:y="649"/>
        <w:spacing w:line="264" w:lineRule="auto"/>
      </w:pPr>
      <w:r>
        <w:t>Penicilina G benzatínica,2 50 000 U/kg por día IM hasta llegar a la dosis del adulto de 2.4 millones de U en una sola aplicación</w:t>
      </w:r>
    </w:p>
    <w:p w14:paraId="51A69D04" w14:textId="77777777" w:rsidR="00D03C17" w:rsidRDefault="00D03C17">
      <w:pPr>
        <w:pStyle w:val="Bodytext20"/>
        <w:framePr w:w="2184" w:h="422" w:wrap="none" w:hAnchor="page" w:x="678" w:y="2252"/>
        <w:spacing w:line="257" w:lineRule="auto"/>
        <w:jc w:val="center"/>
      </w:pPr>
      <w:r>
        <w:rPr>
          <w:b/>
          <w:bCs/>
        </w:rPr>
        <w:t>Sífilis latente tardía o latente</w:t>
      </w:r>
      <w:r>
        <w:rPr>
          <w:b/>
          <w:bCs/>
        </w:rPr>
        <w:br/>
        <w:t>de duración desconocida</w:t>
      </w:r>
    </w:p>
    <w:p w14:paraId="7FE27F96" w14:textId="77777777" w:rsidR="00D03C17" w:rsidRDefault="00D03C17">
      <w:pPr>
        <w:pStyle w:val="Bodytext20"/>
        <w:framePr w:w="4176" w:h="1022" w:wrap="none" w:hAnchor="page" w:x="3519" w:y="2252"/>
        <w:spacing w:line="259" w:lineRule="auto"/>
      </w:pPr>
      <w:r>
        <w:t>Penicilina G benzatínica, 50 000 U/kg por vía IM hasta llegar a la dosis del adulto de 2.4 millones de U, en tres dosis únicas a intervalos de una semana (total, 150 000 U/kg de peso hasta llegar a la dosis del adulto de 7.2 millones de U)</w:t>
      </w:r>
    </w:p>
    <w:p w14:paraId="2F45953B" w14:textId="77777777" w:rsidR="00D03C17" w:rsidRDefault="00D03C17">
      <w:pPr>
        <w:pStyle w:val="Bodytext20"/>
        <w:framePr w:w="1128" w:h="826" w:wrap="none" w:hAnchor="page" w:x="673" w:y="4249"/>
        <w:spacing w:after="400" w:line="240" w:lineRule="auto"/>
      </w:pPr>
      <w:r>
        <w:rPr>
          <w:b/>
          <w:bCs/>
        </w:rPr>
        <w:t>Sífilis terciaria</w:t>
      </w:r>
    </w:p>
    <w:p w14:paraId="1B7AB61A" w14:textId="77777777" w:rsidR="00D03C17" w:rsidRDefault="00D03C17">
      <w:pPr>
        <w:pStyle w:val="Bodytext20"/>
        <w:framePr w:w="1128" w:h="826" w:wrap="none" w:hAnchor="page" w:x="673" w:y="4249"/>
        <w:spacing w:line="240" w:lineRule="auto"/>
      </w:pPr>
      <w:r>
        <w:rPr>
          <w:b/>
          <w:bCs/>
        </w:rPr>
        <w:t>Neurosífilis</w:t>
      </w:r>
      <w:r>
        <w:rPr>
          <w:b/>
          <w:bCs/>
          <w:vertAlign w:val="superscript"/>
        </w:rPr>
        <w:t>3</w:t>
      </w:r>
    </w:p>
    <w:p w14:paraId="4DA8C9BA" w14:textId="77777777" w:rsidR="00D03C17" w:rsidRDefault="00D03C17">
      <w:pPr>
        <w:pStyle w:val="Bodytext20"/>
        <w:framePr w:w="4195" w:h="638" w:wrap="none" w:hAnchor="page" w:x="3519" w:y="4849"/>
        <w:spacing w:line="264" w:lineRule="auto"/>
      </w:pPr>
      <w:r>
        <w:t>Penicilina G cristalina acuosa, 200 000 a 300 000 U/kg</w:t>
      </w:r>
    </w:p>
    <w:p w14:paraId="5F4FCCF2" w14:textId="77777777" w:rsidR="00D03C17" w:rsidRDefault="00D03C17">
      <w:pPr>
        <w:pStyle w:val="Bodytext20"/>
        <w:framePr w:w="4195" w:h="638" w:wrap="none" w:hAnchor="page" w:x="3519" w:y="4849"/>
        <w:spacing w:line="264" w:lineRule="auto"/>
      </w:pPr>
      <w:r>
        <w:t>de peso al día, aplicadas cada 4 a 6 h durante 10 a 14 días en dosis que no excedan de las de los adultos</w:t>
      </w:r>
    </w:p>
    <w:p w14:paraId="13763ABB" w14:textId="77777777" w:rsidR="00D03C17" w:rsidRDefault="00D03C17">
      <w:pPr>
        <w:pStyle w:val="Bodytext20"/>
        <w:framePr w:w="4267" w:h="5635" w:wrap="none" w:hAnchor="page" w:x="7743" w:y="649"/>
        <w:spacing w:line="264" w:lineRule="auto"/>
      </w:pPr>
      <w:r>
        <w:t>Penicilina G benzatínica, 2.4 millones de U, IM, en una sola dosis</w:t>
      </w:r>
    </w:p>
    <w:p w14:paraId="39B7D11B" w14:textId="77777777" w:rsidR="00D03C17" w:rsidRDefault="00D03C17">
      <w:pPr>
        <w:pStyle w:val="Bodytext20"/>
        <w:framePr w:w="4267" w:h="5635" w:wrap="none" w:hAnchor="page" w:x="7743" w:y="649"/>
        <w:spacing w:line="264" w:lineRule="auto"/>
      </w:pPr>
      <w:r>
        <w:rPr>
          <w:b/>
          <w:bCs/>
        </w:rPr>
        <w:t>O</w:t>
      </w:r>
    </w:p>
    <w:p w14:paraId="5BDDC2FC" w14:textId="77777777" w:rsidR="00D03C17" w:rsidRDefault="00D03C17">
      <w:pPr>
        <w:pStyle w:val="Bodytext20"/>
        <w:framePr w:w="4267" w:h="5635" w:wrap="none" w:hAnchor="page" w:x="7743" w:y="649"/>
        <w:spacing w:line="264" w:lineRule="auto"/>
      </w:pPr>
      <w:r>
        <w:rPr>
          <w:i/>
          <w:iCs/>
        </w:rPr>
        <w:t xml:space="preserve">Si la persona es alérgica a la penicilina y no está embarazada </w:t>
      </w:r>
      <w:r>
        <w:t xml:space="preserve">Doxiciclina, 100 mg ingeridos dos veces al día durante 14 días </w:t>
      </w:r>
      <w:r>
        <w:rPr>
          <w:b/>
          <w:bCs/>
        </w:rPr>
        <w:t>O</w:t>
      </w:r>
    </w:p>
    <w:p w14:paraId="658E3701" w14:textId="77777777" w:rsidR="00D03C17" w:rsidRDefault="00D03C17">
      <w:pPr>
        <w:pStyle w:val="Bodytext20"/>
        <w:framePr w:w="4267" w:h="5635" w:wrap="none" w:hAnchor="page" w:x="7743" w:y="649"/>
        <w:spacing w:line="264" w:lineRule="auto"/>
      </w:pPr>
      <w:r>
        <w:t>Tetraciclina, 500 mg ingeridos cuatro veces al día durante 14 días</w:t>
      </w:r>
    </w:p>
    <w:p w14:paraId="1BE10C10" w14:textId="77777777" w:rsidR="00D03C17" w:rsidRDefault="00D03C17">
      <w:pPr>
        <w:pStyle w:val="Bodytext20"/>
        <w:framePr w:w="4267" w:h="5635" w:wrap="none" w:hAnchor="page" w:x="7743" w:y="649"/>
        <w:spacing w:line="264" w:lineRule="auto"/>
      </w:pPr>
      <w:r>
        <w:t>Penicilina G benzatínica, 7.2 millones de U total, aplicadas en tres dosis de 2.4 millones de U, por vía IM cada una a intervalos semanales</w:t>
      </w:r>
    </w:p>
    <w:p w14:paraId="23988E77" w14:textId="77777777" w:rsidR="00D03C17" w:rsidRDefault="00D03C17">
      <w:pPr>
        <w:pStyle w:val="Bodytext20"/>
        <w:framePr w:w="4267" w:h="5635" w:wrap="none" w:hAnchor="page" w:x="7743" w:y="649"/>
        <w:spacing w:line="264" w:lineRule="auto"/>
      </w:pPr>
      <w:r>
        <w:rPr>
          <w:b/>
          <w:bCs/>
        </w:rPr>
        <w:t>O</w:t>
      </w:r>
    </w:p>
    <w:p w14:paraId="2E9E3E1A" w14:textId="77777777" w:rsidR="00D03C17" w:rsidRDefault="00D03C17">
      <w:pPr>
        <w:pStyle w:val="Bodytext20"/>
        <w:framePr w:w="4267" w:h="5635" w:wrap="none" w:hAnchor="page" w:x="7743" w:y="649"/>
        <w:spacing w:line="264" w:lineRule="auto"/>
        <w:ind w:left="200" w:hanging="200"/>
      </w:pPr>
      <w:r>
        <w:rPr>
          <w:i/>
          <w:iCs/>
        </w:rPr>
        <w:t xml:space="preserve">Si la persona es alérgica a la penicilina y no está embarazada </w:t>
      </w:r>
      <w:r>
        <w:t>Doxiciclina, 100 mg ingeridos dos veces al día durante cuatro semanas</w:t>
      </w:r>
    </w:p>
    <w:p w14:paraId="07C1413E" w14:textId="77777777" w:rsidR="00D03C17" w:rsidRDefault="00D03C17">
      <w:pPr>
        <w:pStyle w:val="Bodytext20"/>
        <w:framePr w:w="4267" w:h="5635" w:wrap="none" w:hAnchor="page" w:x="7743" w:y="649"/>
        <w:spacing w:line="264" w:lineRule="auto"/>
      </w:pPr>
      <w:r>
        <w:rPr>
          <w:b/>
          <w:bCs/>
        </w:rPr>
        <w:t>O</w:t>
      </w:r>
    </w:p>
    <w:p w14:paraId="1BF09A2D" w14:textId="77777777" w:rsidR="00D03C17" w:rsidRDefault="00D03C17">
      <w:pPr>
        <w:pStyle w:val="Bodytext20"/>
        <w:framePr w:w="4267" w:h="5635" w:wrap="none" w:hAnchor="page" w:x="7743" w:y="649"/>
        <w:spacing w:line="264" w:lineRule="auto"/>
        <w:ind w:left="200" w:hanging="200"/>
      </w:pPr>
      <w:r>
        <w:t>Tetraciclina, 500 mg ingeridos cuatro veces al día durante cuatro semanas</w:t>
      </w:r>
    </w:p>
    <w:p w14:paraId="78578217" w14:textId="77777777" w:rsidR="00D03C17" w:rsidRDefault="00D03C17">
      <w:pPr>
        <w:pStyle w:val="Bodytext20"/>
        <w:framePr w:w="4267" w:h="5635" w:wrap="none" w:hAnchor="page" w:x="7743" w:y="649"/>
        <w:spacing w:line="264" w:lineRule="auto"/>
        <w:ind w:left="200" w:hanging="200"/>
      </w:pPr>
      <w:r>
        <w:t>Penicilina G benzatínica, 7.2 millones de U en total, aplicados en tres dosis de 2.4 millones de U por vía IM a intervalos semanales</w:t>
      </w:r>
    </w:p>
    <w:p w14:paraId="5026B313" w14:textId="77777777" w:rsidR="00D03C17" w:rsidRDefault="00D03C17">
      <w:pPr>
        <w:pStyle w:val="Bodytext20"/>
        <w:framePr w:w="4267" w:h="5635" w:wrap="none" w:hAnchor="page" w:x="7743" w:y="649"/>
        <w:spacing w:line="264" w:lineRule="auto"/>
      </w:pPr>
      <w:r>
        <w:t>Penicilina G cristalina acuosa, 18 a 24 millones de U al día, a razón de 3 a 4 millones de U por vía IV cada 4 h durante 10 a 14 días</w:t>
      </w:r>
    </w:p>
    <w:p w14:paraId="77B0D084" w14:textId="77777777" w:rsidR="00D03C17" w:rsidRDefault="00D03C17">
      <w:pPr>
        <w:pStyle w:val="Bodytext20"/>
        <w:framePr w:w="4267" w:h="5635" w:wrap="none" w:hAnchor="page" w:x="7743" w:y="649"/>
        <w:spacing w:line="264" w:lineRule="auto"/>
      </w:pPr>
      <w:r>
        <w:rPr>
          <w:b/>
          <w:bCs/>
        </w:rPr>
        <w:t>O</w:t>
      </w:r>
    </w:p>
    <w:p w14:paraId="553C5861" w14:textId="77777777" w:rsidR="00D03C17" w:rsidRDefault="00D03C17">
      <w:pPr>
        <w:pStyle w:val="Bodytext20"/>
        <w:framePr w:w="4267" w:h="5635" w:wrap="none" w:hAnchor="page" w:x="7743" w:y="649"/>
        <w:pBdr>
          <w:bottom w:val="single" w:sz="4" w:space="0" w:color="auto"/>
        </w:pBdr>
        <w:spacing w:line="264" w:lineRule="auto"/>
      </w:pPr>
      <w:r>
        <w:t>Penicilina G procaínica,</w:t>
      </w:r>
      <w:r>
        <w:rPr>
          <w:vertAlign w:val="superscript"/>
        </w:rPr>
        <w:t>2</w:t>
      </w:r>
      <w:r>
        <w:t xml:space="preserve"> a razón de 2.4 millones de U, por vía IM una vez al día Y ADEMAS, probenecid, 500 mg ingeridos cuatro veces al día, ambos durante 10 a 14 días</w:t>
      </w:r>
    </w:p>
    <w:p w14:paraId="071767F8" w14:textId="77777777" w:rsidR="00D03C17" w:rsidRDefault="00D03C17">
      <w:pPr>
        <w:pStyle w:val="Bodytext80"/>
        <w:framePr w:w="192" w:h="3691" w:hRule="exact" w:wrap="none" w:hAnchor="page" w:x="12390" w:y="54"/>
        <w:tabs>
          <w:tab w:val="left" w:pos="3173"/>
        </w:tabs>
        <w:textDirection w:val="tbRl"/>
      </w:pPr>
      <w:r>
        <w:rPr>
          <w:sz w:val="16"/>
          <w:szCs w:val="16"/>
        </w:rPr>
        <w:t>624</w:t>
      </w:r>
      <w:r>
        <w:rPr>
          <w:sz w:val="16"/>
          <w:szCs w:val="16"/>
        </w:rPr>
        <w:tab/>
      </w:r>
      <w:r>
        <w:t>SÍFILIS</w:t>
      </w:r>
    </w:p>
    <w:p w14:paraId="27FC49B2" w14:textId="77777777" w:rsidR="00D03C17" w:rsidRDefault="00D03C17">
      <w:pPr>
        <w:pStyle w:val="Bodytext20"/>
        <w:framePr w:w="6341" w:h="725" w:wrap="none" w:hAnchor="page" w:x="678" w:y="6414"/>
        <w:spacing w:line="240" w:lineRule="auto"/>
        <w:ind w:firstLine="180"/>
        <w:rPr>
          <w:sz w:val="15"/>
          <w:szCs w:val="15"/>
        </w:rPr>
      </w:pPr>
      <w:r>
        <w:rPr>
          <w:sz w:val="15"/>
          <w:szCs w:val="15"/>
        </w:rPr>
        <w:t>IM, intramuscular; IV, intravenoso.</w:t>
      </w:r>
    </w:p>
    <w:p w14:paraId="14A3F8C6" w14:textId="77777777" w:rsidR="00D03C17" w:rsidRDefault="00D03C17">
      <w:pPr>
        <w:pStyle w:val="Bodytext20"/>
        <w:framePr w:w="6341" w:h="725" w:wrap="none" w:hAnchor="page" w:x="678" w:y="6414"/>
        <w:numPr>
          <w:ilvl w:val="0"/>
          <w:numId w:val="108"/>
        </w:numPr>
        <w:tabs>
          <w:tab w:val="left" w:pos="163"/>
        </w:tabs>
        <w:spacing w:line="240" w:lineRule="auto"/>
        <w:rPr>
          <w:sz w:val="15"/>
          <w:szCs w:val="15"/>
        </w:rPr>
      </w:pPr>
      <w:bookmarkStart w:id="442" w:name="bookmark1443"/>
      <w:bookmarkEnd w:id="442"/>
      <w:r>
        <w:rPr>
          <w:sz w:val="15"/>
          <w:szCs w:val="15"/>
        </w:rPr>
        <w:t>La sífilis latente temprana se define como la que se adquirió en término de los 12 meses anteriores.</w:t>
      </w:r>
    </w:p>
    <w:p w14:paraId="718B85DD" w14:textId="77777777" w:rsidR="00D03C17" w:rsidRDefault="00D03C17">
      <w:pPr>
        <w:pStyle w:val="Bodytext20"/>
        <w:framePr w:w="6341" w:h="725" w:wrap="none" w:hAnchor="page" w:x="678" w:y="6414"/>
        <w:numPr>
          <w:ilvl w:val="0"/>
          <w:numId w:val="108"/>
        </w:numPr>
        <w:tabs>
          <w:tab w:val="left" w:pos="173"/>
        </w:tabs>
        <w:spacing w:line="233" w:lineRule="auto"/>
        <w:rPr>
          <w:sz w:val="15"/>
          <w:szCs w:val="15"/>
        </w:rPr>
      </w:pPr>
      <w:bookmarkStart w:id="443" w:name="bookmark1444"/>
      <w:bookmarkEnd w:id="443"/>
      <w:r>
        <w:rPr>
          <w:sz w:val="15"/>
          <w:szCs w:val="15"/>
        </w:rPr>
        <w:t xml:space="preserve">Se han aprobado para aplicación IM </w:t>
      </w:r>
      <w:r>
        <w:rPr>
          <w:i/>
          <w:iCs/>
          <w:sz w:val="15"/>
          <w:szCs w:val="15"/>
        </w:rPr>
        <w:t>sólo</w:t>
      </w:r>
      <w:r>
        <w:rPr>
          <w:sz w:val="15"/>
          <w:szCs w:val="15"/>
        </w:rPr>
        <w:t xml:space="preserve"> las penicilinas G benzatínica y procaínica.</w:t>
      </w:r>
    </w:p>
    <w:p w14:paraId="109B697F" w14:textId="77777777" w:rsidR="00D03C17" w:rsidRDefault="00D03C17">
      <w:pPr>
        <w:pStyle w:val="Bodytext20"/>
        <w:framePr w:w="6341" w:h="725" w:wrap="none" w:hAnchor="page" w:x="678" w:y="6414"/>
        <w:numPr>
          <w:ilvl w:val="0"/>
          <w:numId w:val="108"/>
        </w:numPr>
        <w:tabs>
          <w:tab w:val="left" w:pos="168"/>
        </w:tabs>
        <w:spacing w:line="233" w:lineRule="auto"/>
        <w:rPr>
          <w:sz w:val="15"/>
          <w:szCs w:val="15"/>
        </w:rPr>
      </w:pPr>
      <w:bookmarkStart w:id="444" w:name="bookmark1445"/>
      <w:bookmarkEnd w:id="444"/>
      <w:r>
        <w:rPr>
          <w:sz w:val="15"/>
          <w:szCs w:val="15"/>
        </w:rPr>
        <w:t>Es importante desensibilizar a personas alérgicas a la penicilina.</w:t>
      </w:r>
    </w:p>
    <w:p w14:paraId="352AEA81" w14:textId="77777777" w:rsidR="00D03C17" w:rsidRDefault="00D03C17">
      <w:pPr>
        <w:spacing w:line="360" w:lineRule="exact"/>
      </w:pPr>
    </w:p>
    <w:p w14:paraId="4A7327A3" w14:textId="77777777" w:rsidR="00D03C17" w:rsidRDefault="00D03C17">
      <w:pPr>
        <w:spacing w:line="360" w:lineRule="exact"/>
      </w:pPr>
    </w:p>
    <w:p w14:paraId="3EC46AB6" w14:textId="77777777" w:rsidR="00D03C17" w:rsidRDefault="00D03C17">
      <w:pPr>
        <w:spacing w:line="360" w:lineRule="exact"/>
      </w:pPr>
    </w:p>
    <w:p w14:paraId="103EA16F" w14:textId="77777777" w:rsidR="00D03C17" w:rsidRDefault="00D03C17">
      <w:pPr>
        <w:spacing w:line="360" w:lineRule="exact"/>
      </w:pPr>
    </w:p>
    <w:p w14:paraId="4DC3E695" w14:textId="77777777" w:rsidR="00D03C17" w:rsidRDefault="00D03C17">
      <w:pPr>
        <w:spacing w:line="360" w:lineRule="exact"/>
      </w:pPr>
    </w:p>
    <w:p w14:paraId="6F71B200" w14:textId="77777777" w:rsidR="00D03C17" w:rsidRDefault="00D03C17">
      <w:pPr>
        <w:spacing w:line="360" w:lineRule="exact"/>
      </w:pPr>
    </w:p>
    <w:p w14:paraId="77C69BF6" w14:textId="77777777" w:rsidR="00D03C17" w:rsidRDefault="00D03C17">
      <w:pPr>
        <w:spacing w:line="360" w:lineRule="exact"/>
      </w:pPr>
    </w:p>
    <w:p w14:paraId="195A3736" w14:textId="77777777" w:rsidR="00D03C17" w:rsidRDefault="00D03C17">
      <w:pPr>
        <w:spacing w:line="360" w:lineRule="exact"/>
      </w:pPr>
    </w:p>
    <w:p w14:paraId="3504DC6C" w14:textId="77777777" w:rsidR="00D03C17" w:rsidRDefault="00D03C17">
      <w:pPr>
        <w:spacing w:line="360" w:lineRule="exact"/>
      </w:pPr>
    </w:p>
    <w:p w14:paraId="1688F1DB" w14:textId="77777777" w:rsidR="00D03C17" w:rsidRDefault="00D03C17">
      <w:pPr>
        <w:spacing w:line="360" w:lineRule="exact"/>
      </w:pPr>
    </w:p>
    <w:p w14:paraId="1EB31123" w14:textId="77777777" w:rsidR="00D03C17" w:rsidRDefault="00D03C17">
      <w:pPr>
        <w:spacing w:line="360" w:lineRule="exact"/>
      </w:pPr>
    </w:p>
    <w:p w14:paraId="56A5367E" w14:textId="77777777" w:rsidR="00D03C17" w:rsidRDefault="00D03C17">
      <w:pPr>
        <w:spacing w:line="360" w:lineRule="exact"/>
      </w:pPr>
    </w:p>
    <w:p w14:paraId="1B286441" w14:textId="77777777" w:rsidR="00D03C17" w:rsidRDefault="00D03C17">
      <w:pPr>
        <w:spacing w:line="360" w:lineRule="exact"/>
      </w:pPr>
    </w:p>
    <w:p w14:paraId="779ADB57" w14:textId="77777777" w:rsidR="00D03C17" w:rsidRDefault="00D03C17">
      <w:pPr>
        <w:spacing w:line="360" w:lineRule="exact"/>
      </w:pPr>
    </w:p>
    <w:p w14:paraId="0ADD8E9F" w14:textId="77777777" w:rsidR="00D03C17" w:rsidRDefault="00D03C17">
      <w:pPr>
        <w:spacing w:line="360" w:lineRule="exact"/>
      </w:pPr>
    </w:p>
    <w:p w14:paraId="70B52088" w14:textId="77777777" w:rsidR="00D03C17" w:rsidRDefault="00D03C17">
      <w:pPr>
        <w:spacing w:line="360" w:lineRule="exact"/>
      </w:pPr>
    </w:p>
    <w:p w14:paraId="6FADF924" w14:textId="77777777" w:rsidR="00D03C17" w:rsidRDefault="00D03C17">
      <w:pPr>
        <w:spacing w:line="360" w:lineRule="exact"/>
      </w:pPr>
    </w:p>
    <w:p w14:paraId="003BBE1D" w14:textId="77777777" w:rsidR="00D03C17" w:rsidRDefault="00D03C17">
      <w:pPr>
        <w:spacing w:line="360" w:lineRule="exact"/>
      </w:pPr>
    </w:p>
    <w:p w14:paraId="0EF8FE88" w14:textId="77777777" w:rsidR="00D03C17" w:rsidRDefault="00D03C17">
      <w:pPr>
        <w:spacing w:after="657" w:line="1" w:lineRule="exact"/>
      </w:pPr>
    </w:p>
    <w:p w14:paraId="01497064" w14:textId="77777777" w:rsidR="00D03C17" w:rsidRDefault="00D03C17">
      <w:pPr>
        <w:spacing w:line="1" w:lineRule="exact"/>
        <w:sectPr w:rsidR="00D03C17" w:rsidSect="00D03C17">
          <w:headerReference w:type="even" r:id="rId447"/>
          <w:headerReference w:type="default" r:id="rId448"/>
          <w:footerReference w:type="even" r:id="rId449"/>
          <w:footerReference w:type="default" r:id="rId450"/>
          <w:footnotePr>
            <w:numFmt w:val="chicago"/>
          </w:footnotePr>
          <w:pgSz w:w="13022" w:h="8501" w:orient="landscape"/>
          <w:pgMar w:top="451" w:right="441" w:bottom="451" w:left="619" w:header="23" w:footer="23" w:gutter="0"/>
          <w:pgNumType w:start="787"/>
          <w:cols w:space="720"/>
          <w:noEndnote/>
          <w:docGrid w:linePitch="360"/>
          <w15:footnoteColumns w:val="1"/>
        </w:sectPr>
      </w:pPr>
    </w:p>
    <w:p w14:paraId="79696B05" w14:textId="77777777" w:rsidR="00D03C17" w:rsidRDefault="00D03C17">
      <w:pPr>
        <w:pStyle w:val="Bodytext80"/>
        <w:spacing w:line="334" w:lineRule="auto"/>
        <w:rPr>
          <w:sz w:val="15"/>
          <w:szCs w:val="15"/>
        </w:rPr>
      </w:pPr>
      <w:r>
        <w:rPr>
          <w:b/>
          <w:bCs/>
          <w:i/>
          <w:iCs/>
          <w:sz w:val="15"/>
          <w:szCs w:val="15"/>
        </w:rPr>
        <w:t>Vigilancia y tratamiento</w:t>
      </w:r>
    </w:p>
    <w:p w14:paraId="5C3BA824" w14:textId="77777777" w:rsidR="00D03C17" w:rsidRDefault="00D03C17">
      <w:pPr>
        <w:pStyle w:val="BodyText"/>
        <w:ind w:firstLine="360"/>
      </w:pPr>
      <w:r>
        <w:rPr>
          <w:rFonts w:ascii="Times New Roman" w:eastAsia="Times New Roman" w:hAnsi="Times New Roman" w:cs="Times New Roman"/>
          <w:b/>
          <w:bCs/>
          <w:i/>
          <w:iCs/>
          <w:sz w:val="16"/>
          <w:szCs w:val="16"/>
        </w:rPr>
        <w:t>Sífilis congénita.</w:t>
      </w:r>
      <w:r>
        <w:t xml:space="preserve"> Es importante la valoración seriada y cuidadosa de los lactantes tratados, que se hará al mes, dos, tres, seis y 12 meses de vida. Las pruebas no treponémicas serológicas se realizarán tres, seis y 12 meses después de haber terminado el tratamiento o hasta que desaparezca la reactividad o el título haya disminuido cuatro tantos. Los títulos de anticuerpos no treponémicos deben disminuir a los tres meses de vida y dejar de ser reactivos a los seis meses de edad, si el pequeño estaba infectado y fue tratado de manera adecuada o no estaba infectado e inicialmente era seropositivo por la presencia de anticuerpos maternos que le llegaron a través de la placenta. Las personas con títulos cada vez mayores o que son estables persistentemente, incluidos los productos con títulos bajos a los seis a 12 meses de vida, deben ser valorados, incluso con un estudio del LCR, y tratados durante 10 días con penicilina G parenteral, incluso si recibieron previamente tratamiento.</w:t>
      </w:r>
    </w:p>
    <w:p w14:paraId="77AE584C" w14:textId="77777777" w:rsidR="00D03C17" w:rsidRDefault="00D03C17">
      <w:pPr>
        <w:pStyle w:val="BodyText"/>
        <w:ind w:firstLine="360"/>
      </w:pPr>
      <w:r>
        <w:t>Es importante repetir la valoración clínica y el estudio de LCR a intervalos de seis meses hasta que los datos en dicho líquido sean normales, en todo niño tratado que tenga neurosífilis congénita y resultados positivos iniciales de las pruebas VDRL y LCR o anormalidades o imposibilidad de interpretar cifras de recuentos celulares, de concentraciones de proteínas o de ambos en el líquido mencionado. El resultado reactivo de VDRL en LCR a intervalo de seis meses es indicación para tratar de nuevo. Si aún son anormales a los dos años el número de leucocitos o no disminuyen en cada revisión, conviene repetir el tratamiento.</w:t>
      </w:r>
    </w:p>
    <w:p w14:paraId="767E5909" w14:textId="77777777" w:rsidR="00D03C17" w:rsidRDefault="00D03C17">
      <w:pPr>
        <w:pStyle w:val="BodyText"/>
        <w:ind w:firstLine="360"/>
      </w:pPr>
      <w:r>
        <w:rPr>
          <w:rFonts w:ascii="Times New Roman" w:eastAsia="Times New Roman" w:hAnsi="Times New Roman" w:cs="Times New Roman"/>
          <w:b/>
          <w:bCs/>
          <w:i/>
          <w:iCs/>
          <w:sz w:val="16"/>
          <w:szCs w:val="16"/>
        </w:rPr>
        <w:t>Sífilis adquirida.</w:t>
      </w:r>
      <w:r>
        <w:t xml:space="preserve"> En toda embarazada sifilítica tratada se harán pruebas serológicas cuantitativas no treponémicas cada mes, el resto del embarazo. Otras personas con sífilis adquirida temprana deben retornar a la asistencia clínica para que se les practiquen nuevas pruebas no treponémicas cuantitativas a los tres, seis y 12 meses de haber concluido el tratamiento. Los individuos que han tenido sífilis por más de un año también deben ser sometidos a pruebas serológicas 24 meses después del tratamiento. La vigilancia serológica cuidadosa es particularmente importante en el caso de haber administrado otros antimicrobianos distintos de la penicilina.</w:t>
      </w:r>
    </w:p>
    <w:p w14:paraId="682AB12B" w14:textId="77777777" w:rsidR="00D03C17" w:rsidRDefault="00D03C17">
      <w:pPr>
        <w:pStyle w:val="Bodytext80"/>
        <w:spacing w:line="334" w:lineRule="auto"/>
        <w:rPr>
          <w:sz w:val="15"/>
          <w:szCs w:val="15"/>
        </w:rPr>
      </w:pPr>
      <w:r>
        <w:rPr>
          <w:b/>
          <w:bCs/>
          <w:i/>
          <w:iCs/>
          <w:sz w:val="15"/>
          <w:szCs w:val="15"/>
        </w:rPr>
        <w:t>Indicaciones para repetir el tratamiento</w:t>
      </w:r>
    </w:p>
    <w:p w14:paraId="48DBA50C" w14:textId="77777777" w:rsidR="00D03C17" w:rsidRDefault="00D03C17">
      <w:pPr>
        <w:pStyle w:val="Bodytext20"/>
        <w:spacing w:line="314" w:lineRule="auto"/>
      </w:pPr>
      <w:r>
        <w:rPr>
          <w:b/>
          <w:bCs/>
          <w:i/>
          <w:iCs/>
        </w:rPr>
        <w:t>Sífilis primaria/secundaria</w:t>
      </w:r>
    </w:p>
    <w:p w14:paraId="2D57A2D0" w14:textId="77777777" w:rsidR="00D03C17" w:rsidRDefault="00D03C17">
      <w:pPr>
        <w:pStyle w:val="BodyText"/>
        <w:numPr>
          <w:ilvl w:val="0"/>
          <w:numId w:val="105"/>
        </w:numPr>
        <w:tabs>
          <w:tab w:val="left" w:pos="341"/>
        </w:tabs>
        <w:ind w:left="360" w:hanging="360"/>
      </w:pPr>
      <w:bookmarkStart w:id="445" w:name="bookmark1446"/>
      <w:bookmarkEnd w:id="445"/>
      <w:r>
        <w:t>Si persisten o reaparecen signos o síntomas clínicos, o se advierte un incremento cuádruple del título de métodos no treponémicos, habrá que valorar el líquido cefalorraquídeo y el estado de VIH y repetir el tratamiento.</w:t>
      </w:r>
    </w:p>
    <w:p w14:paraId="160DDD28" w14:textId="77777777" w:rsidR="00D03C17" w:rsidRDefault="00D03C17">
      <w:pPr>
        <w:pStyle w:val="BodyText"/>
        <w:numPr>
          <w:ilvl w:val="0"/>
          <w:numId w:val="105"/>
        </w:numPr>
        <w:tabs>
          <w:tab w:val="left" w:pos="341"/>
        </w:tabs>
        <w:ind w:left="360" w:hanging="360"/>
      </w:pPr>
      <w:bookmarkStart w:id="446" w:name="bookmark1447"/>
      <w:bookmarkEnd w:id="446"/>
      <w:r>
        <w:t>Si el título no treponémico no disminuye cuatro tantos en término de seis meses de tratamiento, habrá que buscar VIH; se repetirá el tratamiento salvo que se pueda asegurar la vigilancia para valoración clínica y serológica ininterrumpida. Algunos expertos recomiendan valoración del líquido cefalorraquídeo.</w:t>
      </w:r>
    </w:p>
    <w:p w14:paraId="2CEA07F9" w14:textId="77777777" w:rsidR="00D03C17" w:rsidRDefault="00D03C17">
      <w:pPr>
        <w:pStyle w:val="BodyText"/>
        <w:ind w:firstLine="360"/>
      </w:pPr>
      <w:r>
        <w:rPr>
          <w:rFonts w:ascii="Times New Roman" w:eastAsia="Times New Roman" w:hAnsi="Times New Roman" w:cs="Times New Roman"/>
          <w:b/>
          <w:bCs/>
          <w:i/>
          <w:iCs/>
          <w:sz w:val="16"/>
          <w:szCs w:val="16"/>
        </w:rPr>
        <w:t>Sífilis latente:</w:t>
      </w:r>
      <w:r>
        <w:t xml:space="preserve"> En las situaciones siguientes habrá que realizar estudio de LCR y tratar de nuevo:</w:t>
      </w:r>
    </w:p>
    <w:p w14:paraId="29409707" w14:textId="77777777" w:rsidR="00D03C17" w:rsidRDefault="00D03C17">
      <w:pPr>
        <w:pStyle w:val="BodyText"/>
        <w:numPr>
          <w:ilvl w:val="0"/>
          <w:numId w:val="105"/>
        </w:numPr>
        <w:tabs>
          <w:tab w:val="left" w:pos="341"/>
        </w:tabs>
        <w:ind w:firstLine="0"/>
      </w:pPr>
      <w:bookmarkStart w:id="447" w:name="bookmark1448"/>
      <w:bookmarkEnd w:id="447"/>
      <w:r>
        <w:t>Si los títulos aumentan cuatro tantos.</w:t>
      </w:r>
    </w:p>
    <w:p w14:paraId="2DEEAA88" w14:textId="77777777" w:rsidR="00D03C17" w:rsidRDefault="00D03C17">
      <w:pPr>
        <w:pStyle w:val="BodyText"/>
        <w:numPr>
          <w:ilvl w:val="0"/>
          <w:numId w:val="105"/>
        </w:numPr>
        <w:tabs>
          <w:tab w:val="left" w:pos="341"/>
        </w:tabs>
        <w:ind w:left="360" w:hanging="360"/>
      </w:pPr>
      <w:bookmarkStart w:id="448" w:name="bookmark1449"/>
      <w:bookmarkEnd w:id="448"/>
      <w:r>
        <w:t>Si un título inicialmente alto (&gt;1:32) no disminuye como mínimo cuatro tantos en término de 12 a 24 meses.</w:t>
      </w:r>
    </w:p>
    <w:p w14:paraId="3810E5B8" w14:textId="77777777" w:rsidR="00D03C17" w:rsidRDefault="00D03C17">
      <w:pPr>
        <w:pStyle w:val="BodyText"/>
        <w:numPr>
          <w:ilvl w:val="0"/>
          <w:numId w:val="105"/>
        </w:numPr>
        <w:tabs>
          <w:tab w:val="left" w:pos="341"/>
        </w:tabs>
        <w:ind w:firstLine="0"/>
      </w:pPr>
      <w:bookmarkStart w:id="449" w:name="bookmark1450"/>
      <w:bookmarkEnd w:id="449"/>
      <w:r>
        <w:t>Si surgen signos o síntomas atribuibles a la sífilis.</w:t>
      </w:r>
    </w:p>
    <w:p w14:paraId="7B49942A" w14:textId="77777777" w:rsidR="00D03C17" w:rsidRDefault="00D03C17">
      <w:pPr>
        <w:pStyle w:val="BodyText"/>
        <w:ind w:firstLine="360"/>
      </w:pPr>
      <w:r>
        <w:t>En todos estos casos habrá que repetir el tratamiento si está indicado, y se aplicarán tres inyecciones semanales de 2.4 millones de unidades de penicilina G benzatínica por vía intramuscular, salvo que el estudio del LCR indique la presencia de neurosífilis, y en ese caso y en ese momento se emprenderán medidas terapéuticas contra ella. Los pacientes vueltos a tratar deben someterse a planes recomendados para personas con sífilis que dure más de un año. En términos generales, conviene sólo un ciclo de repetición de la terapia. Habrá que pensar siempre en la posibilidad de reinfección o de infección por VIH coexistente cuando se trate de nuevo a personas con sífilis temprana.</w:t>
      </w:r>
    </w:p>
    <w:p w14:paraId="50C604AB" w14:textId="77777777" w:rsidR="00D03C17" w:rsidRDefault="00D03C17">
      <w:pPr>
        <w:pStyle w:val="BodyText"/>
        <w:ind w:firstLine="360"/>
      </w:pPr>
      <w:r>
        <w:t>Los pacientes de neurosífilis deben ser sometidos periódicamente a estudios serológicos, a valoración clínica a intervalos semestrales y repetición de los estudios de LCR. Si no ha disminuido el número de células en dicho líquido después de seis meses o el líquido no se ha normalizado totalmente después de dos años, habrá que pensar en la repetición del tratamiento.</w:t>
      </w:r>
    </w:p>
    <w:p w14:paraId="57AE063C" w14:textId="77777777" w:rsidR="00D03C17" w:rsidRDefault="00D03C17">
      <w:pPr>
        <w:pStyle w:val="BodyText"/>
        <w:ind w:firstLine="0"/>
      </w:pPr>
      <w:r>
        <w:rPr>
          <w:b/>
          <w:bCs/>
          <w:smallCaps/>
          <w:sz w:val="20"/>
          <w:szCs w:val="20"/>
        </w:rPr>
        <w:t>A</w:t>
      </w:r>
      <w:r>
        <w:rPr>
          <w:b/>
          <w:bCs/>
          <w:smallCaps/>
          <w:sz w:val="16"/>
          <w:szCs w:val="16"/>
        </w:rPr>
        <w:t>islamiento del paciente hospitalizado</w:t>
      </w:r>
      <w:r>
        <w:rPr>
          <w:b/>
          <w:bCs/>
          <w:smallCaps/>
          <w:sz w:val="20"/>
          <w:szCs w:val="20"/>
        </w:rPr>
        <w:t>:</w:t>
      </w:r>
      <w:r>
        <w:t xml:space="preserve"> Se recomienda seguir las precauciones estándar en todos los pacientes, incluidos lactantes en quienes se sospecha sífilis congénita o se ha corroborado su presencia. Además, en los pequeños con sífilis congénita sospechada o corroborada, los padres, los visitantes, el personal nosocomial y los médicos deben usar guantes cuando los manipulen, hasta que se hayan completado 24 h después del tratamiento. Las lesiones abiertas húmedas, y quizá la sangre, son contagiosas en todos los sifilíticos, razón por la cual habrá que usar guantes al atender a quienes tienen sífilis primaria o secundaria, con lesiones cutáneas y de mucosas, hasta un lapso de 24 h de haber completado el tratamiento.</w:t>
      </w:r>
    </w:p>
    <w:p w14:paraId="4A321E23" w14:textId="77777777" w:rsidR="00D03C17" w:rsidRDefault="00D03C17">
      <w:pPr>
        <w:pStyle w:val="Other0"/>
        <w:spacing w:line="257" w:lineRule="auto"/>
        <w:ind w:firstLine="0"/>
        <w:rPr>
          <w:sz w:val="20"/>
          <w:szCs w:val="20"/>
        </w:rPr>
      </w:pPr>
      <w:r>
        <w:rPr>
          <w:b/>
          <w:bCs/>
          <w:smallCaps/>
          <w:sz w:val="20"/>
          <w:szCs w:val="20"/>
        </w:rPr>
        <w:t>M</w:t>
      </w:r>
      <w:r>
        <w:rPr>
          <w:b/>
          <w:bCs/>
          <w:smallCaps/>
          <w:sz w:val="16"/>
          <w:szCs w:val="16"/>
        </w:rPr>
        <w:t>edidas preventivas</w:t>
      </w:r>
      <w:r>
        <w:rPr>
          <w:b/>
          <w:bCs/>
          <w:smallCaps/>
          <w:sz w:val="20"/>
          <w:szCs w:val="20"/>
        </w:rPr>
        <w:t>:</w:t>
      </w:r>
    </w:p>
    <w:p w14:paraId="7FBB0598" w14:textId="77777777" w:rsidR="00D03C17" w:rsidRDefault="00D03C17">
      <w:pPr>
        <w:pStyle w:val="BodyText"/>
        <w:numPr>
          <w:ilvl w:val="0"/>
          <w:numId w:val="105"/>
        </w:numPr>
        <w:tabs>
          <w:tab w:val="left" w:pos="341"/>
        </w:tabs>
        <w:ind w:left="360" w:hanging="360"/>
      </w:pPr>
      <w:bookmarkStart w:id="450" w:name="bookmark1451"/>
      <w:bookmarkEnd w:id="450"/>
      <w:r>
        <w:t>Habrá que practicar pruebas de detección sistemática de sífilis en toda mujer en los comienzos del embarazo, y de preferencia en el parto. Las que están expuestas a un gran riesgo de tener la enfermedad deben ser estudiadas de nuevo a las 28 semanas de gestación.</w:t>
      </w:r>
    </w:p>
    <w:p w14:paraId="44D2931A" w14:textId="77777777" w:rsidR="00D03C17" w:rsidRDefault="00D03C17">
      <w:pPr>
        <w:pStyle w:val="BodyText"/>
        <w:numPr>
          <w:ilvl w:val="0"/>
          <w:numId w:val="105"/>
        </w:numPr>
        <w:tabs>
          <w:tab w:val="left" w:pos="341"/>
        </w:tabs>
        <w:ind w:left="360" w:hanging="360"/>
      </w:pPr>
      <w:bookmarkStart w:id="451" w:name="bookmark1452"/>
      <w:bookmarkEnd w:id="451"/>
      <w:r>
        <w:t>Son convenientes medidas como instruir a los pacientes de las poblaciones en cuanto a enfermedades de transmisión sexual, tratamiento de contactos sexuales, notificación de cada caso a las autoridades sanitarias locales para investigar contactos y emprender vigilancia apropiada y también la detección de poblaciones de alto riesgo por medio de estudios serológicos.</w:t>
      </w:r>
    </w:p>
    <w:p w14:paraId="5D622216" w14:textId="77777777" w:rsidR="00D03C17" w:rsidRDefault="00D03C17">
      <w:pPr>
        <w:pStyle w:val="BodyText"/>
        <w:numPr>
          <w:ilvl w:val="0"/>
          <w:numId w:val="105"/>
        </w:numPr>
        <w:tabs>
          <w:tab w:val="left" w:pos="341"/>
        </w:tabs>
        <w:ind w:left="360" w:hanging="360"/>
      </w:pPr>
      <w:bookmarkStart w:id="452" w:name="bookmark1453"/>
      <w:bookmarkEnd w:id="452"/>
      <w:r>
        <w:t>Se necesita identificar, estudiar, someter a pruebas serológicas y tratar de manera adecuada a todos los contactos sexuales recientes de una persona con sífilis adquirida. Los contactos sexuales en los últimos 90 días están expuestos a gran peligro de sífilis temprana y habrá que tratarlos como si tuvieran sífilis adquirida temprana, sean o no seropositivos. Se hará todo intento, incluida la exploración física y la práctica de estudios serológicos, para definir el diagnóstico en tales pacientes.</w:t>
      </w:r>
    </w:p>
    <w:p w14:paraId="18C29770" w14:textId="77777777" w:rsidR="00D03C17" w:rsidRDefault="00D03C17">
      <w:pPr>
        <w:pStyle w:val="BodyText"/>
        <w:numPr>
          <w:ilvl w:val="0"/>
          <w:numId w:val="105"/>
        </w:numPr>
        <w:tabs>
          <w:tab w:val="left" w:pos="341"/>
        </w:tabs>
        <w:spacing w:after="100"/>
        <w:ind w:left="360" w:hanging="360"/>
      </w:pPr>
      <w:bookmarkStart w:id="453" w:name="bookmark1454"/>
      <w:bookmarkEnd w:id="453"/>
      <w:r>
        <w:t>Debe someterse a examen clínico a todas las personas, incluido el personal nosocomial, que han tenido contacto muy cercano y no protegido con un pequeño con sífilis congénita temprana, antes de identificar la enfermedad o durante las primeras 24 h de tratamiento, en busca de lesiones dos a tres semanas después del contacto. Se practicarán métodos serológicos y se repetirán a los tres meses después del contacto, o antes en caso de surgir síntomas. Si se considera importante el grado de exposición, habrá que pensar en el tratamiento inmediato.</w:t>
      </w:r>
    </w:p>
    <w:p w14:paraId="7C38574F" w14:textId="77777777" w:rsidR="00D03C17" w:rsidRDefault="00D03C17">
      <w:pPr>
        <w:pStyle w:val="Bodytext70"/>
        <w:spacing w:after="0"/>
      </w:pPr>
      <w:r>
        <w:t>Tétanos</w:t>
      </w:r>
    </w:p>
    <w:p w14:paraId="187A77AC" w14:textId="77777777" w:rsidR="00D03C17" w:rsidRDefault="00D03C17">
      <w:pPr>
        <w:pStyle w:val="Other0"/>
        <w:spacing w:line="252" w:lineRule="auto"/>
        <w:ind w:firstLine="0"/>
        <w:rPr>
          <w:sz w:val="20"/>
          <w:szCs w:val="20"/>
        </w:rPr>
      </w:pPr>
      <w:r>
        <w:rPr>
          <w:rFonts w:ascii="Arial" w:eastAsia="Arial" w:hAnsi="Arial" w:cs="Arial"/>
          <w:b/>
          <w:bCs/>
          <w:w w:val="70"/>
          <w:sz w:val="20"/>
          <w:szCs w:val="20"/>
        </w:rPr>
        <w:t>(Trismo)</w:t>
      </w:r>
    </w:p>
    <w:p w14:paraId="7647638B" w14:textId="2D4DD2A2" w:rsidR="00C31EB8" w:rsidRDefault="00D03C17">
      <w:r>
        <w:rPr>
          <w:b/>
          <w:bCs/>
          <w:smallCaps/>
          <w:sz w:val="20"/>
          <w:szCs w:val="20"/>
        </w:rPr>
        <w:t>M</w:t>
      </w:r>
      <w:r>
        <w:rPr>
          <w:b/>
          <w:bCs/>
          <w:smallCaps/>
          <w:sz w:val="16"/>
          <w:szCs w:val="16"/>
        </w:rPr>
        <w:t>anifestaciones clínicas</w:t>
      </w:r>
      <w:r>
        <w:rPr>
          <w:b/>
          <w:bCs/>
          <w:smallCaps/>
          <w:sz w:val="20"/>
          <w:szCs w:val="20"/>
        </w:rPr>
        <w:t>:</w:t>
      </w:r>
      <w:r>
        <w:t xml:space="preserve"> El tétanos generalizado (trismo) es un cuadro neurológico que incluye dicha manifestación (trismo) y espasmos musculares graves. Es causado por la neurotoxina producida por la bacteria anaerobia </w:t>
      </w:r>
      <w:r>
        <w:rPr>
          <w:rFonts w:ascii="Times New Roman" w:eastAsia="Times New Roman" w:hAnsi="Times New Roman" w:cs="Times New Roman"/>
          <w:i/>
          <w:iCs/>
          <w:sz w:val="16"/>
          <w:szCs w:val="16"/>
        </w:rPr>
        <w:t>Clostridium tetani</w:t>
      </w:r>
      <w:r>
        <w:t xml:space="preserve"> en una herida </w:t>
      </w:r>
    </w:p>
    <w:sectPr w:rsidR="00C31EB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BD7087" w14:textId="77777777" w:rsidR="00316A7C" w:rsidRDefault="00316A7C" w:rsidP="00D03C17">
      <w:pPr>
        <w:spacing w:after="0" w:line="240" w:lineRule="auto"/>
      </w:pPr>
      <w:r>
        <w:separator/>
      </w:r>
    </w:p>
  </w:endnote>
  <w:endnote w:type="continuationSeparator" w:id="0">
    <w:p w14:paraId="47A71CAD" w14:textId="77777777" w:rsidR="00316A7C" w:rsidRDefault="00316A7C" w:rsidP="00D03C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15085" w14:textId="77777777" w:rsidR="00D03C17" w:rsidRDefault="00D03C1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2A237" w14:textId="77777777" w:rsidR="00D03C17" w:rsidRDefault="00D03C1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A1E49" w14:textId="77777777" w:rsidR="00D03C17" w:rsidRDefault="00D03C17">
    <w:pPr>
      <w:spacing w:line="1" w:lineRule="exac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C1F36" w14:textId="77777777" w:rsidR="00D03C17" w:rsidRDefault="00D03C17">
    <w:pPr>
      <w:spacing w:line="1" w:lineRule="exac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5D0F1" w14:textId="77777777" w:rsidR="00D03C17" w:rsidRDefault="00D03C17">
    <w:pPr>
      <w:spacing w:line="1" w:lineRule="exac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42E02" w14:textId="77777777" w:rsidR="00D03C17" w:rsidRDefault="00D03C17">
    <w:pPr>
      <w:spacing w:line="1" w:lineRule="exac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BF3A1" w14:textId="77777777" w:rsidR="00D03C17" w:rsidRDefault="00D03C17">
    <w:pPr>
      <w:spacing w:line="1" w:lineRule="exac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ED0C6" w14:textId="77777777" w:rsidR="00D03C17" w:rsidRDefault="00D03C17"/>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FD705" w14:textId="77777777" w:rsidR="00D03C17" w:rsidRDefault="00D03C17"/>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20829" w14:textId="77777777" w:rsidR="00D03C17" w:rsidRDefault="00D03C17"/>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E31E7" w14:textId="77777777" w:rsidR="00D03C17" w:rsidRDefault="00D03C17"/>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6AC34" w14:textId="77777777" w:rsidR="00D03C17" w:rsidRDefault="00D03C17">
    <w:pPr>
      <w:spacing w:line="1" w:lineRule="exact"/>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703DC" w14:textId="77777777" w:rsidR="00D03C17" w:rsidRDefault="00D03C17">
    <w:pPr>
      <w:spacing w:line="1" w:lineRule="exact"/>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06EB8" w14:textId="77777777" w:rsidR="00D03C17" w:rsidRDefault="00D03C17">
    <w:pPr>
      <w:spacing w:line="1" w:lineRule="exact"/>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696B5" w14:textId="77777777" w:rsidR="00D03C17" w:rsidRDefault="00D03C17">
    <w:pPr>
      <w:spacing w:line="1" w:lineRule="exact"/>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B6C84" w14:textId="77777777" w:rsidR="00D03C17" w:rsidRDefault="00D03C17">
    <w:pPr>
      <w:spacing w:line="1" w:lineRule="exact"/>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198A0" w14:textId="77777777" w:rsidR="00D03C17" w:rsidRDefault="00D03C17">
    <w:pPr>
      <w:spacing w:line="1" w:lineRule="exact"/>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D403A" w14:textId="77777777" w:rsidR="00D03C17" w:rsidRDefault="00D03C17">
    <w:pPr>
      <w:spacing w:line="1" w:lineRule="exact"/>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9477C" w14:textId="77777777" w:rsidR="00D03C17" w:rsidRDefault="00D03C17"/>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0C84B" w14:textId="77777777" w:rsidR="00D03C17" w:rsidRDefault="00D03C17"/>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2D656" w14:textId="77777777" w:rsidR="00D03C17" w:rsidRDefault="00D03C17">
    <w:pPr>
      <w:spacing w:line="1" w:lineRule="exact"/>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5F2FA" w14:textId="77777777" w:rsidR="00D03C17" w:rsidRDefault="00D03C17">
    <w:pPr>
      <w:spacing w:line="1" w:lineRule="exact"/>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E8EAA" w14:textId="77777777" w:rsidR="00D03C17" w:rsidRDefault="00D03C17"/>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29F57" w14:textId="77777777" w:rsidR="00D03C17" w:rsidRDefault="00D03C17"/>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B4355" w14:textId="77777777" w:rsidR="00D03C17" w:rsidRDefault="00D03C17">
    <w:pPr>
      <w:spacing w:line="1" w:lineRule="exact"/>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AF3A1" w14:textId="77777777" w:rsidR="00D03C17" w:rsidRDefault="00D03C17">
    <w:pPr>
      <w:spacing w:line="1" w:lineRule="exact"/>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6775A" w14:textId="77777777" w:rsidR="00D03C17" w:rsidRDefault="00D03C17">
    <w:pPr>
      <w:spacing w:line="1" w:lineRule="exact"/>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045B0" w14:textId="77777777" w:rsidR="00D03C17" w:rsidRDefault="00D03C17"/>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8218D" w14:textId="77777777" w:rsidR="00D03C17" w:rsidRDefault="00D03C17"/>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40D33" w14:textId="77777777" w:rsidR="00D03C17" w:rsidRDefault="00D03C17"/>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A5B44" w14:textId="77777777" w:rsidR="00D03C17" w:rsidRDefault="00D03C17"/>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799D1" w14:textId="77777777" w:rsidR="00D03C17" w:rsidRDefault="00D03C17">
    <w:pPr>
      <w:spacing w:line="1" w:lineRule="exact"/>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B6B3C" w14:textId="77777777" w:rsidR="00D03C17" w:rsidRDefault="00D03C17">
    <w:pPr>
      <w:spacing w:line="1" w:lineRule="exact"/>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34BFF" w14:textId="77777777" w:rsidR="00D03C17" w:rsidRDefault="00D03C17">
    <w:pPr>
      <w:spacing w:line="1" w:lineRule="exact"/>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755BC" w14:textId="77777777" w:rsidR="00D03C17" w:rsidRDefault="00D03C17">
    <w:pPr>
      <w:spacing w:line="1" w:lineRule="exact"/>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97183" w14:textId="77777777" w:rsidR="00D03C17" w:rsidRDefault="00D03C17"/>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C096F" w14:textId="77777777" w:rsidR="00D03C17" w:rsidRDefault="00D03C17"/>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E917A" w14:textId="77777777" w:rsidR="00D03C17" w:rsidRDefault="00D03C17">
    <w:pPr>
      <w:spacing w:line="1" w:lineRule="exact"/>
    </w:pP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09CD6" w14:textId="77777777" w:rsidR="00D03C17" w:rsidRDefault="00D03C17">
    <w:pPr>
      <w:spacing w:line="1" w:lineRule="exact"/>
    </w:pP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A1884" w14:textId="77777777" w:rsidR="00D03C17" w:rsidRDefault="00D03C17">
    <w:pPr>
      <w:spacing w:line="1" w:lineRule="exact"/>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8E2EC" w14:textId="77777777" w:rsidR="00D03C17" w:rsidRDefault="00D03C17">
    <w:pPr>
      <w:spacing w:line="1" w:lineRule="exact"/>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A41E2" w14:textId="77777777" w:rsidR="00D03C17" w:rsidRDefault="00D03C17">
    <w:pPr>
      <w:spacing w:line="1" w:lineRule="exact"/>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53D36" w14:textId="77777777" w:rsidR="00D03C17" w:rsidRDefault="00D03C17">
    <w:pPr>
      <w:spacing w:line="1" w:lineRule="exact"/>
    </w:pP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D2B41" w14:textId="77777777" w:rsidR="00D03C17" w:rsidRDefault="00D03C17">
    <w:pPr>
      <w:spacing w:line="1" w:lineRule="exact"/>
    </w:pP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F0397" w14:textId="77777777" w:rsidR="00D03C17" w:rsidRDefault="00D03C17">
    <w:pPr>
      <w:spacing w:line="1" w:lineRule="exact"/>
    </w:pP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70DD8" w14:textId="77777777" w:rsidR="00D03C17" w:rsidRDefault="00D03C17">
    <w:pPr>
      <w:spacing w:line="1" w:lineRule="exact"/>
    </w:pP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D42C0" w14:textId="77777777" w:rsidR="00D03C17" w:rsidRDefault="00D03C17"/>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899D2" w14:textId="77777777" w:rsidR="00D03C17" w:rsidRDefault="00D03C17"/>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23EBA" w14:textId="77777777" w:rsidR="00D03C17" w:rsidRDefault="00D03C17">
    <w:pPr>
      <w:spacing w:line="1" w:lineRule="exact"/>
    </w:pP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3A181" w14:textId="77777777" w:rsidR="00D03C17" w:rsidRDefault="00D03C17">
    <w:pPr>
      <w:spacing w:line="1" w:lineRule="exact"/>
    </w:pP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DF524" w14:textId="77777777" w:rsidR="00D03C17" w:rsidRDefault="00D03C17"/>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3DC98" w14:textId="77777777" w:rsidR="00D03C17" w:rsidRDefault="00D03C17"/>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86E5A" w14:textId="77777777" w:rsidR="00D03C17" w:rsidRDefault="00D03C17">
    <w:pPr>
      <w:spacing w:line="1" w:lineRule="exact"/>
    </w:pP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25193" w14:textId="77777777" w:rsidR="00D03C17" w:rsidRDefault="00D03C17">
    <w:pPr>
      <w:spacing w:line="1" w:lineRule="exact"/>
    </w:pP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17E4E" w14:textId="77777777" w:rsidR="00D03C17" w:rsidRDefault="00D03C17">
    <w:pPr>
      <w:spacing w:line="1" w:lineRule="exact"/>
    </w:pP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6E8D2" w14:textId="77777777" w:rsidR="00D03C17" w:rsidRDefault="00D03C17">
    <w:pPr>
      <w:spacing w:line="1" w:lineRule="exact"/>
    </w:pP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79CB7" w14:textId="77777777" w:rsidR="00D03C17" w:rsidRDefault="00D03C17">
    <w:pPr>
      <w:spacing w:line="1" w:lineRule="exact"/>
    </w:pP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B3BFC" w14:textId="77777777" w:rsidR="00D03C17" w:rsidRDefault="00D03C17">
    <w:pPr>
      <w:spacing w:line="1" w:lineRule="exact"/>
    </w:pP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62EAA" w14:textId="77777777" w:rsidR="00D03C17" w:rsidRDefault="00D03C17"/>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EDDEB" w14:textId="77777777" w:rsidR="00D03C17" w:rsidRDefault="00D03C17"/>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A8A19" w14:textId="77777777" w:rsidR="00D03C17" w:rsidRDefault="00D03C17">
    <w:pPr>
      <w:spacing w:line="1" w:lineRule="exact"/>
    </w:pP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FAC9B" w14:textId="77777777" w:rsidR="00D03C17" w:rsidRDefault="00D03C17">
    <w:pPr>
      <w:spacing w:line="1" w:lineRule="exact"/>
    </w:pP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B06D1" w14:textId="77777777" w:rsidR="00D03C17" w:rsidRDefault="00D03C17">
    <w:pPr>
      <w:spacing w:line="1" w:lineRule="exact"/>
    </w:pP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FC3A5" w14:textId="77777777" w:rsidR="00D03C17" w:rsidRDefault="00D03C17">
    <w:pPr>
      <w:spacing w:line="1" w:lineRule="exact"/>
    </w:pP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CC49F" w14:textId="77777777" w:rsidR="00D03C17" w:rsidRDefault="00D03C17">
    <w:pPr>
      <w:spacing w:line="1" w:lineRule="exact"/>
    </w:pP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E0734" w14:textId="77777777" w:rsidR="00D03C17" w:rsidRDefault="00D03C17"/>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46E49" w14:textId="77777777" w:rsidR="00D03C17" w:rsidRDefault="00D03C17"/>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0FDD1" w14:textId="77777777" w:rsidR="00D03C17" w:rsidRDefault="00D03C17"/>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84407" w14:textId="77777777" w:rsidR="00D03C17" w:rsidRDefault="00D03C17"/>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B7E5C" w14:textId="77777777" w:rsidR="00D03C17" w:rsidRDefault="00D03C17">
    <w:pPr>
      <w:spacing w:line="1" w:lineRule="exact"/>
    </w:pP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15F46" w14:textId="77777777" w:rsidR="00D03C17" w:rsidRDefault="00D03C17">
    <w:pPr>
      <w:spacing w:line="1" w:lineRule="exact"/>
    </w:pP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A73EC" w14:textId="77777777" w:rsidR="00D03C17" w:rsidRDefault="00D03C17">
    <w:pPr>
      <w:spacing w:line="1" w:lineRule="exact"/>
    </w:pP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9A9F1" w14:textId="77777777" w:rsidR="00D03C17" w:rsidRDefault="00D03C17"/>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DF185" w14:textId="77777777" w:rsidR="00D03C17" w:rsidRDefault="00D03C17"/>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20A8A" w14:textId="77777777" w:rsidR="00D03C17" w:rsidRDefault="00D03C17"/>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7B242" w14:textId="77777777" w:rsidR="00D03C17" w:rsidRDefault="00D03C17"/>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AF3BC" w14:textId="77777777" w:rsidR="00D03C17" w:rsidRDefault="00D03C17">
    <w:pPr>
      <w:spacing w:line="1" w:lineRule="exact"/>
    </w:pP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B38FA" w14:textId="77777777" w:rsidR="00D03C17" w:rsidRDefault="00D03C17">
    <w:pPr>
      <w:spacing w:line="1" w:lineRule="exact"/>
    </w:pP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C853E" w14:textId="77777777" w:rsidR="00D03C17" w:rsidRDefault="00D03C17">
    <w:pPr>
      <w:spacing w:line="1" w:lineRule="exact"/>
    </w:pP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220E7" w14:textId="77777777" w:rsidR="00D03C17" w:rsidRDefault="00D03C17">
    <w:pPr>
      <w:spacing w:line="1" w:lineRule="exact"/>
    </w:pP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9ACFD" w14:textId="77777777" w:rsidR="00D03C17" w:rsidRDefault="00D03C17">
    <w:pPr>
      <w:spacing w:line="1" w:lineRule="exact"/>
    </w:pP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F07C0" w14:textId="77777777" w:rsidR="00D03C17" w:rsidRDefault="00D03C17">
    <w:pPr>
      <w:spacing w:line="1" w:lineRule="exact"/>
    </w:pP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3EA72" w14:textId="77777777" w:rsidR="00D03C17" w:rsidRDefault="00D03C17">
    <w:pPr>
      <w:spacing w:line="1" w:lineRule="exact"/>
    </w:pP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BF4DF" w14:textId="77777777" w:rsidR="00D03C17" w:rsidRDefault="00D03C17">
    <w:pPr>
      <w:spacing w:line="1" w:lineRule="exact"/>
    </w:pP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D7F61" w14:textId="77777777" w:rsidR="00D03C17" w:rsidRDefault="00D03C17">
    <w:pPr>
      <w:spacing w:line="1" w:lineRule="exact"/>
    </w:pP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2140E" w14:textId="77777777" w:rsidR="00D03C17" w:rsidRDefault="00D03C17">
    <w:pPr>
      <w:spacing w:line="1" w:lineRule="exact"/>
    </w:pPr>
  </w:p>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5B9AA" w14:textId="77777777" w:rsidR="00D03C17" w:rsidRDefault="00D03C17">
    <w:pPr>
      <w:spacing w:line="1" w:lineRule="exact"/>
    </w:pP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EE761" w14:textId="77777777" w:rsidR="00D03C17" w:rsidRDefault="00D03C17"/>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BD71B" w14:textId="77777777" w:rsidR="00D03C17" w:rsidRDefault="00D03C17"/>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251A8" w14:textId="77777777" w:rsidR="00D03C17" w:rsidRDefault="00D03C17">
    <w:pPr>
      <w:spacing w:line="1" w:lineRule="exact"/>
    </w:pPr>
  </w:p>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C7D05" w14:textId="77777777" w:rsidR="00D03C17" w:rsidRDefault="00D03C17">
    <w:pPr>
      <w:spacing w:line="1" w:lineRule="exact"/>
    </w:pPr>
  </w:p>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8237C" w14:textId="77777777" w:rsidR="00D03C17" w:rsidRDefault="00D03C17">
    <w:pPr>
      <w:spacing w:line="1" w:lineRule="exact"/>
    </w:pPr>
  </w:p>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FC964" w14:textId="77777777" w:rsidR="00D03C17" w:rsidRDefault="00D03C17">
    <w:pPr>
      <w:spacing w:line="1" w:lineRule="exact"/>
    </w:pPr>
  </w:p>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F3D07" w14:textId="77777777" w:rsidR="00D03C17" w:rsidRDefault="00D03C17">
    <w:pPr>
      <w:spacing w:line="1" w:lineRule="exact"/>
    </w:pPr>
  </w:p>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5BE94" w14:textId="77777777" w:rsidR="00D03C17" w:rsidRDefault="00D03C17">
    <w:pPr>
      <w:spacing w:line="1" w:lineRule="exact"/>
    </w:pPr>
  </w:p>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CE43C" w14:textId="77777777" w:rsidR="00D03C17" w:rsidRDefault="00D03C17">
    <w:pPr>
      <w:spacing w:line="1" w:lineRule="exact"/>
    </w:pPr>
  </w:p>
</w:ftr>
</file>

<file path=word/footer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241D7" w14:textId="77777777" w:rsidR="00D03C17" w:rsidRDefault="00D03C17">
    <w:pPr>
      <w:spacing w:line="1" w:lineRule="exact"/>
    </w:pPr>
  </w:p>
</w:ftr>
</file>

<file path=word/footer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FE6EB" w14:textId="77777777" w:rsidR="00D03C17" w:rsidRDefault="00D03C17">
    <w:pPr>
      <w:spacing w:line="1" w:lineRule="exact"/>
    </w:pPr>
  </w:p>
</w:ftr>
</file>

<file path=word/footer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32699" w14:textId="77777777" w:rsidR="00D03C17" w:rsidRDefault="00D03C17">
    <w:pPr>
      <w:spacing w:line="1" w:lineRule="exact"/>
    </w:pPr>
  </w:p>
</w:ftr>
</file>

<file path=word/footer1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4E6A9" w14:textId="77777777" w:rsidR="00D03C17" w:rsidRDefault="00D03C17">
    <w:pPr>
      <w:spacing w:line="1" w:lineRule="exact"/>
    </w:pPr>
  </w:p>
</w:ftr>
</file>

<file path=word/footer1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CDEFB" w14:textId="77777777" w:rsidR="00D03C17" w:rsidRDefault="00D03C17">
    <w:pPr>
      <w:spacing w:line="1" w:lineRule="exact"/>
    </w:pPr>
  </w:p>
</w:ftr>
</file>

<file path=word/footer1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C06F0" w14:textId="77777777" w:rsidR="00D03C17" w:rsidRDefault="00D03C17">
    <w:pPr>
      <w:spacing w:line="1" w:lineRule="exact"/>
    </w:pPr>
  </w:p>
</w:ftr>
</file>

<file path=word/footer1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DC4BC" w14:textId="77777777" w:rsidR="00D03C17" w:rsidRDefault="00D03C17">
    <w:pPr>
      <w:spacing w:line="1" w:lineRule="exact"/>
    </w:pPr>
  </w:p>
</w:ftr>
</file>

<file path=word/footer1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FBFF0" w14:textId="77777777" w:rsidR="00D03C17" w:rsidRDefault="00D03C17">
    <w:pPr>
      <w:spacing w:line="1" w:lineRule="exact"/>
    </w:pPr>
  </w:p>
</w:ftr>
</file>

<file path=word/footer1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624C2" w14:textId="77777777" w:rsidR="00D03C17" w:rsidRDefault="00D03C17">
    <w:pPr>
      <w:spacing w:line="1" w:lineRule="exact"/>
    </w:pPr>
  </w:p>
</w:ftr>
</file>

<file path=word/footer1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87833" w14:textId="77777777" w:rsidR="00D03C17" w:rsidRDefault="00D03C17">
    <w:pPr>
      <w:spacing w:line="1" w:lineRule="exact"/>
    </w:pPr>
  </w:p>
</w:ftr>
</file>

<file path=word/footer1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42F56" w14:textId="77777777" w:rsidR="00D03C17" w:rsidRDefault="00D03C17">
    <w:pPr>
      <w:spacing w:line="1" w:lineRule="exact"/>
    </w:pPr>
  </w:p>
</w:ftr>
</file>

<file path=word/footer1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3FB4F" w14:textId="77777777" w:rsidR="00D03C17" w:rsidRDefault="00D03C17">
    <w:pPr>
      <w:spacing w:line="1" w:lineRule="exact"/>
    </w:pPr>
  </w:p>
</w:ftr>
</file>

<file path=word/footer1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83F0C" w14:textId="77777777" w:rsidR="00D03C17" w:rsidRDefault="00D03C17">
    <w:pPr>
      <w:spacing w:line="1" w:lineRule="exact"/>
    </w:pPr>
  </w:p>
</w:ftr>
</file>

<file path=word/footer1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4913F" w14:textId="77777777" w:rsidR="00D03C17" w:rsidRDefault="00D03C17">
    <w:pPr>
      <w:spacing w:line="1" w:lineRule="exact"/>
    </w:pPr>
  </w:p>
</w:ftr>
</file>

<file path=word/footer1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C2EAA" w14:textId="77777777" w:rsidR="00D03C17" w:rsidRDefault="00D03C17">
    <w:pPr>
      <w:spacing w:line="1" w:lineRule="exact"/>
    </w:pPr>
  </w:p>
</w:ftr>
</file>

<file path=word/footer1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01B30" w14:textId="77777777" w:rsidR="00D03C17" w:rsidRDefault="00D03C17">
    <w:pPr>
      <w:spacing w:line="1" w:lineRule="exact"/>
    </w:pPr>
  </w:p>
</w:ftr>
</file>

<file path=word/footer1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BDDCA" w14:textId="77777777" w:rsidR="00D03C17" w:rsidRDefault="00D03C17">
    <w:pPr>
      <w:spacing w:line="1" w:lineRule="exact"/>
    </w:pPr>
  </w:p>
</w:ftr>
</file>

<file path=word/footer1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FB9B8" w14:textId="77777777" w:rsidR="00D03C17" w:rsidRDefault="00D03C17">
    <w:pPr>
      <w:spacing w:line="1" w:lineRule="exact"/>
    </w:pPr>
    <w:r>
      <w:rPr>
        <w:noProof/>
      </w:rPr>
      <mc:AlternateContent>
        <mc:Choice Requires="wps">
          <w:drawing>
            <wp:anchor distT="0" distB="0" distL="0" distR="0" simplePos="0" relativeHeight="251971584" behindDoc="1" locked="0" layoutInCell="1" allowOverlap="1" wp14:anchorId="6F423852" wp14:editId="5A77A07E">
              <wp:simplePos x="0" y="0"/>
              <wp:positionH relativeFrom="page">
                <wp:posOffset>737870</wp:posOffset>
              </wp:positionH>
              <wp:positionV relativeFrom="page">
                <wp:posOffset>7680960</wp:posOffset>
              </wp:positionV>
              <wp:extent cx="3892550" cy="222250"/>
              <wp:effectExtent l="0" t="0" r="0" b="0"/>
              <wp:wrapNone/>
              <wp:docPr id="1568" name="Shape 1568"/>
              <wp:cNvGraphicFramePr/>
              <a:graphic xmlns:a="http://schemas.openxmlformats.org/drawingml/2006/main">
                <a:graphicData uri="http://schemas.microsoft.com/office/word/2010/wordprocessingShape">
                  <wps:wsp>
                    <wps:cNvSpPr txBox="1"/>
                    <wps:spPr>
                      <a:xfrm>
                        <a:off x="0" y="0"/>
                        <a:ext cx="3892550" cy="222250"/>
                      </a:xfrm>
                      <a:prstGeom prst="rect">
                        <a:avLst/>
                      </a:prstGeom>
                      <a:noFill/>
                    </wps:spPr>
                    <wps:txbx>
                      <w:txbxContent>
                        <w:p w14:paraId="5400DED4" w14:textId="77777777" w:rsidR="00D03C17" w:rsidRDefault="00D03C17">
                          <w:pPr>
                            <w:pStyle w:val="Headerorfooter0"/>
                            <w:rPr>
                              <w:sz w:val="15"/>
                              <w:szCs w:val="15"/>
                            </w:rPr>
                          </w:pPr>
                          <w:r>
                            <w:rPr>
                              <w:rFonts w:ascii="Times New Roman" w:eastAsia="Times New Roman" w:hAnsi="Times New Roman" w:cs="Times New Roman"/>
                              <w:sz w:val="15"/>
                              <w:szCs w:val="15"/>
                              <w:shd w:val="clear" w:color="auto" w:fill="FFFFFF"/>
                            </w:rPr>
                            <w:t>* Whitley RJ, MacDonald N, Asher DM and the Committee on Infectious Diseases. Transmissible</w:t>
                          </w:r>
                        </w:p>
                        <w:p w14:paraId="40713CFD" w14:textId="77777777" w:rsidR="00D03C17" w:rsidRDefault="00D03C17">
                          <w:pPr>
                            <w:pStyle w:val="Headerorfooter0"/>
                            <w:rPr>
                              <w:sz w:val="15"/>
                              <w:szCs w:val="15"/>
                            </w:rPr>
                          </w:pPr>
                          <w:r>
                            <w:rPr>
                              <w:rFonts w:ascii="Times New Roman" w:eastAsia="Times New Roman" w:hAnsi="Times New Roman" w:cs="Times New Roman"/>
                              <w:sz w:val="15"/>
                              <w:szCs w:val="15"/>
                            </w:rPr>
                            <w:t xml:space="preserve">spongiform encephalopathies: a review for pediatricians. </w:t>
                          </w:r>
                          <w:r>
                            <w:rPr>
                              <w:rFonts w:ascii="Times New Roman" w:eastAsia="Times New Roman" w:hAnsi="Times New Roman" w:cs="Times New Roman"/>
                              <w:i/>
                              <w:iCs/>
                              <w:sz w:val="15"/>
                              <w:szCs w:val="15"/>
                            </w:rPr>
                            <w:t>Pediatrics.</w:t>
                          </w:r>
                          <w:r>
                            <w:rPr>
                              <w:rFonts w:ascii="Times New Roman" w:eastAsia="Times New Roman" w:hAnsi="Times New Roman" w:cs="Times New Roman"/>
                              <w:sz w:val="15"/>
                              <w:szCs w:val="15"/>
                            </w:rPr>
                            <w:t xml:space="preserve"> 2000;106:1160-1165.</w:t>
                          </w:r>
                        </w:p>
                      </w:txbxContent>
                    </wps:txbx>
                    <wps:bodyPr wrap="none" lIns="0" tIns="0" rIns="0" bIns="0">
                      <a:spAutoFit/>
                    </wps:bodyPr>
                  </wps:wsp>
                </a:graphicData>
              </a:graphic>
            </wp:anchor>
          </w:drawing>
        </mc:Choice>
        <mc:Fallback>
          <w:pict>
            <v:shapetype w14:anchorId="6F423852" id="_x0000_t202" coordsize="21600,21600" o:spt="202" path="m,l,21600r21600,l21600,xe">
              <v:stroke joinstyle="miter"/>
              <v:path gradientshapeok="t" o:connecttype="rect"/>
            </v:shapetype>
            <v:shape id="Shape 1568" o:spid="_x0000_s1161" type="#_x0000_t202" style="position:absolute;margin-left:58.1pt;margin-top:604.8pt;width:306.5pt;height:17.5pt;z-index:-25134489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" filled="f" stroked="f">
              <v:textbox style="mso-fit-shape-to-text:t" inset="0,0,0,0">
                <w:txbxContent>
                  <w:p w14:paraId="5400DED4" w14:textId="77777777" w:rsidR="00D03C17" w:rsidRDefault="00D03C17">
                    <w:pPr>
                      <w:pStyle w:val="Headerorfooter0"/>
                      <w:rPr>
                        <w:sz w:val="15"/>
                        <w:szCs w:val="15"/>
                      </w:rPr>
                    </w:pPr>
                    <w:r>
                      <w:rPr>
                        <w:rFonts w:ascii="Times New Roman" w:eastAsia="Times New Roman" w:hAnsi="Times New Roman" w:cs="Times New Roman"/>
                        <w:sz w:val="15"/>
                        <w:szCs w:val="15"/>
                        <w:shd w:val="clear" w:color="auto" w:fill="FFFFFF"/>
                      </w:rPr>
                      <w:t>* Whitley RJ, MacDonald N, Asher DM and the Committee on Infectious Diseases. Transmissible</w:t>
                    </w:r>
                  </w:p>
                  <w:p w14:paraId="40713CFD" w14:textId="77777777" w:rsidR="00D03C17" w:rsidRDefault="00D03C17">
                    <w:pPr>
                      <w:pStyle w:val="Headerorfooter0"/>
                      <w:rPr>
                        <w:sz w:val="15"/>
                        <w:szCs w:val="15"/>
                      </w:rPr>
                    </w:pPr>
                    <w:r>
                      <w:rPr>
                        <w:rFonts w:ascii="Times New Roman" w:eastAsia="Times New Roman" w:hAnsi="Times New Roman" w:cs="Times New Roman"/>
                        <w:sz w:val="15"/>
                        <w:szCs w:val="15"/>
                      </w:rPr>
                      <w:t xml:space="preserve">spongiform encephalopathies: a review for pediatricians. </w:t>
                    </w:r>
                    <w:r>
                      <w:rPr>
                        <w:rFonts w:ascii="Times New Roman" w:eastAsia="Times New Roman" w:hAnsi="Times New Roman" w:cs="Times New Roman"/>
                        <w:i/>
                        <w:iCs/>
                        <w:sz w:val="15"/>
                        <w:szCs w:val="15"/>
                      </w:rPr>
                      <w:t>Pediatrics.</w:t>
                    </w:r>
                    <w:r>
                      <w:rPr>
                        <w:rFonts w:ascii="Times New Roman" w:eastAsia="Times New Roman" w:hAnsi="Times New Roman" w:cs="Times New Roman"/>
                        <w:sz w:val="15"/>
                        <w:szCs w:val="15"/>
                      </w:rPr>
                      <w:t xml:space="preserve"> 2000;106:1160-1165.</w:t>
                    </w:r>
                  </w:p>
                </w:txbxContent>
              </v:textbox>
              <w10:wrap anchorx="page" anchory="page"/>
            </v:shape>
          </w:pict>
        </mc:Fallback>
      </mc:AlternateContent>
    </w:r>
  </w:p>
</w:ftr>
</file>

<file path=word/footer1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04914" w14:textId="77777777" w:rsidR="00D03C17" w:rsidRDefault="00D03C17">
    <w:pPr>
      <w:spacing w:line="1" w:lineRule="exact"/>
    </w:pPr>
    <w:r>
      <w:rPr>
        <w:noProof/>
      </w:rPr>
      <mc:AlternateContent>
        <mc:Choice Requires="wps">
          <w:drawing>
            <wp:anchor distT="0" distB="0" distL="0" distR="0" simplePos="0" relativeHeight="251969536" behindDoc="1" locked="0" layoutInCell="1" allowOverlap="1" wp14:anchorId="3A54E19B" wp14:editId="655FDD5C">
              <wp:simplePos x="0" y="0"/>
              <wp:positionH relativeFrom="page">
                <wp:posOffset>737870</wp:posOffset>
              </wp:positionH>
              <wp:positionV relativeFrom="page">
                <wp:posOffset>7680960</wp:posOffset>
              </wp:positionV>
              <wp:extent cx="3892550" cy="222250"/>
              <wp:effectExtent l="0" t="0" r="0" b="0"/>
              <wp:wrapNone/>
              <wp:docPr id="1563" name="Shape 1563"/>
              <wp:cNvGraphicFramePr/>
              <a:graphic xmlns:a="http://schemas.openxmlformats.org/drawingml/2006/main">
                <a:graphicData uri="http://schemas.microsoft.com/office/word/2010/wordprocessingShape">
                  <wps:wsp>
                    <wps:cNvSpPr txBox="1"/>
                    <wps:spPr>
                      <a:xfrm>
                        <a:off x="0" y="0"/>
                        <a:ext cx="3892550" cy="222250"/>
                      </a:xfrm>
                      <a:prstGeom prst="rect">
                        <a:avLst/>
                      </a:prstGeom>
                      <a:noFill/>
                    </wps:spPr>
                    <wps:txbx>
                      <w:txbxContent>
                        <w:p w14:paraId="7A1CDD4D" w14:textId="77777777" w:rsidR="00D03C17" w:rsidRDefault="00D03C17">
                          <w:pPr>
                            <w:pStyle w:val="Headerorfooter0"/>
                            <w:rPr>
                              <w:sz w:val="15"/>
                              <w:szCs w:val="15"/>
                            </w:rPr>
                          </w:pPr>
                          <w:r>
                            <w:rPr>
                              <w:rFonts w:ascii="Times New Roman" w:eastAsia="Times New Roman" w:hAnsi="Times New Roman" w:cs="Times New Roman"/>
                              <w:sz w:val="15"/>
                              <w:szCs w:val="15"/>
                              <w:shd w:val="clear" w:color="auto" w:fill="FFFFFF"/>
                            </w:rPr>
                            <w:t>* Whitley RJ, MacDonald N, Asher DM and the Committee on Infectious Diseases. Transmissible</w:t>
                          </w:r>
                        </w:p>
                        <w:p w14:paraId="4062C696" w14:textId="77777777" w:rsidR="00D03C17" w:rsidRDefault="00D03C17">
                          <w:pPr>
                            <w:pStyle w:val="Headerorfooter0"/>
                            <w:rPr>
                              <w:sz w:val="15"/>
                              <w:szCs w:val="15"/>
                            </w:rPr>
                          </w:pPr>
                          <w:r>
                            <w:rPr>
                              <w:rFonts w:ascii="Times New Roman" w:eastAsia="Times New Roman" w:hAnsi="Times New Roman" w:cs="Times New Roman"/>
                              <w:sz w:val="15"/>
                              <w:szCs w:val="15"/>
                            </w:rPr>
                            <w:t xml:space="preserve">spongiform encephalopathies: a review for pediatricians. </w:t>
                          </w:r>
                          <w:r>
                            <w:rPr>
                              <w:rFonts w:ascii="Times New Roman" w:eastAsia="Times New Roman" w:hAnsi="Times New Roman" w:cs="Times New Roman"/>
                              <w:i/>
                              <w:iCs/>
                              <w:sz w:val="15"/>
                              <w:szCs w:val="15"/>
                            </w:rPr>
                            <w:t>Pediatrics.</w:t>
                          </w:r>
                          <w:r>
                            <w:rPr>
                              <w:rFonts w:ascii="Times New Roman" w:eastAsia="Times New Roman" w:hAnsi="Times New Roman" w:cs="Times New Roman"/>
                              <w:sz w:val="15"/>
                              <w:szCs w:val="15"/>
                            </w:rPr>
                            <w:t xml:space="preserve"> 2000;106:1160-1165.</w:t>
                          </w:r>
                        </w:p>
                      </w:txbxContent>
                    </wps:txbx>
                    <wps:bodyPr wrap="none" lIns="0" tIns="0" rIns="0" bIns="0">
                      <a:spAutoFit/>
                    </wps:bodyPr>
                  </wps:wsp>
                </a:graphicData>
              </a:graphic>
            </wp:anchor>
          </w:drawing>
        </mc:Choice>
        <mc:Fallback>
          <w:pict>
            <v:shapetype w14:anchorId="3A54E19B" id="_x0000_t202" coordsize="21600,21600" o:spt="202" path="m,l,21600r21600,l21600,xe">
              <v:stroke joinstyle="miter"/>
              <v:path gradientshapeok="t" o:connecttype="rect"/>
            </v:shapetype>
            <v:shape id="Shape 1563" o:spid="_x0000_s1162" type="#_x0000_t202" style="position:absolute;margin-left:58.1pt;margin-top:604.8pt;width:306.5pt;height:17.5pt;z-index:-25134694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" filled="f" stroked="f">
              <v:textbox style="mso-fit-shape-to-text:t" inset="0,0,0,0">
                <w:txbxContent>
                  <w:p w14:paraId="7A1CDD4D" w14:textId="77777777" w:rsidR="00D03C17" w:rsidRDefault="00D03C17">
                    <w:pPr>
                      <w:pStyle w:val="Headerorfooter0"/>
                      <w:rPr>
                        <w:sz w:val="15"/>
                        <w:szCs w:val="15"/>
                      </w:rPr>
                    </w:pPr>
                    <w:r>
                      <w:rPr>
                        <w:rFonts w:ascii="Times New Roman" w:eastAsia="Times New Roman" w:hAnsi="Times New Roman" w:cs="Times New Roman"/>
                        <w:sz w:val="15"/>
                        <w:szCs w:val="15"/>
                        <w:shd w:val="clear" w:color="auto" w:fill="FFFFFF"/>
                      </w:rPr>
                      <w:t>* Whitley RJ, MacDonald N, Asher DM and the Committee on Infectious Diseases. Transmissible</w:t>
                    </w:r>
                  </w:p>
                  <w:p w14:paraId="4062C696" w14:textId="77777777" w:rsidR="00D03C17" w:rsidRDefault="00D03C17">
                    <w:pPr>
                      <w:pStyle w:val="Headerorfooter0"/>
                      <w:rPr>
                        <w:sz w:val="15"/>
                        <w:szCs w:val="15"/>
                      </w:rPr>
                    </w:pPr>
                    <w:r>
                      <w:rPr>
                        <w:rFonts w:ascii="Times New Roman" w:eastAsia="Times New Roman" w:hAnsi="Times New Roman" w:cs="Times New Roman"/>
                        <w:sz w:val="15"/>
                        <w:szCs w:val="15"/>
                      </w:rPr>
                      <w:t xml:space="preserve">spongiform encephalopathies: a review for pediatricians. </w:t>
                    </w:r>
                    <w:r>
                      <w:rPr>
                        <w:rFonts w:ascii="Times New Roman" w:eastAsia="Times New Roman" w:hAnsi="Times New Roman" w:cs="Times New Roman"/>
                        <w:i/>
                        <w:iCs/>
                        <w:sz w:val="15"/>
                        <w:szCs w:val="15"/>
                      </w:rPr>
                      <w:t>Pediatrics.</w:t>
                    </w:r>
                    <w:r>
                      <w:rPr>
                        <w:rFonts w:ascii="Times New Roman" w:eastAsia="Times New Roman" w:hAnsi="Times New Roman" w:cs="Times New Roman"/>
                        <w:sz w:val="15"/>
                        <w:szCs w:val="15"/>
                      </w:rPr>
                      <w:t xml:space="preserve"> 2000;106:1160-1165.</w:t>
                    </w:r>
                  </w:p>
                </w:txbxContent>
              </v:textbox>
              <w10:wrap anchorx="page" anchory="page"/>
            </v:shape>
          </w:pict>
        </mc:Fallback>
      </mc:AlternateContent>
    </w:r>
  </w:p>
</w:ftr>
</file>

<file path=word/footer1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83C3A" w14:textId="77777777" w:rsidR="00D03C17" w:rsidRDefault="00D03C17">
    <w:pPr>
      <w:spacing w:line="1" w:lineRule="exact"/>
    </w:pPr>
  </w:p>
</w:ftr>
</file>

<file path=word/footer1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1ADB2" w14:textId="77777777" w:rsidR="00D03C17" w:rsidRDefault="00D03C17">
    <w:pPr>
      <w:spacing w:line="1" w:lineRule="exact"/>
    </w:pPr>
  </w:p>
</w:ftr>
</file>

<file path=word/footer1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98537" w14:textId="77777777" w:rsidR="00D03C17" w:rsidRDefault="00D03C17">
    <w:pPr>
      <w:spacing w:line="1" w:lineRule="exact"/>
    </w:pPr>
  </w:p>
</w:ftr>
</file>

<file path=word/footer1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7C015" w14:textId="77777777" w:rsidR="00D03C17" w:rsidRDefault="00D03C17">
    <w:pPr>
      <w:spacing w:line="1" w:lineRule="exact"/>
    </w:pPr>
  </w:p>
</w:ftr>
</file>

<file path=word/footer1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177B7" w14:textId="77777777" w:rsidR="00D03C17" w:rsidRDefault="00D03C17">
    <w:pPr>
      <w:spacing w:line="1" w:lineRule="exact"/>
    </w:pPr>
  </w:p>
</w:ftr>
</file>

<file path=word/footer1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FF0D7" w14:textId="77777777" w:rsidR="00D03C17" w:rsidRDefault="00D03C17">
    <w:pPr>
      <w:spacing w:line="1" w:lineRule="exact"/>
    </w:pPr>
  </w:p>
</w:ftr>
</file>

<file path=word/footer1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FDC2C" w14:textId="77777777" w:rsidR="00D03C17" w:rsidRDefault="00D03C17"/>
</w:ftr>
</file>

<file path=word/footer1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6F1A8" w14:textId="77777777" w:rsidR="00D03C17" w:rsidRDefault="00D03C17"/>
</w:ftr>
</file>

<file path=word/footer1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5E524" w14:textId="77777777" w:rsidR="00D03C17" w:rsidRDefault="00D03C17">
    <w:pPr>
      <w:spacing w:line="1" w:lineRule="exact"/>
    </w:pPr>
  </w:p>
</w:ftr>
</file>

<file path=word/footer1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D90EC" w14:textId="77777777" w:rsidR="00D03C17" w:rsidRDefault="00D03C17">
    <w:pPr>
      <w:spacing w:line="1" w:lineRule="exact"/>
    </w:pPr>
  </w:p>
</w:ftr>
</file>

<file path=word/footer1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C9F98" w14:textId="77777777" w:rsidR="00D03C17" w:rsidRDefault="00D03C17">
    <w:pPr>
      <w:spacing w:line="1" w:lineRule="exact"/>
    </w:pPr>
  </w:p>
</w:ftr>
</file>

<file path=word/footer1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852C2" w14:textId="77777777" w:rsidR="00D03C17" w:rsidRDefault="00D03C17">
    <w:pPr>
      <w:spacing w:line="1" w:lineRule="exact"/>
    </w:pPr>
    <w:r>
      <w:rPr>
        <w:noProof/>
      </w:rPr>
      <mc:AlternateContent>
        <mc:Choice Requires="wps">
          <w:drawing>
            <wp:anchor distT="0" distB="0" distL="0" distR="0" simplePos="0" relativeHeight="251986944" behindDoc="1" locked="0" layoutInCell="1" allowOverlap="1" wp14:anchorId="7775BFAE" wp14:editId="7B477F4A">
              <wp:simplePos x="0" y="0"/>
              <wp:positionH relativeFrom="page">
                <wp:posOffset>737870</wp:posOffset>
              </wp:positionH>
              <wp:positionV relativeFrom="page">
                <wp:posOffset>7672070</wp:posOffset>
              </wp:positionV>
              <wp:extent cx="4273550" cy="222250"/>
              <wp:effectExtent l="0" t="0" r="0" b="0"/>
              <wp:wrapNone/>
              <wp:docPr id="1627" name="Shape 1627"/>
              <wp:cNvGraphicFramePr/>
              <a:graphic xmlns:a="http://schemas.openxmlformats.org/drawingml/2006/main">
                <a:graphicData uri="http://schemas.microsoft.com/office/word/2010/wordprocessingShape">
                  <wps:wsp>
                    <wps:cNvSpPr txBox="1"/>
                    <wps:spPr>
                      <a:xfrm>
                        <a:off x="0" y="0"/>
                        <a:ext cx="4273550" cy="222250"/>
                      </a:xfrm>
                      <a:prstGeom prst="rect">
                        <a:avLst/>
                      </a:prstGeom>
                      <a:noFill/>
                    </wps:spPr>
                    <wps:txbx>
                      <w:txbxContent>
                        <w:p w14:paraId="3A5B5E10" w14:textId="77777777" w:rsidR="00D03C17" w:rsidRDefault="00D03C17">
                          <w:pPr>
                            <w:pStyle w:val="Headerorfooter0"/>
                            <w:rPr>
                              <w:sz w:val="15"/>
                              <w:szCs w:val="15"/>
                            </w:rPr>
                          </w:pPr>
                          <w:r>
                            <w:rPr>
                              <w:rFonts w:ascii="Times New Roman" w:eastAsia="Times New Roman" w:hAnsi="Times New Roman" w:cs="Times New Roman"/>
                              <w:sz w:val="15"/>
                              <w:szCs w:val="15"/>
                              <w:shd w:val="clear" w:color="auto" w:fill="FFFFFF"/>
                            </w:rPr>
                            <w:t>* Centers for Disease Control and Prevention. Compendium of animal rabies prevention and control, 2001-</w:t>
                          </w:r>
                        </w:p>
                        <w:p w14:paraId="5E3461AE" w14:textId="77777777" w:rsidR="00D03C17" w:rsidRDefault="00D03C17">
                          <w:pPr>
                            <w:pStyle w:val="Headerorfooter0"/>
                            <w:rPr>
                              <w:sz w:val="15"/>
                              <w:szCs w:val="15"/>
                            </w:rPr>
                          </w:pPr>
                          <w:r>
                            <w:rPr>
                              <w:rFonts w:ascii="Times New Roman" w:eastAsia="Times New Roman" w:hAnsi="Times New Roman" w:cs="Times New Roman"/>
                              <w:sz w:val="15"/>
                              <w:szCs w:val="15"/>
                            </w:rPr>
                            <w:t xml:space="preserve">National Association of State Public Health Veterinarians Inc. </w:t>
                          </w:r>
                          <w:r>
                            <w:rPr>
                              <w:rFonts w:ascii="Times New Roman" w:eastAsia="Times New Roman" w:hAnsi="Times New Roman" w:cs="Times New Roman"/>
                              <w:i/>
                              <w:iCs/>
                              <w:sz w:val="15"/>
                              <w:szCs w:val="15"/>
                            </w:rPr>
                            <w:t>MMWR Recomm Rep.</w:t>
                          </w:r>
                          <w:r>
                            <w:rPr>
                              <w:rFonts w:ascii="Times New Roman" w:eastAsia="Times New Roman" w:hAnsi="Times New Roman" w:cs="Times New Roman"/>
                              <w:sz w:val="15"/>
                              <w:szCs w:val="15"/>
                            </w:rPr>
                            <w:t xml:space="preserve"> 2001;50(RR-8):1-9.</w:t>
                          </w:r>
                        </w:p>
                      </w:txbxContent>
                    </wps:txbx>
                    <wps:bodyPr wrap="none" lIns="0" tIns="0" rIns="0" bIns="0">
                      <a:spAutoFit/>
                    </wps:bodyPr>
                  </wps:wsp>
                </a:graphicData>
              </a:graphic>
            </wp:anchor>
          </w:drawing>
        </mc:Choice>
        <mc:Fallback>
          <w:pict>
            <v:shapetype w14:anchorId="7775BFAE" id="_x0000_t202" coordsize="21600,21600" o:spt="202" path="m,l,21600r21600,l21600,xe">
              <v:stroke joinstyle="miter"/>
              <v:path gradientshapeok="t" o:connecttype="rect"/>
            </v:shapetype>
            <v:shape id="Shape 1627" o:spid="_x0000_s1176" type="#_x0000_t202" style="position:absolute;margin-left:58.1pt;margin-top:604.1pt;width:336.5pt;height:17.5pt;z-index:-25132953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" filled="f" stroked="f">
              <v:textbox style="mso-fit-shape-to-text:t" inset="0,0,0,0">
                <w:txbxContent>
                  <w:p w14:paraId="3A5B5E10" w14:textId="77777777" w:rsidR="00D03C17" w:rsidRDefault="00D03C17">
                    <w:pPr>
                      <w:pStyle w:val="Headerorfooter0"/>
                      <w:rPr>
                        <w:sz w:val="15"/>
                        <w:szCs w:val="15"/>
                      </w:rPr>
                    </w:pPr>
                    <w:r>
                      <w:rPr>
                        <w:rFonts w:ascii="Times New Roman" w:eastAsia="Times New Roman" w:hAnsi="Times New Roman" w:cs="Times New Roman"/>
                        <w:sz w:val="15"/>
                        <w:szCs w:val="15"/>
                        <w:shd w:val="clear" w:color="auto" w:fill="FFFFFF"/>
                      </w:rPr>
                      <w:t>* Centers for Disease Control and Prevention. Compendium of animal rabies prevention and control, 2001-</w:t>
                    </w:r>
                  </w:p>
                  <w:p w14:paraId="5E3461AE" w14:textId="77777777" w:rsidR="00D03C17" w:rsidRDefault="00D03C17">
                    <w:pPr>
                      <w:pStyle w:val="Headerorfooter0"/>
                      <w:rPr>
                        <w:sz w:val="15"/>
                        <w:szCs w:val="15"/>
                      </w:rPr>
                    </w:pPr>
                    <w:r>
                      <w:rPr>
                        <w:rFonts w:ascii="Times New Roman" w:eastAsia="Times New Roman" w:hAnsi="Times New Roman" w:cs="Times New Roman"/>
                        <w:sz w:val="15"/>
                        <w:szCs w:val="15"/>
                      </w:rPr>
                      <w:t xml:space="preserve">National Association of State Public Health Veterinarians Inc. </w:t>
                    </w:r>
                    <w:r>
                      <w:rPr>
                        <w:rFonts w:ascii="Times New Roman" w:eastAsia="Times New Roman" w:hAnsi="Times New Roman" w:cs="Times New Roman"/>
                        <w:i/>
                        <w:iCs/>
                        <w:sz w:val="15"/>
                        <w:szCs w:val="15"/>
                      </w:rPr>
                      <w:t>MMWR Recomm Rep.</w:t>
                    </w:r>
                    <w:r>
                      <w:rPr>
                        <w:rFonts w:ascii="Times New Roman" w:eastAsia="Times New Roman" w:hAnsi="Times New Roman" w:cs="Times New Roman"/>
                        <w:sz w:val="15"/>
                        <w:szCs w:val="15"/>
                      </w:rPr>
                      <w:t xml:space="preserve"> 2001;50(RR-8):1-9.</w:t>
                    </w:r>
                  </w:p>
                </w:txbxContent>
              </v:textbox>
              <w10:wrap anchorx="page" anchory="page"/>
            </v:shape>
          </w:pict>
        </mc:Fallback>
      </mc:AlternateContent>
    </w:r>
  </w:p>
</w:ftr>
</file>

<file path=word/footer1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061C8" w14:textId="77777777" w:rsidR="00D03C17" w:rsidRDefault="00D03C17">
    <w:pPr>
      <w:spacing w:line="1" w:lineRule="exact"/>
    </w:pPr>
    <w:r>
      <w:rPr>
        <w:noProof/>
      </w:rPr>
      <mc:AlternateContent>
        <mc:Choice Requires="wps">
          <w:drawing>
            <wp:anchor distT="0" distB="0" distL="0" distR="0" simplePos="0" relativeHeight="251984896" behindDoc="1" locked="0" layoutInCell="1" allowOverlap="1" wp14:anchorId="00EB32E5" wp14:editId="5A0C3C27">
              <wp:simplePos x="0" y="0"/>
              <wp:positionH relativeFrom="page">
                <wp:posOffset>737870</wp:posOffset>
              </wp:positionH>
              <wp:positionV relativeFrom="page">
                <wp:posOffset>7672070</wp:posOffset>
              </wp:positionV>
              <wp:extent cx="4273550" cy="222250"/>
              <wp:effectExtent l="0" t="0" r="0" b="0"/>
              <wp:wrapNone/>
              <wp:docPr id="1622" name="Shape 1622"/>
              <wp:cNvGraphicFramePr/>
              <a:graphic xmlns:a="http://schemas.openxmlformats.org/drawingml/2006/main">
                <a:graphicData uri="http://schemas.microsoft.com/office/word/2010/wordprocessingShape">
                  <wps:wsp>
                    <wps:cNvSpPr txBox="1"/>
                    <wps:spPr>
                      <a:xfrm>
                        <a:off x="0" y="0"/>
                        <a:ext cx="4273550" cy="222250"/>
                      </a:xfrm>
                      <a:prstGeom prst="rect">
                        <a:avLst/>
                      </a:prstGeom>
                      <a:noFill/>
                    </wps:spPr>
                    <wps:txbx>
                      <w:txbxContent>
                        <w:p w14:paraId="4209BBCA" w14:textId="77777777" w:rsidR="00D03C17" w:rsidRDefault="00D03C17">
                          <w:pPr>
                            <w:pStyle w:val="Headerorfooter0"/>
                            <w:rPr>
                              <w:sz w:val="15"/>
                              <w:szCs w:val="15"/>
                            </w:rPr>
                          </w:pPr>
                          <w:r>
                            <w:rPr>
                              <w:rFonts w:ascii="Times New Roman" w:eastAsia="Times New Roman" w:hAnsi="Times New Roman" w:cs="Times New Roman"/>
                              <w:sz w:val="15"/>
                              <w:szCs w:val="15"/>
                              <w:shd w:val="clear" w:color="auto" w:fill="FFFFFF"/>
                            </w:rPr>
                            <w:t>* Centers for Disease Control and Prevention. Compendium of animal rabies prevention and control, 2001-</w:t>
                          </w:r>
                        </w:p>
                        <w:p w14:paraId="0A76151E" w14:textId="77777777" w:rsidR="00D03C17" w:rsidRDefault="00D03C17">
                          <w:pPr>
                            <w:pStyle w:val="Headerorfooter0"/>
                            <w:rPr>
                              <w:sz w:val="15"/>
                              <w:szCs w:val="15"/>
                            </w:rPr>
                          </w:pPr>
                          <w:r>
                            <w:rPr>
                              <w:rFonts w:ascii="Times New Roman" w:eastAsia="Times New Roman" w:hAnsi="Times New Roman" w:cs="Times New Roman"/>
                              <w:sz w:val="15"/>
                              <w:szCs w:val="15"/>
                            </w:rPr>
                            <w:t xml:space="preserve">National Association of State Public Health Veterinarians Inc. </w:t>
                          </w:r>
                          <w:r>
                            <w:rPr>
                              <w:rFonts w:ascii="Times New Roman" w:eastAsia="Times New Roman" w:hAnsi="Times New Roman" w:cs="Times New Roman"/>
                              <w:i/>
                              <w:iCs/>
                              <w:sz w:val="15"/>
                              <w:szCs w:val="15"/>
                            </w:rPr>
                            <w:t>MMWR Recomm Rep.</w:t>
                          </w:r>
                          <w:r>
                            <w:rPr>
                              <w:rFonts w:ascii="Times New Roman" w:eastAsia="Times New Roman" w:hAnsi="Times New Roman" w:cs="Times New Roman"/>
                              <w:sz w:val="15"/>
                              <w:szCs w:val="15"/>
                            </w:rPr>
                            <w:t xml:space="preserve"> 2001;50(RR-8):1-9.</w:t>
                          </w:r>
                        </w:p>
                      </w:txbxContent>
                    </wps:txbx>
                    <wps:bodyPr wrap="none" lIns="0" tIns="0" rIns="0" bIns="0">
                      <a:spAutoFit/>
                    </wps:bodyPr>
                  </wps:wsp>
                </a:graphicData>
              </a:graphic>
            </wp:anchor>
          </w:drawing>
        </mc:Choice>
        <mc:Fallback>
          <w:pict>
            <v:shapetype w14:anchorId="00EB32E5" id="_x0000_t202" coordsize="21600,21600" o:spt="202" path="m,l,21600r21600,l21600,xe">
              <v:stroke joinstyle="miter"/>
              <v:path gradientshapeok="t" o:connecttype="rect"/>
            </v:shapetype>
            <v:shape id="Shape 1622" o:spid="_x0000_s1177" type="#_x0000_t202" style="position:absolute;margin-left:58.1pt;margin-top:604.1pt;width:336.5pt;height:17.5pt;z-index:-25133158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" filled="f" stroked="f">
              <v:textbox style="mso-fit-shape-to-text:t" inset="0,0,0,0">
                <w:txbxContent>
                  <w:p w14:paraId="4209BBCA" w14:textId="77777777" w:rsidR="00D03C17" w:rsidRDefault="00D03C17">
                    <w:pPr>
                      <w:pStyle w:val="Headerorfooter0"/>
                      <w:rPr>
                        <w:sz w:val="15"/>
                        <w:szCs w:val="15"/>
                      </w:rPr>
                    </w:pPr>
                    <w:r>
                      <w:rPr>
                        <w:rFonts w:ascii="Times New Roman" w:eastAsia="Times New Roman" w:hAnsi="Times New Roman" w:cs="Times New Roman"/>
                        <w:sz w:val="15"/>
                        <w:szCs w:val="15"/>
                        <w:shd w:val="clear" w:color="auto" w:fill="FFFFFF"/>
                      </w:rPr>
                      <w:t>* Centers for Disease Control and Prevention. Compendium of animal rabies prevention and control, 2001-</w:t>
                    </w:r>
                  </w:p>
                  <w:p w14:paraId="0A76151E" w14:textId="77777777" w:rsidR="00D03C17" w:rsidRDefault="00D03C17">
                    <w:pPr>
                      <w:pStyle w:val="Headerorfooter0"/>
                      <w:rPr>
                        <w:sz w:val="15"/>
                        <w:szCs w:val="15"/>
                      </w:rPr>
                    </w:pPr>
                    <w:r>
                      <w:rPr>
                        <w:rFonts w:ascii="Times New Roman" w:eastAsia="Times New Roman" w:hAnsi="Times New Roman" w:cs="Times New Roman"/>
                        <w:sz w:val="15"/>
                        <w:szCs w:val="15"/>
                      </w:rPr>
                      <w:t xml:space="preserve">National Association of State Public Health Veterinarians Inc. </w:t>
                    </w:r>
                    <w:r>
                      <w:rPr>
                        <w:rFonts w:ascii="Times New Roman" w:eastAsia="Times New Roman" w:hAnsi="Times New Roman" w:cs="Times New Roman"/>
                        <w:i/>
                        <w:iCs/>
                        <w:sz w:val="15"/>
                        <w:szCs w:val="15"/>
                      </w:rPr>
                      <w:t>MMWR Recomm Rep.</w:t>
                    </w:r>
                    <w:r>
                      <w:rPr>
                        <w:rFonts w:ascii="Times New Roman" w:eastAsia="Times New Roman" w:hAnsi="Times New Roman" w:cs="Times New Roman"/>
                        <w:sz w:val="15"/>
                        <w:szCs w:val="15"/>
                      </w:rPr>
                      <w:t xml:space="preserve"> 2001;50(RR-8):1-9.</w:t>
                    </w:r>
                  </w:p>
                </w:txbxContent>
              </v:textbox>
              <w10:wrap anchorx="page" anchory="page"/>
            </v:shape>
          </w:pict>
        </mc:Fallback>
      </mc:AlternateContent>
    </w:r>
  </w:p>
</w:ftr>
</file>

<file path=word/footer1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E47D0" w14:textId="77777777" w:rsidR="00D03C17" w:rsidRDefault="00D03C17"/>
</w:ftr>
</file>

<file path=word/footer1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E1A9A" w14:textId="77777777" w:rsidR="00D03C17" w:rsidRDefault="00D03C17"/>
</w:ftr>
</file>

<file path=word/footer1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B76A7" w14:textId="77777777" w:rsidR="00D03C17" w:rsidRDefault="00D03C17">
    <w:pPr>
      <w:spacing w:line="1" w:lineRule="exact"/>
    </w:pPr>
  </w:p>
</w:ftr>
</file>

<file path=word/footer1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2BC8A" w14:textId="77777777" w:rsidR="00D03C17" w:rsidRDefault="00D03C17">
    <w:pPr>
      <w:spacing w:line="1" w:lineRule="exact"/>
    </w:pPr>
  </w:p>
</w:ftr>
</file>

<file path=word/footer1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A0B50" w14:textId="77777777" w:rsidR="00D03C17" w:rsidRDefault="00D03C17"/>
</w:ftr>
</file>

<file path=word/footer1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148C6" w14:textId="77777777" w:rsidR="00D03C17" w:rsidRDefault="00D03C17"/>
</w:ftr>
</file>

<file path=word/footer1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0B1BC" w14:textId="77777777" w:rsidR="00D03C17" w:rsidRDefault="00D03C17">
    <w:pPr>
      <w:spacing w:line="1" w:lineRule="exact"/>
    </w:pPr>
  </w:p>
</w:ftr>
</file>

<file path=word/footer1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69192" w14:textId="77777777" w:rsidR="00D03C17" w:rsidRDefault="00D03C17">
    <w:pPr>
      <w:spacing w:line="1" w:lineRule="exact"/>
    </w:pPr>
  </w:p>
</w:ftr>
</file>

<file path=word/footer1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D6333" w14:textId="77777777" w:rsidR="00D03C17" w:rsidRDefault="00D03C17">
    <w:pPr>
      <w:spacing w:line="1" w:lineRule="exact"/>
    </w:pPr>
  </w:p>
</w:ftr>
</file>

<file path=word/footer1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3CBAF" w14:textId="77777777" w:rsidR="00D03C17" w:rsidRDefault="00D03C17">
    <w:pPr>
      <w:spacing w:line="1" w:lineRule="exact"/>
    </w:pPr>
  </w:p>
</w:ftr>
</file>

<file path=word/footer1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A8F70" w14:textId="77777777" w:rsidR="00D03C17" w:rsidRDefault="00D03C17">
    <w:pPr>
      <w:spacing w:line="1" w:lineRule="exact"/>
    </w:pPr>
  </w:p>
</w:ftr>
</file>

<file path=word/footer1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10CA3" w14:textId="77777777" w:rsidR="00D03C17" w:rsidRDefault="00D03C17">
    <w:pPr>
      <w:spacing w:line="1" w:lineRule="exact"/>
    </w:pPr>
  </w:p>
</w:ftr>
</file>

<file path=word/footer1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45088" w14:textId="77777777" w:rsidR="00D03C17" w:rsidRDefault="00D03C17"/>
</w:ftr>
</file>

<file path=word/footer1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F53DE" w14:textId="77777777" w:rsidR="00D03C17" w:rsidRDefault="00D03C17"/>
</w:ftr>
</file>

<file path=word/footer1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7077E" w14:textId="77777777" w:rsidR="00D03C17" w:rsidRDefault="00D03C17">
    <w:pPr>
      <w:spacing w:line="1" w:lineRule="exact"/>
    </w:pPr>
  </w:p>
</w:ftr>
</file>

<file path=word/footer1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1C581" w14:textId="77777777" w:rsidR="00D03C17" w:rsidRDefault="00D03C17">
    <w:pPr>
      <w:spacing w:line="1" w:lineRule="exact"/>
    </w:pPr>
  </w:p>
</w:ftr>
</file>

<file path=word/footer1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386ED" w14:textId="77777777" w:rsidR="00D03C17" w:rsidRDefault="00D03C17">
    <w:pPr>
      <w:spacing w:line="1" w:lineRule="exact"/>
    </w:pPr>
  </w:p>
</w:ftr>
</file>

<file path=word/footer1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BEE41" w14:textId="77777777" w:rsidR="00D03C17" w:rsidRDefault="00D03C17">
    <w:pPr>
      <w:spacing w:line="1" w:lineRule="exact"/>
    </w:pPr>
  </w:p>
</w:ftr>
</file>

<file path=word/footer1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F01AB" w14:textId="77777777" w:rsidR="00D03C17" w:rsidRDefault="00D03C17">
    <w:pPr>
      <w:spacing w:line="1" w:lineRule="exact"/>
    </w:pPr>
  </w:p>
</w:ftr>
</file>

<file path=word/footer1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AC1DB" w14:textId="77777777" w:rsidR="00D03C17" w:rsidRDefault="00D03C17">
    <w:pPr>
      <w:spacing w:line="1" w:lineRule="exact"/>
    </w:pPr>
  </w:p>
</w:ftr>
</file>

<file path=word/footer1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1232C" w14:textId="77777777" w:rsidR="00D03C17" w:rsidRDefault="00D03C17">
    <w:pPr>
      <w:spacing w:line="1" w:lineRule="exact"/>
    </w:pPr>
  </w:p>
</w:ftr>
</file>

<file path=word/footer1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652E8" w14:textId="77777777" w:rsidR="00D03C17" w:rsidRDefault="00D03C17"/>
</w:ftr>
</file>

<file path=word/footer1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D79DA" w14:textId="77777777" w:rsidR="00D03C17" w:rsidRDefault="00D03C17"/>
</w:ftr>
</file>

<file path=word/footer1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F5534" w14:textId="77777777" w:rsidR="00D03C17" w:rsidRDefault="00D03C17">
    <w:pPr>
      <w:spacing w:line="1" w:lineRule="exact"/>
    </w:pPr>
  </w:p>
</w:ftr>
</file>

<file path=word/footer1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2D59C" w14:textId="77777777" w:rsidR="00D03C17" w:rsidRDefault="00D03C17">
    <w:pPr>
      <w:spacing w:line="1" w:lineRule="exact"/>
    </w:pPr>
  </w:p>
</w:ftr>
</file>

<file path=word/footer1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4C983" w14:textId="77777777" w:rsidR="00D03C17" w:rsidRDefault="00D03C17"/>
</w:ftr>
</file>

<file path=word/footer1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9B38C" w14:textId="77777777" w:rsidR="00D03C17" w:rsidRDefault="00D03C17"/>
</w:ftr>
</file>

<file path=word/footer1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D9D4D" w14:textId="77777777" w:rsidR="00D03C17" w:rsidRDefault="00D03C17">
    <w:pPr>
      <w:spacing w:line="1" w:lineRule="exact"/>
    </w:pPr>
  </w:p>
</w:ftr>
</file>

<file path=word/footer1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D3307" w14:textId="77777777" w:rsidR="00D03C17" w:rsidRDefault="00D03C17">
    <w:pPr>
      <w:spacing w:line="1" w:lineRule="exact"/>
    </w:pPr>
  </w:p>
</w:ftr>
</file>

<file path=word/footer1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DFD13" w14:textId="77777777" w:rsidR="00D03C17" w:rsidRDefault="00D03C17">
    <w:pPr>
      <w:spacing w:line="1" w:lineRule="exact"/>
    </w:pPr>
  </w:p>
</w:ftr>
</file>

<file path=word/footer1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0C274" w14:textId="77777777" w:rsidR="00D03C17" w:rsidRDefault="00D03C17">
    <w:pPr>
      <w:spacing w:line="1" w:lineRule="exact"/>
    </w:pPr>
  </w:p>
</w:ftr>
</file>

<file path=word/footer1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78D57" w14:textId="77777777" w:rsidR="00D03C17" w:rsidRDefault="00D03C17">
    <w:pPr>
      <w:spacing w:line="1" w:lineRule="exact"/>
    </w:pPr>
  </w:p>
</w:ftr>
</file>

<file path=word/footer1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7574D" w14:textId="77777777" w:rsidR="00D03C17" w:rsidRDefault="00D03C17">
    <w:pPr>
      <w:spacing w:line="1" w:lineRule="exact"/>
    </w:pPr>
  </w:p>
</w:ftr>
</file>

<file path=word/footer1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1D2D8" w14:textId="77777777" w:rsidR="00D03C17" w:rsidRDefault="00D03C17">
    <w:pPr>
      <w:spacing w:line="1" w:lineRule="exact"/>
    </w:pPr>
  </w:p>
</w:ftr>
</file>

<file path=word/footer1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71DA5" w14:textId="77777777" w:rsidR="00D03C17" w:rsidRDefault="00D03C17">
    <w:pPr>
      <w:spacing w:line="1" w:lineRule="exact"/>
    </w:pPr>
  </w:p>
</w:ftr>
</file>

<file path=word/footer1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95DAE" w14:textId="77777777" w:rsidR="00D03C17" w:rsidRDefault="00D03C17">
    <w:pPr>
      <w:spacing w:line="1" w:lineRule="exact"/>
    </w:pPr>
  </w:p>
</w:ftr>
</file>

<file path=word/footer1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93882" w14:textId="77777777" w:rsidR="00D03C17" w:rsidRDefault="00D03C17">
    <w:pPr>
      <w:spacing w:line="1" w:lineRule="exact"/>
    </w:pPr>
  </w:p>
</w:ftr>
</file>

<file path=word/footer1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C954C" w14:textId="77777777" w:rsidR="00D03C17" w:rsidRDefault="00D03C17">
    <w:pPr>
      <w:spacing w:line="1" w:lineRule="exact"/>
    </w:pPr>
  </w:p>
</w:ftr>
</file>

<file path=word/footer1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88D92" w14:textId="77777777" w:rsidR="00D03C17" w:rsidRDefault="00D03C17">
    <w:pPr>
      <w:spacing w:line="1" w:lineRule="exact"/>
    </w:pPr>
  </w:p>
</w:ftr>
</file>

<file path=word/footer1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34FE4" w14:textId="77777777" w:rsidR="00D03C17" w:rsidRDefault="00D03C17">
    <w:pPr>
      <w:spacing w:line="1" w:lineRule="exact"/>
    </w:pPr>
  </w:p>
</w:ftr>
</file>

<file path=word/footer1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97934" w14:textId="77777777" w:rsidR="00D03C17" w:rsidRDefault="00D03C17"/>
</w:ftr>
</file>

<file path=word/footer1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DA065" w14:textId="77777777" w:rsidR="00D03C17" w:rsidRDefault="00D03C17"/>
</w:ftr>
</file>

<file path=word/footer1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62582" w14:textId="77777777" w:rsidR="00D03C17" w:rsidRDefault="00D03C17">
    <w:pPr>
      <w:spacing w:line="1" w:lineRule="exact"/>
    </w:pPr>
  </w:p>
</w:ftr>
</file>

<file path=word/footer1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E181E" w14:textId="77777777" w:rsidR="00D03C17" w:rsidRDefault="00D03C17">
    <w:pPr>
      <w:spacing w:line="1" w:lineRule="exact"/>
    </w:pPr>
  </w:p>
</w:ftr>
</file>

<file path=word/footer1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35952" w14:textId="77777777" w:rsidR="00D03C17" w:rsidRDefault="00D03C17">
    <w:pPr>
      <w:spacing w:line="1" w:lineRule="exact"/>
    </w:pPr>
  </w:p>
</w:ftr>
</file>

<file path=word/footer1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69BAD" w14:textId="77777777" w:rsidR="00D03C17" w:rsidRDefault="00D03C17">
    <w:pPr>
      <w:spacing w:line="1" w:lineRule="exact"/>
    </w:pPr>
  </w:p>
</w:ftr>
</file>

<file path=word/footer1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5A2E8" w14:textId="77777777" w:rsidR="00D03C17" w:rsidRDefault="00D03C17">
    <w:pPr>
      <w:spacing w:line="1" w:lineRule="exact"/>
    </w:pPr>
  </w:p>
</w:ftr>
</file>

<file path=word/footer1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B5ABA" w14:textId="77777777" w:rsidR="00D03C17" w:rsidRDefault="00D03C17">
    <w:pPr>
      <w:spacing w:line="1" w:lineRule="exact"/>
    </w:pPr>
  </w:p>
</w:ftr>
</file>

<file path=word/footer1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D572E" w14:textId="77777777" w:rsidR="00D03C17" w:rsidRDefault="00D03C17"/>
</w:ftr>
</file>

<file path=word/footer1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BCB93" w14:textId="77777777" w:rsidR="00D03C17" w:rsidRDefault="00D03C17"/>
</w:ftr>
</file>

<file path=word/footer1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0F722" w14:textId="77777777" w:rsidR="00D03C17" w:rsidRDefault="00D03C17">
    <w:pPr>
      <w:spacing w:line="1" w:lineRule="exact"/>
    </w:pPr>
  </w:p>
</w:ftr>
</file>

<file path=word/footer1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AB2A4" w14:textId="77777777" w:rsidR="00D03C17" w:rsidRDefault="00D03C17">
    <w:pPr>
      <w:spacing w:line="1" w:lineRule="exact"/>
    </w:pPr>
  </w:p>
</w:ftr>
</file>

<file path=word/footer1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2120A" w14:textId="77777777" w:rsidR="00D03C17" w:rsidRDefault="00D03C17">
    <w:pPr>
      <w:spacing w:line="1" w:lineRule="exact"/>
    </w:pPr>
  </w:p>
</w:ftr>
</file>

<file path=word/footer1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1262D" w14:textId="77777777" w:rsidR="00D03C17" w:rsidRDefault="00D03C17">
    <w:pPr>
      <w:spacing w:line="1" w:lineRule="exact"/>
    </w:pPr>
  </w:p>
</w:ftr>
</file>

<file path=word/footer1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C4CB7" w14:textId="77777777" w:rsidR="00D03C17" w:rsidRDefault="00D03C17">
    <w:pPr>
      <w:spacing w:line="1" w:lineRule="exact"/>
    </w:pPr>
  </w:p>
</w:ftr>
</file>

<file path=word/footer1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395CA" w14:textId="77777777" w:rsidR="00D03C17" w:rsidRDefault="00D03C17">
    <w:pPr>
      <w:spacing w:line="1" w:lineRule="exact"/>
    </w:pPr>
  </w:p>
</w:ftr>
</file>

<file path=word/footer1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1E499" w14:textId="77777777" w:rsidR="00D03C17" w:rsidRDefault="00D03C17">
    <w:pPr>
      <w:spacing w:line="1" w:lineRule="exact"/>
    </w:pPr>
  </w:p>
</w:ftr>
</file>

<file path=word/footer1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9E839" w14:textId="77777777" w:rsidR="00D03C17" w:rsidRDefault="00D03C17">
    <w:pPr>
      <w:spacing w:line="1" w:lineRule="exact"/>
    </w:pPr>
  </w:p>
</w:ftr>
</file>

<file path=word/footer1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08D7D" w14:textId="77777777" w:rsidR="00D03C17" w:rsidRDefault="00D03C17"/>
</w:ftr>
</file>

<file path=word/footer1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8569B" w14:textId="77777777" w:rsidR="00D03C17" w:rsidRDefault="00D03C17"/>
</w:ftr>
</file>

<file path=word/footer1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C1AF1" w14:textId="77777777" w:rsidR="00D03C17" w:rsidRDefault="00D03C17"/>
</w:ftr>
</file>

<file path=word/footer1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A26CA" w14:textId="77777777" w:rsidR="00D03C17" w:rsidRDefault="00D03C17"/>
</w:ftr>
</file>

<file path=word/footer1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9E21E" w14:textId="77777777" w:rsidR="00D03C17" w:rsidRDefault="00D03C17">
    <w:pPr>
      <w:spacing w:line="1" w:lineRule="exact"/>
    </w:pPr>
  </w:p>
</w:ftr>
</file>

<file path=word/footer1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13428" w14:textId="77777777" w:rsidR="00D03C17" w:rsidRDefault="00D03C17">
    <w:pPr>
      <w:spacing w:line="1" w:lineRule="exact"/>
    </w:pPr>
  </w:p>
</w:ftr>
</file>

<file path=word/footer1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AC748" w14:textId="77777777" w:rsidR="00D03C17" w:rsidRDefault="00D03C17">
    <w:pPr>
      <w:spacing w:line="1" w:lineRule="exact"/>
    </w:pPr>
  </w:p>
</w:ftr>
</file>

<file path=word/footer1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64E7D" w14:textId="77777777" w:rsidR="00D03C17" w:rsidRDefault="00D03C17">
    <w:pPr>
      <w:spacing w:line="1" w:lineRule="exact"/>
    </w:pPr>
  </w:p>
</w:ftr>
</file>

<file path=word/footer1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37116" w14:textId="77777777" w:rsidR="00D03C17" w:rsidRDefault="00D03C17">
    <w:pPr>
      <w:spacing w:line="1" w:lineRule="exact"/>
    </w:pPr>
  </w:p>
</w:ftr>
</file>

<file path=word/footer1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36A81" w14:textId="77777777" w:rsidR="00D03C17" w:rsidRDefault="00D03C17">
    <w:pPr>
      <w:spacing w:line="1" w:lineRule="exact"/>
    </w:pPr>
  </w:p>
</w:ftr>
</file>

<file path=word/footer1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1016A" w14:textId="77777777" w:rsidR="00D03C17" w:rsidRDefault="00D03C17">
    <w:pPr>
      <w:spacing w:line="1" w:lineRule="exact"/>
    </w:pPr>
  </w:p>
</w:ftr>
</file>

<file path=word/footer1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B2EF2" w14:textId="77777777" w:rsidR="00D03C17" w:rsidRDefault="00D03C17">
    <w:pPr>
      <w:spacing w:line="1" w:lineRule="exact"/>
    </w:pPr>
  </w:p>
</w:ftr>
</file>

<file path=word/footer1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6E621" w14:textId="77777777" w:rsidR="00D03C17" w:rsidRDefault="00D03C17"/>
</w:ftr>
</file>

<file path=word/footer2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1EFD3" w14:textId="77777777" w:rsidR="00D03C17" w:rsidRDefault="00D03C17"/>
</w:ftr>
</file>

<file path=word/footer2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2808D" w14:textId="77777777" w:rsidR="00D03C17" w:rsidRDefault="00D03C17">
    <w:pPr>
      <w:spacing w:line="1" w:lineRule="exact"/>
    </w:pPr>
  </w:p>
</w:ftr>
</file>

<file path=word/footer2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FCB88" w14:textId="77777777" w:rsidR="00D03C17" w:rsidRDefault="00D03C17">
    <w:pPr>
      <w:spacing w:line="1" w:lineRule="exact"/>
    </w:pPr>
  </w:p>
</w:ftr>
</file>

<file path=word/footer2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B7178" w14:textId="77777777" w:rsidR="00D03C17" w:rsidRDefault="00D03C17">
    <w:pPr>
      <w:spacing w:line="1" w:lineRule="exact"/>
    </w:pPr>
  </w:p>
</w:ftr>
</file>

<file path=word/footer2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AF97E" w14:textId="77777777" w:rsidR="00D03C17" w:rsidRDefault="00D03C17">
    <w:pPr>
      <w:spacing w:line="1" w:lineRule="exact"/>
    </w:pPr>
  </w:p>
</w:ftr>
</file>

<file path=word/footer2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D03CB" w14:textId="77777777" w:rsidR="00D03C17" w:rsidRDefault="00D03C17">
    <w:pPr>
      <w:spacing w:line="1" w:lineRule="exact"/>
    </w:pPr>
  </w:p>
</w:ftr>
</file>

<file path=word/footer2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0A882" w14:textId="77777777" w:rsidR="00D03C17" w:rsidRDefault="00D03C17">
    <w:pPr>
      <w:spacing w:line="1" w:lineRule="exact"/>
    </w:pPr>
  </w:p>
</w:ftr>
</file>

<file path=word/footer2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1C9B1" w14:textId="77777777" w:rsidR="00D03C17" w:rsidRDefault="00D03C17">
    <w:pPr>
      <w:spacing w:line="1" w:lineRule="exact"/>
    </w:pPr>
  </w:p>
</w:ftr>
</file>

<file path=word/footer2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C7794" w14:textId="77777777" w:rsidR="00D03C17" w:rsidRDefault="00D03C17">
    <w:pPr>
      <w:spacing w:line="1" w:lineRule="exact"/>
    </w:pPr>
  </w:p>
</w:ftr>
</file>

<file path=word/footer2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94738" w14:textId="77777777" w:rsidR="00D03C17" w:rsidRDefault="00D03C17">
    <w:pPr>
      <w:spacing w:line="1" w:lineRule="exact"/>
    </w:pPr>
  </w:p>
</w:ftr>
</file>

<file path=word/footer2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8478C" w14:textId="77777777" w:rsidR="00D03C17" w:rsidRDefault="00D03C17">
    <w:pPr>
      <w:spacing w:line="1" w:lineRule="exact"/>
    </w:pPr>
  </w:p>
</w:ftr>
</file>

<file path=word/footer2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97228" w14:textId="77777777" w:rsidR="00D03C17" w:rsidRDefault="00D03C17"/>
</w:ftr>
</file>

<file path=word/footer2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216DB" w14:textId="77777777" w:rsidR="00D03C17" w:rsidRDefault="00D03C1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4E66A4" w14:textId="77777777" w:rsidR="00316A7C" w:rsidRDefault="00316A7C" w:rsidP="00D03C17">
      <w:pPr>
        <w:spacing w:after="0" w:line="240" w:lineRule="auto"/>
      </w:pPr>
      <w:r>
        <w:separator/>
      </w:r>
    </w:p>
  </w:footnote>
  <w:footnote w:type="continuationSeparator" w:id="0">
    <w:p w14:paraId="2013114E" w14:textId="77777777" w:rsidR="00316A7C" w:rsidRDefault="00316A7C" w:rsidP="00D03C17">
      <w:pPr>
        <w:spacing w:after="0" w:line="240" w:lineRule="auto"/>
      </w:pPr>
      <w:r>
        <w:continuationSeparator/>
      </w:r>
    </w:p>
  </w:footnote>
  <w:footnote w:id="1">
    <w:p w14:paraId="7DD064F2" w14:textId="77777777" w:rsidR="00D03C17" w:rsidRDefault="00D03C17">
      <w:pPr>
        <w:pStyle w:val="Footnote0"/>
        <w:spacing w:line="276" w:lineRule="auto"/>
        <w:jc w:val="both"/>
      </w:pPr>
      <w:r>
        <w:footnoteRef/>
      </w:r>
      <w:r>
        <w:t xml:space="preserve"> American Academy of Pediatrics, Committee on Infection Diseases. Prevention of Lyme disease. </w:t>
      </w:r>
      <w:r>
        <w:rPr>
          <w:i/>
          <w:iCs/>
        </w:rPr>
        <w:t xml:space="preserve">Pediatrics. </w:t>
      </w:r>
      <w:r>
        <w:t>2002;105:142-147</w:t>
      </w:r>
    </w:p>
  </w:footnote>
  <w:footnote w:id="2">
    <w:p w14:paraId="3EBD8443" w14:textId="77777777" w:rsidR="00D03C17" w:rsidRDefault="00D03C17">
      <w:pPr>
        <w:pStyle w:val="Footnote0"/>
        <w:spacing w:line="266" w:lineRule="auto"/>
      </w:pPr>
      <w:r>
        <w:footnoteRef/>
      </w:r>
      <w:r>
        <w:t xml:space="preserve"> Para obtener más datos sobre las formas de evitar el paludismo en los viajeros véase la publicación anual de US Public Health Service, </w:t>
      </w:r>
      <w:r>
        <w:rPr>
          <w:i/>
          <w:iCs/>
        </w:rPr>
        <w:t>Health Information for International Travel,</w:t>
      </w:r>
      <w:r>
        <w:t xml:space="preserve"> 2001-2002. Atlanta, GA: US Dept of Health and Human Services, Public Health Service, Centers for Disease Control and Prevention, National Center for Infectious Diseases, Division of Quarantine; 2001 o visitar la página Web de CDC (</w:t>
      </w:r>
      <w:hyperlink r:id="rId1" w:history="1">
        <w:r>
          <w:t>www.cdc.gov/travel/malinfo.htm</w:t>
        </w:r>
      </w:hyperlink>
      <w:r>
        <w:t>).</w:t>
      </w:r>
    </w:p>
  </w:footnote>
  <w:footnote w:id="3">
    <w:p w14:paraId="0787CAFF" w14:textId="77777777" w:rsidR="00D03C17" w:rsidRDefault="00D03C17">
      <w:pPr>
        <w:pStyle w:val="Footnote0"/>
        <w:spacing w:line="266" w:lineRule="auto"/>
      </w:pPr>
      <w:r>
        <w:footnoteRef/>
      </w:r>
      <w:r>
        <w:t xml:space="preserve"> American Academy of Pediatrics, Committee on Infectious Diseases and Committee on Pediatric AIDS. Measles immunization in HIV-infected children. </w:t>
      </w:r>
      <w:r>
        <w:rPr>
          <w:i/>
          <w:iCs/>
        </w:rPr>
        <w:t>Pediatrics.</w:t>
      </w:r>
      <w:r>
        <w:t xml:space="preserve"> 1999;103:1057-1060.</w:t>
      </w:r>
    </w:p>
  </w:footnote>
  <w:footnote w:id="4">
    <w:p w14:paraId="7F834524" w14:textId="77777777" w:rsidR="00D03C17" w:rsidRDefault="00D03C17">
      <w:pPr>
        <w:pStyle w:val="Footnote0"/>
        <w:pBdr>
          <w:top w:val="single" w:sz="4" w:space="0" w:color="auto"/>
        </w:pBdr>
        <w:spacing w:line="254" w:lineRule="auto"/>
      </w:pPr>
      <w:r>
        <w:t>MMR, vacuna triple (sarampión-parotiditis-rubéola); IG, concentrado inmunoglobulínico; VIH, virus de inmunodeficiencia humana.</w:t>
      </w:r>
    </w:p>
  </w:footnote>
  <w:footnote w:id="5">
    <w:p w14:paraId="6A00723B" w14:textId="77777777" w:rsidR="00D03C17" w:rsidRDefault="00D03C17">
      <w:pPr>
        <w:pStyle w:val="Footnote0"/>
        <w:tabs>
          <w:tab w:val="left" w:pos="-146"/>
        </w:tabs>
        <w:spacing w:line="480" w:lineRule="auto"/>
        <w:ind w:hanging="300"/>
      </w:pPr>
      <w:r>
        <w:rPr>
          <w:sz w:val="8"/>
          <w:szCs w:val="8"/>
          <w:vertAlign w:val="superscript"/>
        </w:rPr>
        <w:footnoteRef/>
      </w:r>
      <w:r>
        <w:rPr>
          <w:sz w:val="8"/>
          <w:szCs w:val="8"/>
        </w:rPr>
        <w:tab/>
      </w:r>
      <w:r>
        <w:t>Véase texto en este resumen.</w:t>
      </w:r>
    </w:p>
  </w:footnote>
  <w:footnote w:id="6">
    <w:p w14:paraId="2E2B40E3" w14:textId="77777777" w:rsidR="00D03C17" w:rsidRDefault="00D03C17">
      <w:pPr>
        <w:pStyle w:val="Footnote0"/>
        <w:tabs>
          <w:tab w:val="left" w:pos="-142"/>
        </w:tabs>
        <w:spacing w:line="480" w:lineRule="auto"/>
        <w:ind w:hanging="300"/>
      </w:pPr>
      <w:r>
        <w:rPr>
          <w:sz w:val="8"/>
          <w:szCs w:val="8"/>
          <w:vertAlign w:val="superscript"/>
        </w:rPr>
        <w:footnoteRef/>
      </w:r>
      <w:r>
        <w:rPr>
          <w:sz w:val="8"/>
          <w:szCs w:val="8"/>
        </w:rPr>
        <w:tab/>
      </w:r>
      <w:r>
        <w:t>Véase “Erradicación de brotes” en el texto de este resumen.</w:t>
      </w:r>
    </w:p>
  </w:footnote>
  <w:footnote w:id="7">
    <w:p w14:paraId="4C651D2E" w14:textId="77777777" w:rsidR="00D03C17" w:rsidRDefault="00D03C17">
      <w:pPr>
        <w:pStyle w:val="Footnote0"/>
        <w:spacing w:line="266" w:lineRule="auto"/>
      </w:pPr>
      <w:r>
        <w:footnoteRef/>
      </w:r>
      <w:r>
        <w:t xml:space="preserve"> American Academy of Pediatrics, Committee on Infectious Diseases and Committee on Pediatric AIDS. Measles immunization in HIV- infected children. </w:t>
      </w:r>
      <w:r>
        <w:rPr>
          <w:i/>
          <w:iCs/>
        </w:rPr>
        <w:t>Pediatrics.</w:t>
      </w:r>
      <w:r>
        <w:t xml:space="preserve"> 1999;103:1057-1060.</w:t>
      </w:r>
    </w:p>
  </w:footnote>
  <w:footnote w:id="8">
    <w:p w14:paraId="5E1D49F2" w14:textId="77777777" w:rsidR="00D03C17" w:rsidRDefault="00D03C17">
      <w:pPr>
        <w:pStyle w:val="Footnote0"/>
        <w:spacing w:line="276" w:lineRule="auto"/>
        <w:jc w:val="both"/>
      </w:pPr>
      <w:r>
        <w:footnoteRef/>
      </w:r>
      <w:r>
        <w:t xml:space="preserve"> American Academy of Pediatrics, Committee on Infection Diseases. Prevention of Lyme disease. </w:t>
      </w:r>
      <w:r>
        <w:rPr>
          <w:i/>
          <w:iCs/>
        </w:rPr>
        <w:t xml:space="preserve">Pediatrics. </w:t>
      </w:r>
      <w:r>
        <w:t>2002;105:142-147</w:t>
      </w:r>
    </w:p>
  </w:footnote>
  <w:footnote w:id="9">
    <w:p w14:paraId="24AAB9C2" w14:textId="77777777" w:rsidR="00D03C17" w:rsidRDefault="00D03C17">
      <w:pPr>
        <w:pStyle w:val="Footnote0"/>
      </w:pPr>
      <w:r>
        <w:rPr>
          <w:rFonts w:ascii="Garamond" w:eastAsia="Garamond" w:hAnsi="Garamond" w:cs="Garamond"/>
          <w:sz w:val="19"/>
          <w:szCs w:val="19"/>
        </w:rPr>
        <w:footnoteRef/>
      </w:r>
      <w:r>
        <w:rPr>
          <w:rFonts w:ascii="Garamond" w:eastAsia="Garamond" w:hAnsi="Garamond" w:cs="Garamond"/>
          <w:sz w:val="19"/>
          <w:szCs w:val="19"/>
        </w:rPr>
        <w:t xml:space="preserve"> </w:t>
      </w:r>
      <w:r>
        <w:t xml:space="preserve">American Academy of Pediatrics, Committee on Infectious Diseases. Recommendations for the prevention of pneumococcal infections, including the use of pneumococcal conjugate vaccine (Prevnar), pneumococcal polysaccharide vaccine, and antibiotic prophylaxis. </w:t>
      </w:r>
      <w:r>
        <w:rPr>
          <w:i/>
          <w:iCs/>
        </w:rPr>
        <w:t>Pediatrics.</w:t>
      </w:r>
      <w:r>
        <w:t xml:space="preserve"> 2000;106:362-366.</w:t>
      </w:r>
    </w:p>
  </w:footnote>
  <w:footnote w:id="10">
    <w:p w14:paraId="44A51015" w14:textId="77777777" w:rsidR="00D03C17" w:rsidRDefault="00D03C17">
      <w:pPr>
        <w:pStyle w:val="Footnote0"/>
        <w:spacing w:line="266" w:lineRule="auto"/>
      </w:pPr>
      <w:r>
        <w:footnoteRef/>
      </w:r>
      <w:r>
        <w:t xml:space="preserve"> Centers for Disease Control and Prevention. Sexually transmitted diseases treatment guidelines-2002. </w:t>
      </w:r>
      <w:r>
        <w:rPr>
          <w:i/>
          <w:iCs/>
        </w:rPr>
        <w:t>MMWR Recomm Rep.</w:t>
      </w:r>
      <w:r>
        <w:t xml:space="preserve"> 2002,51(RR-6):1-80.</w:t>
      </w:r>
    </w:p>
  </w:footnote>
  <w:footnote w:id="11">
    <w:p w14:paraId="0B66CFD9" w14:textId="77777777" w:rsidR="00D03C17" w:rsidRDefault="00D03C17">
      <w:pPr>
        <w:pStyle w:val="Footnote0"/>
        <w:spacing w:line="266" w:lineRule="auto"/>
      </w:pPr>
      <w:r>
        <w:footnoteRef/>
      </w:r>
      <w:r>
        <w:t xml:space="preserve"> American Academy of Pediatrics, Committee on School Health and Committee on Infectious Diseases. Clinical report: head lice. </w:t>
      </w:r>
      <w:r>
        <w:rPr>
          <w:i/>
          <w:iCs/>
        </w:rPr>
        <w:t>Pediatrics.</w:t>
      </w:r>
      <w:r>
        <w:t xml:space="preserve"> 2002;110:638-643.</w:t>
      </w:r>
    </w:p>
  </w:footnote>
  <w:footnote w:id="12">
    <w:p w14:paraId="02405FA0" w14:textId="77777777" w:rsidR="00D03C17" w:rsidRDefault="00D03C17">
      <w:pPr>
        <w:pStyle w:val="Footnote0"/>
        <w:spacing w:line="266" w:lineRule="auto"/>
      </w:pPr>
      <w:r>
        <w:footnoteRef/>
      </w:r>
      <w:r>
        <w:t xml:space="preserve"> American Academy of Pediatrics, Committee on School Health and Committee on Infectious Diseases. Clinical report: head lice. </w:t>
      </w:r>
      <w:r>
        <w:rPr>
          <w:i/>
          <w:iCs/>
        </w:rPr>
        <w:t>Pediatrics.</w:t>
      </w:r>
      <w:r>
        <w:t xml:space="preserve"> 2002;110:638-643.</w:t>
      </w:r>
    </w:p>
  </w:footnote>
  <w:footnote w:id="13">
    <w:p w14:paraId="7AA11B8B" w14:textId="77777777" w:rsidR="00D03C17" w:rsidRDefault="00D03C17">
      <w:pPr>
        <w:pStyle w:val="Footnote0"/>
        <w:spacing w:line="262" w:lineRule="auto"/>
      </w:pPr>
      <w:r>
        <w:footnoteRef/>
      </w:r>
      <w:r>
        <w:t xml:space="preserve"> Centers for Disease Control and Prevention. Sexually transmitted disease treatment guidelines-2002. </w:t>
      </w:r>
      <w:r>
        <w:rPr>
          <w:i/>
          <w:iCs/>
        </w:rPr>
        <w:t>MMWR Recomm Rep.</w:t>
      </w:r>
      <w:r>
        <w:t xml:space="preserve"> 2002;51(RR-6):1-80.</w:t>
      </w:r>
    </w:p>
    <w:p w14:paraId="11AA99F7" w14:textId="77777777" w:rsidR="00D03C17" w:rsidRDefault="00D03C17">
      <w:pPr>
        <w:pStyle w:val="Footnote0"/>
        <w:spacing w:line="254" w:lineRule="auto"/>
        <w:ind w:firstLine="240"/>
      </w:pPr>
      <w:r>
        <w:t>STD, enfermedades de transmisión sexual.</w:t>
      </w:r>
    </w:p>
    <w:p w14:paraId="58E14383" w14:textId="77777777" w:rsidR="00D03C17" w:rsidRDefault="00D03C17">
      <w:pPr>
        <w:pStyle w:val="Footnote0"/>
        <w:spacing w:after="440" w:line="254" w:lineRule="auto"/>
        <w:ind w:left="240"/>
      </w:pPr>
      <w:r>
        <w:t xml:space="preserve">Con permiso de los Centers for Disease Control and Prevention. Sexually transmitted diseases treatment guideline-2002. </w:t>
      </w:r>
      <w:r>
        <w:rPr>
          <w:i/>
          <w:iCs/>
        </w:rPr>
        <w:t>MMWR Recomm Rep.</w:t>
      </w:r>
      <w:r>
        <w:t xml:space="preserve"> 2002;51(RR-6):1-80.</w:t>
      </w:r>
    </w:p>
    <w:p w14:paraId="54E7EDED" w14:textId="77777777" w:rsidR="00D03C17" w:rsidRDefault="00D03C17">
      <w:pPr>
        <w:pStyle w:val="Footnote0"/>
        <w:spacing w:line="269" w:lineRule="auto"/>
        <w:rPr>
          <w:sz w:val="19"/>
          <w:szCs w:val="19"/>
        </w:rPr>
      </w:pPr>
      <w:r>
        <w:rPr>
          <w:rFonts w:ascii="Garamond" w:eastAsia="Garamond" w:hAnsi="Garamond" w:cs="Garamond"/>
          <w:b/>
          <w:bCs/>
          <w:sz w:val="19"/>
          <w:szCs w:val="19"/>
        </w:rPr>
        <w:t>A</w:t>
      </w:r>
      <w:r>
        <w:rPr>
          <w:rFonts w:ascii="Garamond" w:eastAsia="Garamond" w:hAnsi="Garamond" w:cs="Garamond"/>
          <w:b/>
          <w:bCs/>
          <w:sz w:val="13"/>
          <w:szCs w:val="13"/>
        </w:rPr>
        <w:t>SPECTOS EPIDEMIOLÓGICOS</w:t>
      </w:r>
      <w:r>
        <w:rPr>
          <w:rFonts w:ascii="Garamond" w:eastAsia="Garamond" w:hAnsi="Garamond" w:cs="Garamond"/>
          <w:b/>
          <w:bCs/>
          <w:sz w:val="19"/>
          <w:szCs w:val="19"/>
        </w:rPr>
        <w:t xml:space="preserve">: </w:t>
      </w:r>
      <w:r>
        <w:rPr>
          <w:rFonts w:ascii="Garamond" w:eastAsia="Garamond" w:hAnsi="Garamond" w:cs="Garamond"/>
          <w:sz w:val="19"/>
          <w:szCs w:val="19"/>
        </w:rPr>
        <w:t xml:space="preserve">Tal como se observa con otras enfermedades de transmisión sexual </w:t>
      </w:r>
      <w:r>
        <w:rPr>
          <w:rFonts w:ascii="Garamond" w:eastAsia="Garamond" w:hAnsi="Garamond" w:cs="Garamond"/>
          <w:i/>
          <w:iCs/>
          <w:sz w:val="19"/>
          <w:szCs w:val="19"/>
        </w:rPr>
        <w:t>(</w:t>
      </w:r>
      <w:r>
        <w:rPr>
          <w:i/>
          <w:iCs/>
          <w:sz w:val="16"/>
          <w:szCs w:val="16"/>
        </w:rPr>
        <w:t>sexually transmitted diseases</w:t>
      </w:r>
      <w:r>
        <w:rPr>
          <w:rFonts w:ascii="Garamond" w:eastAsia="Garamond" w:hAnsi="Garamond" w:cs="Garamond"/>
          <w:i/>
          <w:iCs/>
          <w:sz w:val="19"/>
          <w:szCs w:val="19"/>
        </w:rPr>
        <w:t>,</w:t>
      </w:r>
      <w:r>
        <w:rPr>
          <w:rFonts w:ascii="Garamond" w:eastAsia="Garamond" w:hAnsi="Garamond" w:cs="Garamond"/>
          <w:sz w:val="19"/>
          <w:szCs w:val="19"/>
        </w:rPr>
        <w:t xml:space="preserve"> STD), la incidencia de PID alcanza su máximo en adolescentes y mujeres adultas jóvenes. Otros factores de riesgo de que surja la enfermedad incluyen la promiscuidad sexual, el uso de un dispositivo intrauterino en presencia de infección existente, o múltiples compañeros sexuales después de colocación del dispositivo, duchas y episodios previos de PID. Los condones de látex, si se usan en forma congruente y correcta, son muy eficaces para evitar la transmisión sexual de gonorrea, clamidias, tricomoniasis y virus de inmunodeficiencia humana (VIH). El uso del condón también ha permitido disminuir la frecuencia de cáncer cervicouterino,</w:t>
      </w:r>
    </w:p>
  </w:footnote>
  <w:footnote w:id="14">
    <w:p w14:paraId="609F882B" w14:textId="77777777" w:rsidR="00D03C17" w:rsidRDefault="00D03C17">
      <w:pPr>
        <w:pStyle w:val="Footnote0"/>
        <w:tabs>
          <w:tab w:val="left" w:pos="110"/>
        </w:tabs>
        <w:spacing w:line="271" w:lineRule="auto"/>
      </w:pPr>
      <w:r>
        <w:footnoteRef/>
      </w:r>
      <w:r>
        <w:tab/>
        <w:t xml:space="preserve">American Academy of Pediatrics, Committee on Infectious Diseases. Combination vaccine for childhood immunization: recommendations of the Advisory Committee on Immunization Practices (ACIP), the American Academy of Pediatrics (AAP), and the American Academy of Family Physicians (AAFP). </w:t>
      </w:r>
      <w:r>
        <w:rPr>
          <w:i/>
          <w:iCs/>
        </w:rPr>
        <w:t xml:space="preserve">Pediatrics </w:t>
      </w:r>
      <w:r>
        <w:t>1999;103:1064-1077.</w:t>
      </w:r>
    </w:p>
  </w:footnote>
  <w:footnote w:id="15">
    <w:p w14:paraId="6337C91D" w14:textId="77777777" w:rsidR="00D03C17" w:rsidRDefault="00D03C17">
      <w:pPr>
        <w:pStyle w:val="Footnote0"/>
      </w:pPr>
      <w:r>
        <w:rPr>
          <w:rFonts w:ascii="Garamond" w:eastAsia="Garamond" w:hAnsi="Garamond" w:cs="Garamond"/>
          <w:sz w:val="19"/>
          <w:szCs w:val="19"/>
        </w:rPr>
        <w:footnoteRef/>
      </w:r>
      <w:r>
        <w:rPr>
          <w:rFonts w:ascii="Garamond" w:eastAsia="Garamond" w:hAnsi="Garamond" w:cs="Garamond"/>
          <w:sz w:val="19"/>
          <w:szCs w:val="19"/>
        </w:rPr>
        <w:t xml:space="preserve"> </w:t>
      </w:r>
      <w:r>
        <w:t xml:space="preserve">American Academy of Pediatrics, Committee on Infectious Diseases. Recommendations for the prevention of pneumococcal infections, including the use of pneumococcal conjugate vaccine (Prevnar), pneumococcal polysaccharide vaccine, and antibiotic prophylaxis. </w:t>
      </w:r>
      <w:r>
        <w:rPr>
          <w:i/>
          <w:iCs/>
        </w:rPr>
        <w:t>Pediatrics.</w:t>
      </w:r>
      <w:r>
        <w:t xml:space="preserve"> 2000;106:362-366.</w:t>
      </w:r>
    </w:p>
  </w:footnote>
  <w:footnote w:id="16">
    <w:p w14:paraId="6E2B4229" w14:textId="77777777" w:rsidR="00D03C17" w:rsidRDefault="00D03C17">
      <w:pPr>
        <w:pStyle w:val="Footnote0"/>
        <w:spacing w:line="266" w:lineRule="auto"/>
      </w:pPr>
      <w:r>
        <w:footnoteRef/>
      </w:r>
      <w:r>
        <w:t xml:space="preserve"> Si se desean más datos consultar American Academy of Pediatrics, Committee on Infectious Diseases. Therapy for children with invasive pneumococcal infections. </w:t>
      </w:r>
      <w:r>
        <w:rPr>
          <w:i/>
          <w:iCs/>
        </w:rPr>
        <w:t>Pediatrics.</w:t>
      </w:r>
      <w:r>
        <w:t xml:space="preserve"> 1997;99:289-299.</w:t>
      </w:r>
    </w:p>
    <w:p w14:paraId="0C961CED" w14:textId="77777777" w:rsidR="00D03C17" w:rsidRDefault="00D03C17">
      <w:pPr>
        <w:pStyle w:val="Footnote0"/>
        <w:spacing w:line="269" w:lineRule="auto"/>
        <w:ind w:firstLine="360"/>
        <w:rPr>
          <w:sz w:val="19"/>
          <w:szCs w:val="19"/>
        </w:rPr>
      </w:pPr>
      <w:r>
        <w:rPr>
          <w:rFonts w:ascii="Garamond" w:eastAsia="Garamond" w:hAnsi="Garamond" w:cs="Garamond"/>
          <w:sz w:val="19"/>
          <w:szCs w:val="19"/>
        </w:rPr>
        <w:t>En el caso de niños con meningitis cuyo microorganismo causal no es susceptible a la penicilina, a la cefotaxima y la ceftriaxona, habrá que practicar pruebas de susceptibilidad (antibioticograma) al clorhidrato de vancomicina, la rifampicina y quizá al meropenem. Si el menor tiene una infección no meníngea causada por un microorganismo no susceptible a la penicilina, la cefotaxima y la ceftriaxona, habrá que pensar en la valoración de la susceptibilidad a clindamicina, eritromicina, rifampicina, trimetoprim-sulfametoxazol, meropenem y vancomicina, según la respuesta del paciente a la terapia antimicrobiana.</w:t>
      </w:r>
    </w:p>
    <w:p w14:paraId="75E077A7" w14:textId="77777777" w:rsidR="00D03C17" w:rsidRDefault="00D03C17">
      <w:pPr>
        <w:pStyle w:val="Footnote0"/>
        <w:spacing w:line="271" w:lineRule="auto"/>
        <w:ind w:firstLine="360"/>
        <w:rPr>
          <w:sz w:val="19"/>
          <w:szCs w:val="19"/>
        </w:rPr>
      </w:pPr>
      <w:r>
        <w:rPr>
          <w:rFonts w:ascii="Garamond" w:eastAsia="Garamond" w:hAnsi="Garamond" w:cs="Garamond"/>
          <w:sz w:val="19"/>
          <w:szCs w:val="19"/>
        </w:rPr>
        <w:t xml:space="preserve">Es importante practicar en gérmenes aislados de niños con infecciones letales, métodos fiables que cuantifiquen MIC como sería la microdilución en caldo o las tiras de gradiente antimicrobiano. Si no se dispone de métodos cuantitativos, por medio de método cualitativo de detección que utiliza un disco con 1 pg de oxacilina en una placa de agar, se puede identificar con certidumbre a todos los neumococos susceptibles a penicilina con base en el criterio de un diámetro de la zona discal de 20 mm o mayor. Los microorganismos con una zona discal de oxacilina menor de 20 mm quizá sean </w:t>
      </w:r>
      <w:r>
        <w:rPr>
          <w:i/>
          <w:iCs/>
          <w:sz w:val="16"/>
          <w:szCs w:val="16"/>
        </w:rPr>
        <w:t>no susceptibles</w:t>
      </w:r>
      <w:r>
        <w:rPr>
          <w:rFonts w:ascii="Garamond" w:eastAsia="Garamond" w:hAnsi="Garamond" w:cs="Garamond"/>
          <w:sz w:val="19"/>
          <w:szCs w:val="19"/>
        </w:rPr>
        <w:t xml:space="preserve"> y en estos casos se necesita la práctica de un método cuantitativos para valorar la susceptibilidad. La prueba del disco con oxacilina se utiliza como método de detección sistemática de resistencia a fármacos lactámicos beta (penicilinas y cefalosporinas). </w:t>
      </w:r>
      <w:r>
        <w:rPr>
          <w:rFonts w:ascii="Garamond" w:eastAsia="Garamond" w:hAnsi="Garamond" w:cs="Garamond"/>
          <w:b/>
          <w:bCs/>
          <w:sz w:val="19"/>
          <w:szCs w:val="19"/>
        </w:rPr>
        <w:t>T</w:t>
      </w:r>
      <w:r>
        <w:rPr>
          <w:rFonts w:ascii="Garamond" w:eastAsia="Garamond" w:hAnsi="Garamond" w:cs="Garamond"/>
          <w:b/>
          <w:bCs/>
          <w:sz w:val="13"/>
          <w:szCs w:val="13"/>
        </w:rPr>
        <w:t>RATAMIENTO</w:t>
      </w:r>
      <w:r>
        <w:rPr>
          <w:rFonts w:ascii="Garamond" w:eastAsia="Garamond" w:hAnsi="Garamond" w:cs="Garamond"/>
          <w:b/>
          <w:bCs/>
          <w:sz w:val="19"/>
          <w:szCs w:val="19"/>
        </w:rPr>
        <w:t xml:space="preserve">: </w:t>
      </w:r>
      <w:r>
        <w:rPr>
          <w:rFonts w:ascii="Garamond" w:eastAsia="Garamond" w:hAnsi="Garamond" w:cs="Garamond"/>
          <w:sz w:val="19"/>
          <w:szCs w:val="19"/>
        </w:rPr>
        <w:t xml:space="preserve">En todo el territorio de Estados Unidos y en diversos países del mundo se han identificado cepas de </w:t>
      </w:r>
      <w:r>
        <w:rPr>
          <w:i/>
          <w:iCs/>
          <w:sz w:val="16"/>
          <w:szCs w:val="16"/>
        </w:rPr>
        <w:t>Streptococcus pneumoniae</w:t>
      </w:r>
      <w:r>
        <w:rPr>
          <w:rFonts w:ascii="Garamond" w:eastAsia="Garamond" w:hAnsi="Garamond" w:cs="Garamond"/>
          <w:sz w:val="19"/>
          <w:szCs w:val="19"/>
        </w:rPr>
        <w:t xml:space="preserve"> que no son susceptibles a penicilina G, cefotaxima, ceftriaxona y otros antimicrobianos. En niños de algunas áreas geográficas de Estados Unidos, más de 40% de los microorganismos aislados de sitios corporales estériles no son susceptibles a la penicilina G e incluso la mitad de tales gérmenes son fuertemente resistentes. En promedio, la mitad de las cepas no susceptibles a penicilina tampoco lo son a la cefotaxima o la ceftriaxona. Las cepas no susceptibles a penicilina tienen mayores cifras de resistencia a trimetoprim-sulfametoxazol, macrólidos y clindamicina.</w:t>
      </w:r>
    </w:p>
    <w:p w14:paraId="3F5B2D6A" w14:textId="77777777" w:rsidR="00D03C17" w:rsidRDefault="00D03C17">
      <w:pPr>
        <w:pStyle w:val="Footnote0"/>
        <w:spacing w:line="269" w:lineRule="auto"/>
        <w:ind w:firstLine="360"/>
        <w:rPr>
          <w:sz w:val="19"/>
          <w:szCs w:val="19"/>
        </w:rPr>
      </w:pPr>
      <w:r>
        <w:rPr>
          <w:rFonts w:ascii="Garamond" w:eastAsia="Garamond" w:hAnsi="Garamond" w:cs="Garamond"/>
          <w:sz w:val="19"/>
          <w:szCs w:val="19"/>
        </w:rPr>
        <w:t xml:space="preserve">No se ha notificado en Estados Unidos el surgimiento de resistencia a la vancomicina. Si se aísla una cepa con MIC </w:t>
      </w:r>
      <w:r>
        <w:rPr>
          <w:i/>
          <w:iCs/>
          <w:sz w:val="16"/>
          <w:szCs w:val="16"/>
        </w:rPr>
        <w:t>in vitro</w:t>
      </w:r>
      <w:r>
        <w:rPr>
          <w:rFonts w:ascii="Garamond" w:eastAsia="Garamond" w:hAnsi="Garamond" w:cs="Garamond"/>
          <w:sz w:val="19"/>
          <w:szCs w:val="19"/>
        </w:rPr>
        <w:t xml:space="preserve"> mayor de 1.0 mg/ml a la vancomicina, habrá que notificar inmediatamente al departamento sanitario estatal y hacer arreglos para practicar métodos confirmatorios.</w:t>
      </w:r>
    </w:p>
  </w:footnote>
  <w:footnote w:id="17">
    <w:p w14:paraId="27EA1D24" w14:textId="77777777" w:rsidR="00D03C17" w:rsidRDefault="00D03C17">
      <w:pPr>
        <w:pStyle w:val="Footnote0"/>
        <w:spacing w:line="266" w:lineRule="auto"/>
      </w:pPr>
      <w:r>
        <w:footnoteRef/>
      </w:r>
      <w:r>
        <w:t xml:space="preserve"> Centers for Disease Control and Prevention. Guidelines for preventing opportunistic infections among hematopoietic stem cell transplant recipients. Recommendations of the CDC, the Infectious Diseases Society of America, and the American Society of Blood and Barrow Transplantation. </w:t>
      </w:r>
      <w:r>
        <w:rPr>
          <w:i/>
          <w:iCs/>
        </w:rPr>
        <w:t xml:space="preserve">MMWR Recomm Rep. </w:t>
      </w:r>
      <w:r>
        <w:t xml:space="preserve">2000;49(RR-10):1-128. Véase también </w:t>
      </w:r>
      <w:hyperlink r:id="rId2" w:history="1">
        <w:r>
          <w:t>www.hivatis.org</w:t>
        </w:r>
      </w:hyperlink>
      <w:r>
        <w:t>.</w:t>
      </w:r>
    </w:p>
  </w:footnote>
  <w:footnote w:id="18">
    <w:p w14:paraId="5B6CBB8D" w14:textId="77777777" w:rsidR="00D03C17" w:rsidRDefault="00D03C17">
      <w:pPr>
        <w:pStyle w:val="Footnote0"/>
        <w:tabs>
          <w:tab w:val="left" w:pos="163"/>
        </w:tabs>
        <w:ind w:left="240" w:hanging="240"/>
      </w:pPr>
      <w:r>
        <w:rPr>
          <w:sz w:val="8"/>
          <w:szCs w:val="8"/>
          <w:vertAlign w:val="superscript"/>
        </w:rPr>
        <w:footnoteRef/>
      </w:r>
      <w:r>
        <w:rPr>
          <w:sz w:val="8"/>
          <w:szCs w:val="8"/>
        </w:rPr>
        <w:tab/>
      </w:r>
      <w:r>
        <w:t xml:space="preserve">Con autorización de Centers for Disease Control and Prevention. 2002 USPHS/IDSA guidelines for preventing opportunistic infections among HIV-infected persons-2002. Recommendations of the US Public Health Service and the Infectious Diseases Society of America. </w:t>
      </w:r>
      <w:r>
        <w:rPr>
          <w:i/>
          <w:iCs/>
        </w:rPr>
        <w:t>MMWR Recomm Rep.</w:t>
      </w:r>
      <w:r>
        <w:t xml:space="preserve"> 2002; 51(RR-8):1-46.</w:t>
      </w:r>
    </w:p>
  </w:footnote>
  <w:footnote w:id="19">
    <w:p w14:paraId="75640961" w14:textId="77777777" w:rsidR="00D03C17" w:rsidRDefault="00D03C17">
      <w:pPr>
        <w:pStyle w:val="Footnote0"/>
        <w:tabs>
          <w:tab w:val="left" w:pos="173"/>
        </w:tabs>
        <w:ind w:left="240" w:hanging="240"/>
      </w:pPr>
      <w:r>
        <w:rPr>
          <w:sz w:val="8"/>
          <w:szCs w:val="8"/>
          <w:vertAlign w:val="superscript"/>
        </w:rPr>
        <w:footnoteRef/>
      </w:r>
      <w:r>
        <w:rPr>
          <w:sz w:val="8"/>
          <w:szCs w:val="8"/>
        </w:rPr>
        <w:tab/>
      </w:r>
      <w:r>
        <w:t>Si el niño no tolera la dapsona, la pentamidina en aerosol o la atovacuona, algunos clínicos usan pentamidina intravenosa (4 mg/kg) cada dos a cuatro semanas.</w:t>
      </w:r>
    </w:p>
  </w:footnote>
  <w:footnote w:id="20">
    <w:p w14:paraId="19C8C36E" w14:textId="77777777" w:rsidR="00D03C17" w:rsidRDefault="00D03C17">
      <w:pPr>
        <w:pStyle w:val="Footnote0"/>
        <w:spacing w:line="266" w:lineRule="auto"/>
      </w:pPr>
      <w:r>
        <w:footnoteRef/>
      </w:r>
      <w:r>
        <w:t xml:space="preserve"> Centers for Disease Control and Prevention. Guidelines for preventing opportunistic infections among HIV-infected persons-2000. Recommendations of the US Public Health Service and the Infectious Diseases Society of America. </w:t>
      </w:r>
      <w:r>
        <w:rPr>
          <w:i/>
          <w:iCs/>
        </w:rPr>
        <w:t>MMWR Recomm Rep.</w:t>
      </w:r>
      <w:r>
        <w:t xml:space="preserve"> 2002;51(RR-8):1-46.</w:t>
      </w:r>
    </w:p>
  </w:footnote>
  <w:footnote w:id="21">
    <w:p w14:paraId="45FE09BC" w14:textId="77777777" w:rsidR="00D03C17" w:rsidRDefault="00D03C17">
      <w:pPr>
        <w:pStyle w:val="Footnote0"/>
        <w:spacing w:line="266" w:lineRule="auto"/>
      </w:pPr>
      <w:r>
        <w:footnoteRef/>
      </w:r>
      <w:r>
        <w:t xml:space="preserve"> Centers for Disease Control and Prevention. Guidelines for preventing opportunistic infections among HIV-infected persons-2000. Recommendations of the US Public Health Service and the Infectious Diseases Society of America. </w:t>
      </w:r>
      <w:r>
        <w:rPr>
          <w:i/>
          <w:iCs/>
        </w:rPr>
        <w:t>MMWR Recomm Rep.</w:t>
      </w:r>
      <w:r>
        <w:t xml:space="preserve"> 2002;51(RR-8):1-46.</w:t>
      </w:r>
    </w:p>
  </w:footnote>
  <w:footnote w:id="22">
    <w:p w14:paraId="3DC842AB" w14:textId="77777777" w:rsidR="00D03C17" w:rsidRDefault="00D03C17">
      <w:pPr>
        <w:pStyle w:val="Footnote0"/>
        <w:spacing w:line="266" w:lineRule="auto"/>
      </w:pPr>
      <w:r>
        <w:footnoteRef/>
      </w:r>
      <w:r>
        <w:t xml:space="preserve"> Si se desea mayor información, consúltese a los Centers for Disease Control and Prevention. Human rabies prevention: United States, 1999: recommendations of the Advisory Committee on Immunization Practices [la corrección publicada aparece en </w:t>
      </w:r>
      <w:r>
        <w:rPr>
          <w:i/>
          <w:iCs/>
        </w:rPr>
        <w:t>MMWR Morb Mortal Wkly Rep.</w:t>
      </w:r>
      <w:r>
        <w:t xml:space="preserve"> 1999;48:16]. </w:t>
      </w:r>
      <w:r>
        <w:rPr>
          <w:i/>
          <w:iCs/>
        </w:rPr>
        <w:t xml:space="preserve">MMWR Recomm Rep. </w:t>
      </w:r>
      <w:r>
        <w:t>1999;48(RR-1):1-21</w:t>
      </w:r>
    </w:p>
  </w:footnote>
  <w:footnote w:id="23">
    <w:p w14:paraId="46B27E00" w14:textId="77777777" w:rsidR="00D03C17" w:rsidRDefault="00D03C17">
      <w:pPr>
        <w:pStyle w:val="Footnote0"/>
        <w:spacing w:line="266" w:lineRule="auto"/>
      </w:pPr>
      <w:r>
        <w:footnoteRef/>
      </w:r>
      <w:r>
        <w:t xml:space="preserve"> Si se desea mayor información, consúltese a los Centers for Disease Control and Prevention. Human rabies prevention: United States, 1999: recommendations of the Advisory Committee on Immunization Practices [la corrección publicada aparece en </w:t>
      </w:r>
      <w:r>
        <w:rPr>
          <w:i/>
          <w:iCs/>
        </w:rPr>
        <w:t>MMWR Morb Mortal Wkly Rep.</w:t>
      </w:r>
      <w:r>
        <w:t xml:space="preserve"> 1999;48:16]. </w:t>
      </w:r>
      <w:r>
        <w:rPr>
          <w:i/>
          <w:iCs/>
        </w:rPr>
        <w:t xml:space="preserve">MMWR Recomm Rep. </w:t>
      </w:r>
      <w:r>
        <w:t>1999;48(RR-1):1-21</w:t>
      </w:r>
    </w:p>
  </w:footnote>
  <w:footnote w:id="24">
    <w:p w14:paraId="4898A4B6" w14:textId="77777777" w:rsidR="00D03C17" w:rsidRDefault="00D03C17">
      <w:pPr>
        <w:pStyle w:val="Footnote0"/>
      </w:pPr>
      <w:r>
        <w:footnoteRef/>
      </w:r>
      <w:r>
        <w:t xml:space="preserve"> RespiGam, Medimmune Inc., Gaithersburg, MD.</w:t>
      </w:r>
    </w:p>
  </w:footnote>
  <w:footnote w:id="25">
    <w:p w14:paraId="22F3A460" w14:textId="77777777" w:rsidR="00D03C17" w:rsidRDefault="00D03C17">
      <w:pPr>
        <w:pStyle w:val="Footnote0"/>
        <w:spacing w:line="266" w:lineRule="auto"/>
      </w:pPr>
      <w:r>
        <w:footnoteRef/>
      </w:r>
      <w:r>
        <w:t xml:space="preserve"> Centers for Disease Control and Prevention. Recommendations for using smallpox vaccine in a pre-event vaccination program. </w:t>
      </w:r>
      <w:r>
        <w:rPr>
          <w:i/>
          <w:iCs/>
        </w:rPr>
        <w:t>MMWR Dispatch.</w:t>
      </w:r>
      <w:r>
        <w:t xml:space="preserve"> 2003;52(Dispatch):1-16.</w:t>
      </w:r>
    </w:p>
    <w:p w14:paraId="77F5AA93" w14:textId="77777777" w:rsidR="00D03C17" w:rsidRDefault="00D03C17">
      <w:pPr>
        <w:pStyle w:val="Footnote0"/>
        <w:spacing w:line="317" w:lineRule="auto"/>
      </w:pPr>
      <w:r>
        <w:rPr>
          <w:sz w:val="8"/>
          <w:szCs w:val="8"/>
          <w:vertAlign w:val="superscript"/>
        </w:rPr>
        <w:t>f</w:t>
      </w:r>
      <w:r>
        <w:rPr>
          <w:sz w:val="8"/>
          <w:szCs w:val="8"/>
        </w:rPr>
        <w:t xml:space="preserve"> </w:t>
      </w:r>
      <w:r>
        <w:t xml:space="preserve">American Academy of Pediatrics, Committee on Infectious. Policy statement: smallpox vaccine. </w:t>
      </w:r>
      <w:r>
        <w:rPr>
          <w:i/>
          <w:iCs/>
        </w:rPr>
        <w:t xml:space="preserve">Pediatrics. </w:t>
      </w:r>
      <w:r>
        <w:t>2002;110:841-845. Solicitar en la página: http://aappolicy.aapjournals.org/cgi/content/full/pediatrics;110/4/841.</w:t>
      </w:r>
    </w:p>
  </w:footnote>
  <w:footnote w:id="26">
    <w:p w14:paraId="269DAFFB" w14:textId="77777777" w:rsidR="00D03C17" w:rsidRDefault="00D03C17">
      <w:pPr>
        <w:pStyle w:val="Footnote0"/>
        <w:spacing w:line="266" w:lineRule="auto"/>
      </w:pPr>
      <w:r>
        <w:footnoteRef/>
      </w:r>
      <w:r>
        <w:t xml:space="preserve"> Centers for Diasease Control and Prevention. Smallpox vaccination and adverse events. </w:t>
      </w:r>
      <w:r>
        <w:rPr>
          <w:i/>
          <w:iCs/>
        </w:rPr>
        <w:t xml:space="preserve">MMWR Dispatch. </w:t>
      </w:r>
      <w:r>
        <w:t>2003;52:1-29.</w:t>
      </w:r>
    </w:p>
  </w:footnote>
  <w:footnote w:id="27">
    <w:p w14:paraId="0A74FD4A" w14:textId="77777777" w:rsidR="00D03C17" w:rsidRDefault="00D03C17">
      <w:pPr>
        <w:pStyle w:val="Footnote0"/>
        <w:spacing w:line="266" w:lineRule="auto"/>
      </w:pPr>
      <w:r>
        <w:footnoteRef/>
      </w:r>
      <w:r>
        <w:t xml:space="preserve"> Facklam R. What happened to the streptococci: overview of taxonomic and nomenclature changes. </w:t>
      </w:r>
      <w:r>
        <w:rPr>
          <w:i/>
          <w:iCs/>
        </w:rPr>
        <w:t>Clin Microbiol Rev.</w:t>
      </w:r>
      <w:r>
        <w:t xml:space="preserve"> 2002;15:613.</w:t>
      </w:r>
    </w:p>
  </w:footnote>
  <w:footnote w:id="28">
    <w:p w14:paraId="4525AFD6" w14:textId="77777777" w:rsidR="00D03C17" w:rsidRDefault="00D03C17">
      <w:pPr>
        <w:pStyle w:val="Footnote0"/>
        <w:spacing w:line="252" w:lineRule="auto"/>
        <w:ind w:left="180"/>
        <w:jc w:val="both"/>
      </w:pPr>
      <w:r>
        <w:t xml:space="preserve">MIC, concentración inhibitoria mínima; VISA, </w:t>
      </w:r>
      <w:r>
        <w:rPr>
          <w:i/>
          <w:iCs/>
        </w:rPr>
        <w:t>S. aureus</w:t>
      </w:r>
      <w:r>
        <w:t xml:space="preserve"> con susceptibilidad intermedia a la vancomicina; MRSA, estafilococo dorado resistente a meticilina; CDC, </w:t>
      </w:r>
      <w:r>
        <w:rPr>
          <w:i/>
          <w:iCs/>
        </w:rPr>
        <w:t>Centers for Disease Control and Prevention.</w:t>
      </w:r>
    </w:p>
  </w:footnote>
  <w:footnote w:id="29">
    <w:p w14:paraId="51D7882C" w14:textId="77777777" w:rsidR="00D03C17" w:rsidRDefault="00D03C17">
      <w:pPr>
        <w:pStyle w:val="Footnote0"/>
        <w:tabs>
          <w:tab w:val="left" w:pos="163"/>
        </w:tabs>
        <w:spacing w:line="252" w:lineRule="auto"/>
        <w:ind w:left="180" w:hanging="180"/>
      </w:pPr>
      <w:r>
        <w:rPr>
          <w:sz w:val="8"/>
          <w:szCs w:val="8"/>
          <w:vertAlign w:val="superscript"/>
        </w:rPr>
        <w:footnoteRef/>
      </w:r>
      <w:r>
        <w:rPr>
          <w:sz w:val="8"/>
          <w:szCs w:val="8"/>
        </w:rPr>
        <w:tab/>
      </w:r>
      <w:r>
        <w:t xml:space="preserve">Centers for Disease Control and Prevention. Laboratory capacity to detect antimicrobial resistance, 1998. </w:t>
      </w:r>
      <w:r>
        <w:rPr>
          <w:i/>
          <w:iCs/>
        </w:rPr>
        <w:t>MMWR Morb Mortal Wkly Rep.</w:t>
      </w:r>
      <w:r>
        <w:t xml:space="preserve"> 2000;48:1167-1171.</w:t>
      </w:r>
    </w:p>
  </w:footnote>
  <w:footnote w:id="30">
    <w:p w14:paraId="548FDB3F" w14:textId="77777777" w:rsidR="00D03C17" w:rsidRDefault="00D03C17">
      <w:pPr>
        <w:pStyle w:val="Footnote0"/>
        <w:tabs>
          <w:tab w:val="left" w:pos="173"/>
        </w:tabs>
        <w:spacing w:line="252" w:lineRule="auto"/>
      </w:pPr>
      <w:r>
        <w:rPr>
          <w:sz w:val="8"/>
          <w:szCs w:val="8"/>
          <w:vertAlign w:val="superscript"/>
        </w:rPr>
        <w:footnoteRef/>
      </w:r>
      <w:r>
        <w:rPr>
          <w:sz w:val="8"/>
          <w:szCs w:val="8"/>
        </w:rPr>
        <w:tab/>
      </w:r>
      <w:r>
        <w:t xml:space="preserve">Los puntos límite de MIC en lo que toca a la vancomicina son: susceptible </w:t>
      </w:r>
      <w:r>
        <w:rPr>
          <w:rFonts w:ascii="Arial" w:eastAsia="Arial" w:hAnsi="Arial" w:cs="Arial"/>
        </w:rPr>
        <w:t>&lt;</w:t>
      </w:r>
      <w:r>
        <w:t>4 pg/ml; intermedio, 8</w:t>
      </w:r>
    </w:p>
    <w:p w14:paraId="2DDAE2DE" w14:textId="77777777" w:rsidR="00D03C17" w:rsidRDefault="00D03C17">
      <w:pPr>
        <w:pStyle w:val="Footnote0"/>
        <w:spacing w:line="252" w:lineRule="auto"/>
        <w:ind w:firstLine="240"/>
      </w:pPr>
      <w:r>
        <w:t xml:space="preserve">a 16 pg/ml; y resistente, </w:t>
      </w:r>
      <w:r>
        <w:rPr>
          <w:rFonts w:ascii="Arial" w:eastAsia="Arial" w:hAnsi="Arial" w:cs="Arial"/>
        </w:rPr>
        <w:t>&gt;</w:t>
      </w:r>
      <w:r>
        <w:t>32 pg/mililitro.</w:t>
      </w:r>
    </w:p>
  </w:footnote>
  <w:footnote w:id="31">
    <w:p w14:paraId="413E3677" w14:textId="77777777" w:rsidR="00D03C17" w:rsidRDefault="00D03C17">
      <w:pPr>
        <w:pStyle w:val="Footnote0"/>
        <w:tabs>
          <w:tab w:val="left" w:pos="168"/>
        </w:tabs>
        <w:spacing w:line="252" w:lineRule="auto"/>
        <w:ind w:left="180" w:hanging="180"/>
      </w:pPr>
      <w:r>
        <w:rPr>
          <w:sz w:val="8"/>
          <w:szCs w:val="8"/>
          <w:vertAlign w:val="superscript"/>
        </w:rPr>
        <w:footnoteRef/>
      </w:r>
      <w:r>
        <w:rPr>
          <w:sz w:val="8"/>
          <w:szCs w:val="8"/>
        </w:rPr>
        <w:tab/>
      </w:r>
      <w:r>
        <w:t xml:space="preserve">En lo que se refiere a datos de la erradicación de la propagación de VISA y de estafilococos resistentes a vancomicina, enviar correo electrónico a la dirección: </w:t>
      </w:r>
      <w:hyperlink r:id="rId3" w:history="1">
        <w:r>
          <w:t>SEARCH@cdc.gov</w:t>
        </w:r>
      </w:hyperlink>
      <w:r>
        <w:t xml:space="preserve"> o visitar la siguiente página en Internet: </w:t>
      </w:r>
      <w:hyperlink r:id="rId4" w:history="1">
        <w:r>
          <w:t>www.cdc.gov/ncidod/hip/default.htm</w:t>
        </w:r>
      </w:hyperlink>
      <w:r>
        <w:t>.</w:t>
      </w:r>
    </w:p>
  </w:footnote>
  <w:footnote w:id="32">
    <w:p w14:paraId="0ABC4894" w14:textId="77777777" w:rsidR="00D03C17" w:rsidRDefault="00D03C17">
      <w:pPr>
        <w:pStyle w:val="Footnote0"/>
        <w:spacing w:line="266" w:lineRule="auto"/>
      </w:pPr>
      <w:r>
        <w:footnoteRef/>
      </w:r>
      <w:r>
        <w:t xml:space="preserve"> Centers for Disease Control and Prevention. Guidelines for prevention of nosocomial pneumonia. MMWR. En prensa.</w:t>
      </w:r>
    </w:p>
  </w:footnote>
  <w:footnote w:id="33">
    <w:p w14:paraId="743904F8" w14:textId="77777777" w:rsidR="00D03C17" w:rsidRDefault="00D03C17">
      <w:pPr>
        <w:pStyle w:val="Footnote0"/>
        <w:spacing w:line="266" w:lineRule="auto"/>
      </w:pPr>
      <w:r>
        <w:footnoteRef/>
      </w:r>
      <w:r>
        <w:t xml:space="preserve"> Centers for Disease Control and Prevention. Interim guidelines for the prevention and control of staphylococcal infection associated with reduced susceptibility to vamcomycin. </w:t>
      </w:r>
      <w:r>
        <w:rPr>
          <w:i/>
          <w:iCs/>
        </w:rPr>
        <w:t>MMWR Morb Mortal Wkly Rep.</w:t>
      </w:r>
      <w:r>
        <w:t xml:space="preserve"> 1997;46:626-628.</w:t>
      </w:r>
    </w:p>
  </w:footnote>
  <w:footnote w:id="34">
    <w:p w14:paraId="4A808891" w14:textId="77777777" w:rsidR="00D03C17" w:rsidRDefault="00D03C17">
      <w:pPr>
        <w:pStyle w:val="Footnote0"/>
        <w:spacing w:line="264" w:lineRule="auto"/>
      </w:pPr>
      <w:r>
        <w:footnoteRef/>
      </w:r>
      <w:r>
        <w:t xml:space="preserve"> Centers for Disease Control and Prevention. Recommendations for preventing the spread of vancomycin resistance: recommendations of the Hospital Infection Control Practices Advisory Committee (HICPAC). </w:t>
      </w:r>
      <w:r>
        <w:rPr>
          <w:i/>
          <w:iCs/>
        </w:rPr>
        <w:t>MMWR Recomm Rep.</w:t>
      </w:r>
      <w:r>
        <w:t xml:space="preserve"> 1995;44(RR-12):1-13.</w:t>
      </w:r>
    </w:p>
  </w:footnote>
  <w:footnote w:id="35">
    <w:p w14:paraId="400400DC" w14:textId="77777777" w:rsidR="00D03C17" w:rsidRDefault="00D03C17">
      <w:pPr>
        <w:pStyle w:val="Footnote0"/>
        <w:tabs>
          <w:tab w:val="left" w:pos="158"/>
        </w:tabs>
        <w:ind w:left="240" w:hanging="240"/>
      </w:pPr>
      <w:r>
        <w:rPr>
          <w:sz w:val="8"/>
          <w:szCs w:val="8"/>
          <w:vertAlign w:val="superscript"/>
        </w:rPr>
        <w:footnoteRef/>
      </w:r>
      <w:r>
        <w:rPr>
          <w:sz w:val="8"/>
          <w:szCs w:val="8"/>
        </w:rPr>
        <w:tab/>
      </w:r>
      <w:r>
        <w:t xml:space="preserve">Modificado con autorización de Dajani A, Taubert K, Terrieri P Peter G, Shulman S. Treatment of acute streptococcal pharyngitis and prevention of rheumatic fever: a statement for health professionals: Committee on Rheumatic Fever, Endocarditis, and Kawasaki Disease of the Council on Cardiovascular Disease in the Young. The American Heart Association. </w:t>
      </w:r>
      <w:r>
        <w:rPr>
          <w:i/>
          <w:iCs/>
        </w:rPr>
        <w:t>Pediatrics.</w:t>
      </w:r>
      <w:r>
        <w:t xml:space="preserve"> 1995;96:758-764.</w:t>
      </w:r>
    </w:p>
  </w:footnote>
  <w:footnote w:id="36">
    <w:p w14:paraId="74A1DE1F" w14:textId="77777777" w:rsidR="00D03C17" w:rsidRDefault="00D03C17">
      <w:pPr>
        <w:pStyle w:val="Footnote0"/>
        <w:tabs>
          <w:tab w:val="left" w:pos="173"/>
        </w:tabs>
        <w:spacing w:after="620"/>
      </w:pPr>
      <w:r>
        <w:rPr>
          <w:sz w:val="8"/>
          <w:szCs w:val="8"/>
          <w:vertAlign w:val="superscript"/>
        </w:rPr>
        <w:footnoteRef/>
      </w:r>
      <w:r>
        <w:rPr>
          <w:sz w:val="8"/>
          <w:szCs w:val="8"/>
        </w:rPr>
        <w:tab/>
      </w:r>
      <w:r>
        <w:t>En situaciones de alto riesgo se recomienda la aplicación cada tres semanas.</w:t>
      </w:r>
    </w:p>
    <w:p w14:paraId="00D3422D" w14:textId="77777777" w:rsidR="00D03C17" w:rsidRDefault="00D03C17">
      <w:pPr>
        <w:pStyle w:val="Footnote0"/>
        <w:spacing w:line="269" w:lineRule="auto"/>
        <w:rPr>
          <w:sz w:val="19"/>
          <w:szCs w:val="19"/>
        </w:rPr>
      </w:pPr>
      <w:r>
        <w:rPr>
          <w:rFonts w:ascii="Garamond" w:eastAsia="Garamond" w:hAnsi="Garamond" w:cs="Garamond"/>
          <w:sz w:val="19"/>
          <w:szCs w:val="19"/>
        </w:rPr>
        <w:t>se recomienda la eritromicina. Se necesita que sean aceptables macrólidos nuevos como la azitromicina o la claritromicina; tiene menor peligro de intolerancia gastrointestinal pero mayores costos.</w:t>
      </w:r>
    </w:p>
    <w:p w14:paraId="439E7604" w14:textId="77777777" w:rsidR="00D03C17" w:rsidRDefault="00D03C17">
      <w:pPr>
        <w:pStyle w:val="Footnote0"/>
        <w:spacing w:line="276" w:lineRule="auto"/>
        <w:ind w:firstLine="360"/>
        <w:rPr>
          <w:sz w:val="19"/>
          <w:szCs w:val="19"/>
        </w:rPr>
      </w:pPr>
      <w:r>
        <w:rPr>
          <w:rFonts w:ascii="Arial" w:eastAsia="Arial" w:hAnsi="Arial" w:cs="Arial"/>
          <w:b/>
          <w:bCs/>
          <w:i/>
          <w:iCs/>
        </w:rPr>
        <w:t>Artritis reactiva posestreptocócica.</w:t>
      </w:r>
      <w:r>
        <w:rPr>
          <w:rFonts w:ascii="Garamond" w:eastAsia="Garamond" w:hAnsi="Garamond" w:cs="Garamond"/>
          <w:sz w:val="19"/>
          <w:szCs w:val="19"/>
        </w:rPr>
        <w:t xml:space="preserve"> Después de un episodio de faringitis aguda por GAS, puede surgir artritis reactiva sin que aparezcan suficientes manifestaciones clínicas y datos de estudios de laboratorio como para satisfacer los criterios de Jones para el diagnóstico de fiebre reumática aguda. El síndrome en cuestión ha sido llamado artritis reactiva posestreptocócica </w:t>
      </w:r>
      <w:r>
        <w:rPr>
          <w:rFonts w:ascii="Garamond" w:eastAsia="Garamond" w:hAnsi="Garamond" w:cs="Garamond"/>
          <w:i/>
          <w:iCs/>
          <w:sz w:val="19"/>
          <w:szCs w:val="19"/>
        </w:rPr>
        <w:t>(</w:t>
      </w:r>
      <w:r>
        <w:rPr>
          <w:i/>
          <w:iCs/>
          <w:sz w:val="16"/>
          <w:szCs w:val="16"/>
        </w:rPr>
        <w:t>poststreptococcal reactive arthritis</w:t>
      </w:r>
      <w:r>
        <w:rPr>
          <w:rFonts w:ascii="Garamond" w:eastAsia="Garamond" w:hAnsi="Garamond" w:cs="Garamond"/>
          <w:i/>
          <w:iCs/>
          <w:sz w:val="19"/>
          <w:szCs w:val="19"/>
        </w:rPr>
        <w:t>,</w:t>
      </w:r>
      <w:r>
        <w:rPr>
          <w:rFonts w:ascii="Garamond" w:eastAsia="Garamond" w:hAnsi="Garamond" w:cs="Garamond"/>
          <w:sz w:val="19"/>
          <w:szCs w:val="19"/>
        </w:rPr>
        <w:t xml:space="preserve"> PSRA). No se ha definido la relación exacta que guardan PSRA y la fiebre reumática aguda. A diferencia de la artritis de la fiebre reumática aguda, la que surge en PSRA no mejora impresionantemente con antiinflamatorios no esteroideos. Algunos pacientes de PSRA al parecer muestran carditis asintomática o de comienzo tardío, razón por la cual habrá que observar con gran cuidado a los enfermos durante varios meses, ante la aparición ulterior de carditis. Algunos expertos recomiendan la profilaxia de estos enfermos durante meses a un año si la carditis no aparece; en caso de surgir, el paciente debe ser considerado como portador de fiebre reumática y se continuará su profilaxia (véase “Profilaxia secundaria en la fiebre reumática”, páginas anteriores en este resumen).</w:t>
      </w:r>
    </w:p>
    <w:p w14:paraId="31223DBD" w14:textId="77777777" w:rsidR="00D03C17" w:rsidRDefault="00D03C17">
      <w:pPr>
        <w:pStyle w:val="Footnote0"/>
        <w:spacing w:line="276" w:lineRule="auto"/>
        <w:ind w:firstLine="360"/>
        <w:rPr>
          <w:sz w:val="19"/>
          <w:szCs w:val="19"/>
        </w:rPr>
      </w:pPr>
      <w:r>
        <w:rPr>
          <w:rFonts w:ascii="Arial" w:eastAsia="Arial" w:hAnsi="Arial" w:cs="Arial"/>
          <w:b/>
          <w:bCs/>
          <w:i/>
          <w:iCs/>
        </w:rPr>
        <w:t>Profilaxia de endocarditis bacteriana.</w:t>
      </w:r>
      <w:r>
        <w:rPr>
          <w:rFonts w:ascii="Garamond" w:eastAsia="Garamond" w:hAnsi="Garamond" w:cs="Garamond"/>
          <w:sz w:val="19"/>
          <w:szCs w:val="19"/>
        </w:rPr>
        <w:t xml:space="preserve"> Los niños con valvulopatia reumática del corazón también necesitan profilaxia adicional con antimicrobianos por lapsos breves en la fecha en que se practican algunos procedimientos (como los de tipo odontológico y quirúrgico) para evitar el posible surgimiento de endocarditis bacteriana (véase “Prevención de endocarditis bacteriana”, sección 5). Las personas que han tenido fiebre reumática sin manifestaciones de cardiopatía valvular no necesitan profilaxia para evitar la endocarditis. No se utilizarán en la profilaxia contra la endocarditis penicilina, ampicilina y amoxicilina, si el paciente recibe penicilina ingerible en la profilaxia secundaria de fiebre reumática, dada la resistencia relativa de estreptococos viridans en la cavidad bucal de tales pacientes. Otros antimicrobianos recomendados para usar en dichos pacientes son clindamicina, azitromicina y claritromicina.</w:t>
      </w:r>
    </w:p>
  </w:footnote>
  <w:footnote w:id="37">
    <w:p w14:paraId="09A74924" w14:textId="77777777" w:rsidR="00D03C17" w:rsidRDefault="00D03C17">
      <w:pPr>
        <w:pStyle w:val="Footnote0"/>
        <w:numPr>
          <w:ilvl w:val="0"/>
          <w:numId w:val="9"/>
        </w:numPr>
        <w:pBdr>
          <w:top w:val="single" w:sz="4" w:space="0" w:color="auto"/>
        </w:pBdr>
        <w:tabs>
          <w:tab w:val="left" w:pos="173"/>
        </w:tabs>
        <w:ind w:left="200" w:hanging="200"/>
      </w:pPr>
      <w:r>
        <w:t>Excepciones: mujeres con bacterium por GBS durante el embarazo presente u otras que dieron a luz anteriormente un producto con enfermedad invasora por estreptococos del grupo B.</w:t>
      </w:r>
    </w:p>
    <w:p w14:paraId="71AD9682" w14:textId="77777777" w:rsidR="00D03C17" w:rsidRDefault="00D03C17">
      <w:pPr>
        <w:pStyle w:val="Footnote0"/>
        <w:numPr>
          <w:ilvl w:val="0"/>
          <w:numId w:val="9"/>
        </w:numPr>
        <w:tabs>
          <w:tab w:val="left" w:pos="173"/>
        </w:tabs>
        <w:ind w:left="200" w:hanging="200"/>
      </w:pPr>
      <w:r>
        <w:t>SÍ se sospecha corioamnionitis habrá que cambiar LAP contra GBS, por antimicrobianos de amplio espectro que incluya algún agente que muestra actividad contra dicho microorganismo.</w:t>
      </w:r>
    </w:p>
  </w:footnote>
  <w:footnote w:id="38">
    <w:p w14:paraId="2B73EE6A" w14:textId="77777777" w:rsidR="00D03C17" w:rsidRDefault="00D03C17">
      <w:pPr>
        <w:pStyle w:val="Footnote0"/>
        <w:spacing w:line="266" w:lineRule="auto"/>
      </w:pPr>
      <w:r>
        <w:footnoteRef/>
      </w:r>
      <w:r>
        <w:t xml:space="preserve"> Facklam R. What happened to the streptococci: overview of taxonomic and nomenclature changes. </w:t>
      </w:r>
      <w:r>
        <w:rPr>
          <w:i/>
          <w:iCs/>
        </w:rPr>
        <w:t>Clin Microbiol Rev.</w:t>
      </w:r>
      <w:r>
        <w:t xml:space="preserve"> 2002;15:613.</w:t>
      </w:r>
    </w:p>
  </w:footnote>
  <w:footnote w:id="39">
    <w:p w14:paraId="198E35A5" w14:textId="77777777" w:rsidR="00D03C17" w:rsidRDefault="00D03C17">
      <w:pPr>
        <w:pStyle w:val="Footnote0"/>
        <w:spacing w:line="266" w:lineRule="auto"/>
      </w:pPr>
      <w:r>
        <w:footnoteRef/>
      </w:r>
      <w:r>
        <w:t xml:space="preserve"> Wilson WR, Karchmer AW, Dajani AS, et al. Antibiotic treatment of adults with infective endocarditis due to streptococci, enterococci, staphylococci, and HACEK microorganisms. </w:t>
      </w:r>
      <w:r>
        <w:rPr>
          <w:i/>
          <w:iCs/>
        </w:rPr>
        <w:t>JAMA.</w:t>
      </w:r>
      <w:r>
        <w:t xml:space="preserve"> 1995;274:1706-1713.</w:t>
      </w:r>
    </w:p>
  </w:footnote>
  <w:footnote w:id="40">
    <w:p w14:paraId="7FACCC4F" w14:textId="77777777" w:rsidR="00D03C17" w:rsidRDefault="00D03C17">
      <w:pPr>
        <w:pStyle w:val="Footnote0"/>
        <w:spacing w:line="264" w:lineRule="auto"/>
      </w:pPr>
      <w:r>
        <w:footnoteRef/>
      </w:r>
      <w:r>
        <w:t xml:space="preserve"> Centers for Disease Control and Prevention. Recommendations for preventing the spread of vancomycin resistance: recommendations of the Hospital Infection Control Practices Advisory Committee (HICPAC). </w:t>
      </w:r>
      <w:r>
        <w:rPr>
          <w:i/>
          <w:iCs/>
        </w:rPr>
        <w:t>MMWR Recomm Rep.</w:t>
      </w:r>
      <w:r>
        <w:t xml:space="preserve"> 1995;44(RR-12):1-13.</w:t>
      </w:r>
    </w:p>
  </w:footnote>
  <w:footnote w:id="41">
    <w:p w14:paraId="2326FCF2" w14:textId="77777777" w:rsidR="00D03C17" w:rsidRDefault="00D03C17">
      <w:pPr>
        <w:pStyle w:val="Footnote0"/>
        <w:spacing w:line="266" w:lineRule="auto"/>
      </w:pPr>
      <w:r>
        <w:footnoteRef/>
      </w:r>
      <w:r>
        <w:t xml:space="preserve"> Centers for Disease Control and Prevention. Sexually transmitted diseases treatment guidelines-United States, 2002. </w:t>
      </w:r>
      <w:r>
        <w:rPr>
          <w:i/>
          <w:iCs/>
        </w:rPr>
        <w:t>MMWR Recomm Rep.</w:t>
      </w:r>
      <w:r>
        <w:t xml:space="preserve"> 2002;51(RR-6):1-80.</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2F858" w14:textId="77777777" w:rsidR="00D03C17" w:rsidRDefault="00D03C17">
    <w:pPr>
      <w:spacing w:line="1" w:lineRule="exact"/>
    </w:pPr>
    <w:r>
      <w:rPr>
        <w:noProof/>
      </w:rPr>
      <mc:AlternateContent>
        <mc:Choice Requires="wps">
          <w:drawing>
            <wp:anchor distT="0" distB="0" distL="0" distR="0" simplePos="0" relativeHeight="251859968" behindDoc="1" locked="0" layoutInCell="1" allowOverlap="1" wp14:anchorId="422CEDCE" wp14:editId="50ABDEB6">
              <wp:simplePos x="0" y="0"/>
              <wp:positionH relativeFrom="page">
                <wp:posOffset>530860</wp:posOffset>
              </wp:positionH>
              <wp:positionV relativeFrom="page">
                <wp:posOffset>307975</wp:posOffset>
              </wp:positionV>
              <wp:extent cx="2609215" cy="79375"/>
              <wp:effectExtent l="0" t="0" r="0" b="0"/>
              <wp:wrapNone/>
              <wp:docPr id="1225" name="Shape 1225"/>
              <wp:cNvGraphicFramePr/>
              <a:graphic xmlns:a="http://schemas.openxmlformats.org/drawingml/2006/main">
                <a:graphicData uri="http://schemas.microsoft.com/office/word/2010/wordprocessingShape">
                  <wps:wsp>
                    <wps:cNvSpPr txBox="1"/>
                    <wps:spPr>
                      <a:xfrm>
                        <a:off x="0" y="0"/>
                        <a:ext cx="2609215" cy="79375"/>
                      </a:xfrm>
                      <a:prstGeom prst="rect">
                        <a:avLst/>
                      </a:prstGeom>
                      <a:noFill/>
                    </wps:spPr>
                    <wps:txbx>
                      <w:txbxContent>
                        <w:p w14:paraId="29C28856" w14:textId="77777777" w:rsidR="00D03C17" w:rsidRDefault="00D03C17">
                          <w:pPr>
                            <w:pStyle w:val="Headerorfooter0"/>
                            <w:tabs>
                              <w:tab w:val="right" w:pos="4109"/>
                            </w:tabs>
                          </w:pPr>
                          <w:r>
                            <w:rPr>
                              <w:sz w:val="16"/>
                              <w:szCs w:val="16"/>
                            </w:rPr>
                            <w:t>478</w:t>
                          </w:r>
                          <w:r>
                            <w:rPr>
                              <w:sz w:val="16"/>
                              <w:szCs w:val="16"/>
                            </w:rPr>
                            <w:tab/>
                          </w:r>
                          <w:r>
                            <w:t>LYME, ENFERMEDAD</w:t>
                          </w:r>
                        </w:p>
                      </w:txbxContent>
                    </wps:txbx>
                    <wps:bodyPr lIns="0" tIns="0" rIns="0" bIns="0">
                      <a:spAutoFit/>
                    </wps:bodyPr>
                  </wps:wsp>
                </a:graphicData>
              </a:graphic>
            </wp:anchor>
          </w:drawing>
        </mc:Choice>
        <mc:Fallback>
          <w:pict>
            <v:shapetype w14:anchorId="422CEDCE" id="_x0000_t202" coordsize="21600,21600" o:spt="202" path="m,l,21600r21600,l21600,xe">
              <v:stroke joinstyle="miter"/>
              <v:path gradientshapeok="t" o:connecttype="rect"/>
            </v:shapetype>
            <v:shape id="Shape 1225" o:spid="_x0000_s1052" type="#_x0000_t202" style="position:absolute;margin-left:41.8pt;margin-top:24.25pt;width:205.45pt;height:6.25pt;z-index:-251456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" filled="f" stroked="f">
              <v:textbox style="mso-fit-shape-to-text:t" inset="0,0,0,0">
                <w:txbxContent>
                  <w:p w14:paraId="29C28856" w14:textId="77777777" w:rsidR="00D03C17" w:rsidRDefault="00D03C17">
                    <w:pPr>
                      <w:pStyle w:val="Headerorfooter0"/>
                      <w:tabs>
                        <w:tab w:val="right" w:pos="4109"/>
                      </w:tabs>
                    </w:pPr>
                    <w:r>
                      <w:rPr>
                        <w:sz w:val="16"/>
                        <w:szCs w:val="16"/>
                      </w:rPr>
                      <w:t>478</w:t>
                    </w:r>
                    <w:r>
                      <w:rPr>
                        <w:sz w:val="16"/>
                        <w:szCs w:val="16"/>
                      </w:rPr>
                      <w:tab/>
                    </w:r>
                    <w:r>
                      <w:t>LYME, ENFERMEDAD</w:t>
                    </w:r>
                  </w:p>
                </w:txbxContent>
              </v:textbox>
              <w10:wrap anchorx="page" anchory="page"/>
            </v:shape>
          </w:pict>
        </mc:Fallback>
      </mc:AlternateContent>
    </w:r>
    <w:r>
      <w:rPr>
        <w:noProof/>
      </w:rPr>
      <mc:AlternateContent>
        <mc:Choice Requires="wps">
          <w:drawing>
            <wp:anchor distT="0" distB="0" distL="114300" distR="114300" simplePos="0" relativeHeight="251660288" behindDoc="1" locked="0" layoutInCell="1" allowOverlap="1" wp14:anchorId="6C8BD504" wp14:editId="4B77DFAE">
              <wp:simplePos x="0" y="0"/>
              <wp:positionH relativeFrom="page">
                <wp:posOffset>515620</wp:posOffset>
              </wp:positionH>
              <wp:positionV relativeFrom="page">
                <wp:posOffset>416560</wp:posOffset>
              </wp:positionV>
              <wp:extent cx="4358640" cy="0"/>
              <wp:effectExtent l="0" t="0" r="0" b="0"/>
              <wp:wrapNone/>
              <wp:docPr id="1227" name="Shape 1227"/>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12CA0E64" id="_x0000_t32" coordsize="21600,21600" o:spt="32" o:oned="t" path="m,l21600,21600e" filled="f">
              <v:path arrowok="t" fillok="f" o:connecttype="none"/>
              <o:lock v:ext="edit" shapetype="t"/>
            </v:shapetype>
            <v:shape id="Shape 1227" o:spid="_x0000_s1026" type="#_x0000_t32" style="position:absolute;margin-left:40.6pt;margin-top:32.8pt;width:343.2pt;height:0;z-index:-25165619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" strokeweight="1pt">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D8732" w14:textId="77777777" w:rsidR="00D03C17" w:rsidRDefault="00D03C17">
    <w:pPr>
      <w:spacing w:line="1" w:lineRule="exact"/>
    </w:pPr>
    <w:r>
      <w:rPr>
        <w:noProof/>
      </w:rPr>
      <mc:AlternateContent>
        <mc:Choice Requires="wps">
          <w:drawing>
            <wp:anchor distT="0" distB="0" distL="0" distR="0" simplePos="0" relativeHeight="251858944" behindDoc="1" locked="0" layoutInCell="1" allowOverlap="1" wp14:anchorId="50CCFF56" wp14:editId="636C5A03">
              <wp:simplePos x="0" y="0"/>
              <wp:positionH relativeFrom="page">
                <wp:posOffset>530860</wp:posOffset>
              </wp:positionH>
              <wp:positionV relativeFrom="page">
                <wp:posOffset>307975</wp:posOffset>
              </wp:positionV>
              <wp:extent cx="2609215" cy="79375"/>
              <wp:effectExtent l="0" t="0" r="0" b="0"/>
              <wp:wrapNone/>
              <wp:docPr id="1222" name="Shape 1222"/>
              <wp:cNvGraphicFramePr/>
              <a:graphic xmlns:a="http://schemas.openxmlformats.org/drawingml/2006/main">
                <a:graphicData uri="http://schemas.microsoft.com/office/word/2010/wordprocessingShape">
                  <wps:wsp>
                    <wps:cNvSpPr txBox="1"/>
                    <wps:spPr>
                      <a:xfrm>
                        <a:off x="0" y="0"/>
                        <a:ext cx="2609215" cy="79375"/>
                      </a:xfrm>
                      <a:prstGeom prst="rect">
                        <a:avLst/>
                      </a:prstGeom>
                      <a:noFill/>
                    </wps:spPr>
                    <wps:txbx>
                      <w:txbxContent>
                        <w:p w14:paraId="2451D72D" w14:textId="77777777" w:rsidR="00D03C17" w:rsidRDefault="00D03C17">
                          <w:pPr>
                            <w:pStyle w:val="Headerorfooter0"/>
                            <w:tabs>
                              <w:tab w:val="right" w:pos="4109"/>
                            </w:tabs>
                          </w:pPr>
                          <w:r>
                            <w:rPr>
                              <w:sz w:val="16"/>
                              <w:szCs w:val="16"/>
                            </w:rPr>
                            <w:t>478</w:t>
                          </w:r>
                          <w:r>
                            <w:rPr>
                              <w:sz w:val="16"/>
                              <w:szCs w:val="16"/>
                            </w:rPr>
                            <w:tab/>
                          </w:r>
                          <w:r>
                            <w:t>LYME, ENFERMEDAD</w:t>
                          </w:r>
                        </w:p>
                      </w:txbxContent>
                    </wps:txbx>
                    <wps:bodyPr lIns="0" tIns="0" rIns="0" bIns="0">
                      <a:spAutoFit/>
                    </wps:bodyPr>
                  </wps:wsp>
                </a:graphicData>
              </a:graphic>
            </wp:anchor>
          </w:drawing>
        </mc:Choice>
        <mc:Fallback>
          <w:pict>
            <v:shapetype w14:anchorId="50CCFF56" id="_x0000_t202" coordsize="21600,21600" o:spt="202" path="m,l,21600r21600,l21600,xe">
              <v:stroke joinstyle="miter"/>
              <v:path gradientshapeok="t" o:connecttype="rect"/>
            </v:shapetype>
            <v:shape id="Shape 1222" o:spid="_x0000_s1053" type="#_x0000_t202" style="position:absolute;margin-left:41.8pt;margin-top:24.25pt;width:205.45pt;height:6.25pt;z-index:-251457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" filled="f" stroked="f">
              <v:textbox style="mso-fit-shape-to-text:t" inset="0,0,0,0">
                <w:txbxContent>
                  <w:p w14:paraId="2451D72D" w14:textId="77777777" w:rsidR="00D03C17" w:rsidRDefault="00D03C17">
                    <w:pPr>
                      <w:pStyle w:val="Headerorfooter0"/>
                      <w:tabs>
                        <w:tab w:val="right" w:pos="4109"/>
                      </w:tabs>
                    </w:pPr>
                    <w:r>
                      <w:rPr>
                        <w:sz w:val="16"/>
                        <w:szCs w:val="16"/>
                      </w:rPr>
                      <w:t>478</w:t>
                    </w:r>
                    <w:r>
                      <w:rPr>
                        <w:sz w:val="16"/>
                        <w:szCs w:val="16"/>
                      </w:rPr>
                      <w:tab/>
                    </w:r>
                    <w:r>
                      <w:t>LYME, ENFERMEDAD</w:t>
                    </w:r>
                  </w:p>
                </w:txbxContent>
              </v:textbox>
              <w10:wrap anchorx="page" anchory="page"/>
            </v:shape>
          </w:pict>
        </mc:Fallback>
      </mc:AlternateContent>
    </w:r>
    <w:r>
      <w:rPr>
        <w:noProof/>
      </w:rPr>
      <mc:AlternateContent>
        <mc:Choice Requires="wps">
          <w:drawing>
            <wp:anchor distT="0" distB="0" distL="114300" distR="114300" simplePos="0" relativeHeight="251659264" behindDoc="1" locked="0" layoutInCell="1" allowOverlap="1" wp14:anchorId="4EC601C7" wp14:editId="1D3EFD39">
              <wp:simplePos x="0" y="0"/>
              <wp:positionH relativeFrom="page">
                <wp:posOffset>515620</wp:posOffset>
              </wp:positionH>
              <wp:positionV relativeFrom="page">
                <wp:posOffset>416560</wp:posOffset>
              </wp:positionV>
              <wp:extent cx="4358640" cy="0"/>
              <wp:effectExtent l="0" t="0" r="0" b="0"/>
              <wp:wrapNone/>
              <wp:docPr id="1224" name="Shape 1224"/>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33AC2314" id="_x0000_t32" coordsize="21600,21600" o:spt="32" o:oned="t" path="m,l21600,21600e" filled="f">
              <v:path arrowok="t" fillok="f" o:connecttype="none"/>
              <o:lock v:ext="edit" shapetype="t"/>
            </v:shapetype>
            <v:shape id="Shape 1224" o:spid="_x0000_s1026" type="#_x0000_t32" style="position:absolute;margin-left:40.6pt;margin-top:32.8pt;width:343.2pt;height:0;z-index:-25165721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" strokeweight="1pt">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0A742" w14:textId="77777777" w:rsidR="00D03C17" w:rsidRDefault="00D03C17">
    <w:pPr>
      <w:spacing w:line="1" w:lineRule="exact"/>
    </w:pPr>
    <w:r>
      <w:rPr>
        <w:noProof/>
      </w:rPr>
      <mc:AlternateContent>
        <mc:Choice Requires="wps">
          <w:drawing>
            <wp:anchor distT="0" distB="0" distL="0" distR="0" simplePos="0" relativeHeight="251862016" behindDoc="1" locked="0" layoutInCell="1" allowOverlap="1" wp14:anchorId="14852397" wp14:editId="52B30DF4">
              <wp:simplePos x="0" y="0"/>
              <wp:positionH relativeFrom="page">
                <wp:posOffset>2257425</wp:posOffset>
              </wp:positionH>
              <wp:positionV relativeFrom="page">
                <wp:posOffset>307975</wp:posOffset>
              </wp:positionV>
              <wp:extent cx="2602865" cy="79375"/>
              <wp:effectExtent l="0" t="0" r="0" b="0"/>
              <wp:wrapNone/>
              <wp:docPr id="1231" name="Shape 1231"/>
              <wp:cNvGraphicFramePr/>
              <a:graphic xmlns:a="http://schemas.openxmlformats.org/drawingml/2006/main">
                <a:graphicData uri="http://schemas.microsoft.com/office/word/2010/wordprocessingShape">
                  <wps:wsp>
                    <wps:cNvSpPr txBox="1"/>
                    <wps:spPr>
                      <a:xfrm>
                        <a:off x="0" y="0"/>
                        <a:ext cx="2602865" cy="79375"/>
                      </a:xfrm>
                      <a:prstGeom prst="rect">
                        <a:avLst/>
                      </a:prstGeom>
                      <a:noFill/>
                    </wps:spPr>
                    <wps:txbx>
                      <w:txbxContent>
                        <w:p w14:paraId="2EF655B2" w14:textId="77777777" w:rsidR="00D03C17" w:rsidRDefault="00D03C17">
                          <w:pPr>
                            <w:pStyle w:val="Headerorfooter0"/>
                            <w:tabs>
                              <w:tab w:val="right" w:pos="4099"/>
                            </w:tabs>
                            <w:rPr>
                              <w:sz w:val="16"/>
                              <w:szCs w:val="16"/>
                            </w:rPr>
                          </w:pPr>
                          <w:r>
                            <w:t>LYME, ENFERMEDAD</w:t>
                          </w:r>
                          <w:r>
                            <w:tab/>
                          </w:r>
                          <w:r>
                            <w:rPr>
                              <w:sz w:val="16"/>
                              <w:szCs w:val="16"/>
                            </w:rPr>
                            <w:t>479</w:t>
                          </w:r>
                        </w:p>
                      </w:txbxContent>
                    </wps:txbx>
                    <wps:bodyPr lIns="0" tIns="0" rIns="0" bIns="0">
                      <a:spAutoFit/>
                    </wps:bodyPr>
                  </wps:wsp>
                </a:graphicData>
              </a:graphic>
            </wp:anchor>
          </w:drawing>
        </mc:Choice>
        <mc:Fallback>
          <w:pict>
            <v:shapetype w14:anchorId="14852397" id="_x0000_t202" coordsize="21600,21600" o:spt="202" path="m,l,21600r21600,l21600,xe">
              <v:stroke joinstyle="miter"/>
              <v:path gradientshapeok="t" o:connecttype="rect"/>
            </v:shapetype>
            <v:shape id="Shape 1231" o:spid="_x0000_s1054" type="#_x0000_t202" style="position:absolute;margin-left:177.75pt;margin-top:24.25pt;width:204.95pt;height:6.25pt;z-index:-251454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" filled="f" stroked="f">
              <v:textbox style="mso-fit-shape-to-text:t" inset="0,0,0,0">
                <w:txbxContent>
                  <w:p w14:paraId="2EF655B2" w14:textId="77777777" w:rsidR="00D03C17" w:rsidRDefault="00D03C17">
                    <w:pPr>
                      <w:pStyle w:val="Headerorfooter0"/>
                      <w:tabs>
                        <w:tab w:val="right" w:pos="4099"/>
                      </w:tabs>
                      <w:rPr>
                        <w:sz w:val="16"/>
                        <w:szCs w:val="16"/>
                      </w:rPr>
                    </w:pPr>
                    <w:r>
                      <w:t>LYME, ENFERMEDAD</w:t>
                    </w:r>
                    <w:r>
                      <w:tab/>
                    </w:r>
                    <w:r>
                      <w:rPr>
                        <w:sz w:val="16"/>
                        <w:szCs w:val="16"/>
                      </w:rPr>
                      <w:t>479</w:t>
                    </w:r>
                  </w:p>
                </w:txbxContent>
              </v:textbox>
              <w10:wrap anchorx="page" anchory="page"/>
            </v:shape>
          </w:pict>
        </mc:Fallback>
      </mc:AlternateContent>
    </w:r>
    <w:r>
      <w:rPr>
        <w:noProof/>
      </w:rPr>
      <mc:AlternateContent>
        <mc:Choice Requires="wps">
          <w:drawing>
            <wp:anchor distT="0" distB="0" distL="114300" distR="114300" simplePos="0" relativeHeight="251662336" behindDoc="1" locked="0" layoutInCell="1" allowOverlap="1" wp14:anchorId="3A2B2906" wp14:editId="24D1ADCA">
              <wp:simplePos x="0" y="0"/>
              <wp:positionH relativeFrom="page">
                <wp:posOffset>523240</wp:posOffset>
              </wp:positionH>
              <wp:positionV relativeFrom="page">
                <wp:posOffset>416560</wp:posOffset>
              </wp:positionV>
              <wp:extent cx="4358640" cy="0"/>
              <wp:effectExtent l="0" t="0" r="0" b="0"/>
              <wp:wrapNone/>
              <wp:docPr id="1233" name="Shape 1233"/>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5F757343" id="_x0000_t32" coordsize="21600,21600" o:spt="32" o:oned="t" path="m,l21600,21600e" filled="f">
              <v:path arrowok="t" fillok="f" o:connecttype="none"/>
              <o:lock v:ext="edit" shapetype="t"/>
            </v:shapetype>
            <v:shape id="Shape 1233" o:spid="_x0000_s1026" type="#_x0000_t32" style="position:absolute;margin-left:41.2pt;margin-top:32.8pt;width:343.2pt;height:0;z-index:-25165414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" strokeweight="1pt">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D8B26" w14:textId="77777777" w:rsidR="00D03C17" w:rsidRDefault="00D03C17">
    <w:pPr>
      <w:spacing w:line="1" w:lineRule="exact"/>
    </w:pPr>
    <w:r>
      <w:rPr>
        <w:noProof/>
      </w:rPr>
      <mc:AlternateContent>
        <mc:Choice Requires="wps">
          <w:drawing>
            <wp:anchor distT="0" distB="0" distL="0" distR="0" simplePos="0" relativeHeight="251860992" behindDoc="1" locked="0" layoutInCell="1" allowOverlap="1" wp14:anchorId="1B04D35C" wp14:editId="232D3402">
              <wp:simplePos x="0" y="0"/>
              <wp:positionH relativeFrom="page">
                <wp:posOffset>530860</wp:posOffset>
              </wp:positionH>
              <wp:positionV relativeFrom="page">
                <wp:posOffset>307975</wp:posOffset>
              </wp:positionV>
              <wp:extent cx="2609215" cy="79375"/>
              <wp:effectExtent l="0" t="0" r="0" b="0"/>
              <wp:wrapNone/>
              <wp:docPr id="1228" name="Shape 1228"/>
              <wp:cNvGraphicFramePr/>
              <a:graphic xmlns:a="http://schemas.openxmlformats.org/drawingml/2006/main">
                <a:graphicData uri="http://schemas.microsoft.com/office/word/2010/wordprocessingShape">
                  <wps:wsp>
                    <wps:cNvSpPr txBox="1"/>
                    <wps:spPr>
                      <a:xfrm>
                        <a:off x="0" y="0"/>
                        <a:ext cx="2609215" cy="79375"/>
                      </a:xfrm>
                      <a:prstGeom prst="rect">
                        <a:avLst/>
                      </a:prstGeom>
                      <a:noFill/>
                    </wps:spPr>
                    <wps:txbx>
                      <w:txbxContent>
                        <w:p w14:paraId="78E38713" w14:textId="77777777" w:rsidR="00D03C17" w:rsidRDefault="00D03C17">
                          <w:pPr>
                            <w:pStyle w:val="Headerorfooter0"/>
                            <w:tabs>
                              <w:tab w:val="right" w:pos="4109"/>
                            </w:tabs>
                          </w:pPr>
                          <w:r>
                            <w:rPr>
                              <w:sz w:val="16"/>
                              <w:szCs w:val="16"/>
                            </w:rPr>
                            <w:t>478</w:t>
                          </w:r>
                          <w:r>
                            <w:rPr>
                              <w:sz w:val="16"/>
                              <w:szCs w:val="16"/>
                            </w:rPr>
                            <w:tab/>
                          </w:r>
                          <w:r>
                            <w:t>LYME, ENFERMEDAD</w:t>
                          </w:r>
                        </w:p>
                      </w:txbxContent>
                    </wps:txbx>
                    <wps:bodyPr lIns="0" tIns="0" rIns="0" bIns="0">
                      <a:spAutoFit/>
                    </wps:bodyPr>
                  </wps:wsp>
                </a:graphicData>
              </a:graphic>
            </wp:anchor>
          </w:drawing>
        </mc:Choice>
        <mc:Fallback>
          <w:pict>
            <v:shapetype w14:anchorId="1B04D35C" id="_x0000_t202" coordsize="21600,21600" o:spt="202" path="m,l,21600r21600,l21600,xe">
              <v:stroke joinstyle="miter"/>
              <v:path gradientshapeok="t" o:connecttype="rect"/>
            </v:shapetype>
            <v:shape id="Shape 1228" o:spid="_x0000_s1055" type="#_x0000_t202" style="position:absolute;margin-left:41.8pt;margin-top:24.25pt;width:205.45pt;height:6.25pt;z-index:-251455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" filled="f" stroked="f">
              <v:textbox style="mso-fit-shape-to-text:t" inset="0,0,0,0">
                <w:txbxContent>
                  <w:p w14:paraId="78E38713" w14:textId="77777777" w:rsidR="00D03C17" w:rsidRDefault="00D03C17">
                    <w:pPr>
                      <w:pStyle w:val="Headerorfooter0"/>
                      <w:tabs>
                        <w:tab w:val="right" w:pos="4109"/>
                      </w:tabs>
                    </w:pPr>
                    <w:r>
                      <w:rPr>
                        <w:sz w:val="16"/>
                        <w:szCs w:val="16"/>
                      </w:rPr>
                      <w:t>478</w:t>
                    </w:r>
                    <w:r>
                      <w:rPr>
                        <w:sz w:val="16"/>
                        <w:szCs w:val="16"/>
                      </w:rPr>
                      <w:tab/>
                    </w:r>
                    <w:r>
                      <w:t>LYME, ENFERMEDAD</w:t>
                    </w:r>
                  </w:p>
                </w:txbxContent>
              </v:textbox>
              <w10:wrap anchorx="page" anchory="page"/>
            </v:shape>
          </w:pict>
        </mc:Fallback>
      </mc:AlternateContent>
    </w:r>
    <w:r>
      <w:rPr>
        <w:noProof/>
      </w:rPr>
      <mc:AlternateContent>
        <mc:Choice Requires="wps">
          <w:drawing>
            <wp:anchor distT="0" distB="0" distL="114300" distR="114300" simplePos="0" relativeHeight="251661312" behindDoc="1" locked="0" layoutInCell="1" allowOverlap="1" wp14:anchorId="1831046D" wp14:editId="2B8378F4">
              <wp:simplePos x="0" y="0"/>
              <wp:positionH relativeFrom="page">
                <wp:posOffset>515620</wp:posOffset>
              </wp:positionH>
              <wp:positionV relativeFrom="page">
                <wp:posOffset>416560</wp:posOffset>
              </wp:positionV>
              <wp:extent cx="4358640" cy="0"/>
              <wp:effectExtent l="0" t="0" r="0" b="0"/>
              <wp:wrapNone/>
              <wp:docPr id="1230" name="Shape 1230"/>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13BD5E92" id="_x0000_t32" coordsize="21600,21600" o:spt="32" o:oned="t" path="m,l21600,21600e" filled="f">
              <v:path arrowok="t" fillok="f" o:connecttype="none"/>
              <o:lock v:ext="edit" shapetype="t"/>
            </v:shapetype>
            <v:shape id="Shape 1230" o:spid="_x0000_s1026" type="#_x0000_t32" style="position:absolute;margin-left:40.6pt;margin-top:32.8pt;width:343.2pt;height:0;z-index:-25165516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" strokeweight="1pt">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24BAF" w14:textId="77777777" w:rsidR="00D03C17" w:rsidRDefault="00D03C17">
    <w:pPr>
      <w:spacing w:line="1" w:lineRule="exact"/>
    </w:pPr>
    <w:r>
      <w:rPr>
        <w:noProof/>
      </w:rPr>
      <mc:AlternateContent>
        <mc:Choice Requires="wps">
          <w:drawing>
            <wp:anchor distT="0" distB="0" distL="0" distR="0" simplePos="0" relativeHeight="251864064" behindDoc="1" locked="0" layoutInCell="1" allowOverlap="1" wp14:anchorId="6DC3FAAF" wp14:editId="127507CF">
              <wp:simplePos x="0" y="0"/>
              <wp:positionH relativeFrom="page">
                <wp:posOffset>534035</wp:posOffset>
              </wp:positionH>
              <wp:positionV relativeFrom="page">
                <wp:posOffset>292735</wp:posOffset>
              </wp:positionV>
              <wp:extent cx="2651760" cy="94615"/>
              <wp:effectExtent l="0" t="0" r="0" b="0"/>
              <wp:wrapNone/>
              <wp:docPr id="1237" name="Shape 1237"/>
              <wp:cNvGraphicFramePr/>
              <a:graphic xmlns:a="http://schemas.openxmlformats.org/drawingml/2006/main">
                <a:graphicData uri="http://schemas.microsoft.com/office/word/2010/wordprocessingShape">
                  <wps:wsp>
                    <wps:cNvSpPr txBox="1"/>
                    <wps:spPr>
                      <a:xfrm>
                        <a:off x="0" y="0"/>
                        <a:ext cx="2651760" cy="94615"/>
                      </a:xfrm>
                      <a:prstGeom prst="rect">
                        <a:avLst/>
                      </a:prstGeom>
                      <a:noFill/>
                    </wps:spPr>
                    <wps:txbx>
                      <w:txbxContent>
                        <w:p w14:paraId="653F553F" w14:textId="77777777" w:rsidR="00D03C17" w:rsidRDefault="00D03C17">
                          <w:pPr>
                            <w:pStyle w:val="Headerorfooter0"/>
                            <w:tabs>
                              <w:tab w:val="right" w:pos="4176"/>
                            </w:tabs>
                          </w:pPr>
                          <w:r>
                            <w:rPr>
                              <w:sz w:val="16"/>
                              <w:szCs w:val="16"/>
                            </w:rPr>
                            <w:t>472</w:t>
                          </w:r>
                          <w:r>
                            <w:rPr>
                              <w:sz w:val="16"/>
                              <w:szCs w:val="16"/>
                            </w:rPr>
                            <w:tab/>
                          </w:r>
                          <w:r>
                            <w:t>LINFÁTICA, FILARIASIS</w:t>
                          </w:r>
                        </w:p>
                      </w:txbxContent>
                    </wps:txbx>
                    <wps:bodyPr lIns="0" tIns="0" rIns="0" bIns="0">
                      <a:spAutoFit/>
                    </wps:bodyPr>
                  </wps:wsp>
                </a:graphicData>
              </a:graphic>
            </wp:anchor>
          </w:drawing>
        </mc:Choice>
        <mc:Fallback>
          <w:pict>
            <v:shapetype w14:anchorId="6DC3FAAF" id="_x0000_t202" coordsize="21600,21600" o:spt="202" path="m,l,21600r21600,l21600,xe">
              <v:stroke joinstyle="miter"/>
              <v:path gradientshapeok="t" o:connecttype="rect"/>
            </v:shapetype>
            <v:shape id="Shape 1237" o:spid="_x0000_s1056" type="#_x0000_t202" style="position:absolute;margin-left:42.05pt;margin-top:23.05pt;width:208.8pt;height:7.45pt;z-index:-251452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" filled="f" stroked="f">
              <v:textbox style="mso-fit-shape-to-text:t" inset="0,0,0,0">
                <w:txbxContent>
                  <w:p w14:paraId="653F553F" w14:textId="77777777" w:rsidR="00D03C17" w:rsidRDefault="00D03C17">
                    <w:pPr>
                      <w:pStyle w:val="Headerorfooter0"/>
                      <w:tabs>
                        <w:tab w:val="right" w:pos="4176"/>
                      </w:tabs>
                    </w:pPr>
                    <w:r>
                      <w:rPr>
                        <w:sz w:val="16"/>
                        <w:szCs w:val="16"/>
                      </w:rPr>
                      <w:t>472</w:t>
                    </w:r>
                    <w:r>
                      <w:rPr>
                        <w:sz w:val="16"/>
                        <w:szCs w:val="16"/>
                      </w:rPr>
                      <w:tab/>
                    </w:r>
                    <w:r>
                      <w:t>LINFÁTICA, FILARIASIS</w:t>
                    </w:r>
                  </w:p>
                </w:txbxContent>
              </v:textbox>
              <w10:wrap anchorx="page" anchory="page"/>
            </v:shape>
          </w:pict>
        </mc:Fallback>
      </mc:AlternateContent>
    </w:r>
    <w:r>
      <w:rPr>
        <w:noProof/>
      </w:rPr>
      <mc:AlternateContent>
        <mc:Choice Requires="wps">
          <w:drawing>
            <wp:anchor distT="0" distB="0" distL="114300" distR="114300" simplePos="0" relativeHeight="251664384" behindDoc="1" locked="0" layoutInCell="1" allowOverlap="1" wp14:anchorId="2EB949F8" wp14:editId="15578AA9">
              <wp:simplePos x="0" y="0"/>
              <wp:positionH relativeFrom="page">
                <wp:posOffset>518795</wp:posOffset>
              </wp:positionH>
              <wp:positionV relativeFrom="page">
                <wp:posOffset>416560</wp:posOffset>
              </wp:positionV>
              <wp:extent cx="4358640" cy="0"/>
              <wp:effectExtent l="0" t="0" r="0" b="0"/>
              <wp:wrapNone/>
              <wp:docPr id="1239" name="Shape 1239"/>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1D0C83CC" id="_x0000_t32" coordsize="21600,21600" o:spt="32" o:oned="t" path="m,l21600,21600e" filled="f">
              <v:path arrowok="t" fillok="f" o:connecttype="none"/>
              <o:lock v:ext="edit" shapetype="t"/>
            </v:shapetype>
            <v:shape id="Shape 1239" o:spid="_x0000_s1026" type="#_x0000_t32" style="position:absolute;margin-left:40.85pt;margin-top:32.8pt;width:343.2pt;height:0;z-index:-25165209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" strokeweight="1pt">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776E2" w14:textId="77777777" w:rsidR="00D03C17" w:rsidRDefault="00D03C17">
    <w:pPr>
      <w:spacing w:line="1" w:lineRule="exact"/>
    </w:pPr>
    <w:r>
      <w:rPr>
        <w:noProof/>
      </w:rPr>
      <mc:AlternateContent>
        <mc:Choice Requires="wps">
          <w:drawing>
            <wp:anchor distT="0" distB="0" distL="0" distR="0" simplePos="0" relativeHeight="251863040" behindDoc="1" locked="0" layoutInCell="1" allowOverlap="1" wp14:anchorId="5A6F2785" wp14:editId="754C0702">
              <wp:simplePos x="0" y="0"/>
              <wp:positionH relativeFrom="page">
                <wp:posOffset>534035</wp:posOffset>
              </wp:positionH>
              <wp:positionV relativeFrom="page">
                <wp:posOffset>292735</wp:posOffset>
              </wp:positionV>
              <wp:extent cx="2651760" cy="94615"/>
              <wp:effectExtent l="0" t="0" r="0" b="0"/>
              <wp:wrapNone/>
              <wp:docPr id="1234" name="Shape 1234"/>
              <wp:cNvGraphicFramePr/>
              <a:graphic xmlns:a="http://schemas.openxmlformats.org/drawingml/2006/main">
                <a:graphicData uri="http://schemas.microsoft.com/office/word/2010/wordprocessingShape">
                  <wps:wsp>
                    <wps:cNvSpPr txBox="1"/>
                    <wps:spPr>
                      <a:xfrm>
                        <a:off x="0" y="0"/>
                        <a:ext cx="2651760" cy="94615"/>
                      </a:xfrm>
                      <a:prstGeom prst="rect">
                        <a:avLst/>
                      </a:prstGeom>
                      <a:noFill/>
                    </wps:spPr>
                    <wps:txbx>
                      <w:txbxContent>
                        <w:p w14:paraId="716CBA0D" w14:textId="77777777" w:rsidR="00D03C17" w:rsidRDefault="00D03C17">
                          <w:pPr>
                            <w:pStyle w:val="Headerorfooter0"/>
                            <w:tabs>
                              <w:tab w:val="right" w:pos="4176"/>
                            </w:tabs>
                          </w:pPr>
                          <w:r>
                            <w:rPr>
                              <w:sz w:val="16"/>
                              <w:szCs w:val="16"/>
                            </w:rPr>
                            <w:t>472</w:t>
                          </w:r>
                          <w:r>
                            <w:rPr>
                              <w:sz w:val="16"/>
                              <w:szCs w:val="16"/>
                            </w:rPr>
                            <w:tab/>
                          </w:r>
                          <w:r>
                            <w:t>LINFÁTICA, FILARIASIS</w:t>
                          </w:r>
                        </w:p>
                      </w:txbxContent>
                    </wps:txbx>
                    <wps:bodyPr lIns="0" tIns="0" rIns="0" bIns="0">
                      <a:spAutoFit/>
                    </wps:bodyPr>
                  </wps:wsp>
                </a:graphicData>
              </a:graphic>
            </wp:anchor>
          </w:drawing>
        </mc:Choice>
        <mc:Fallback>
          <w:pict>
            <v:shapetype w14:anchorId="5A6F2785" id="_x0000_t202" coordsize="21600,21600" o:spt="202" path="m,l,21600r21600,l21600,xe">
              <v:stroke joinstyle="miter"/>
              <v:path gradientshapeok="t" o:connecttype="rect"/>
            </v:shapetype>
            <v:shape id="Shape 1234" o:spid="_x0000_s1057" type="#_x0000_t202" style="position:absolute;margin-left:42.05pt;margin-top:23.05pt;width:208.8pt;height:7.45pt;z-index:-251453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" filled="f" stroked="f">
              <v:textbox style="mso-fit-shape-to-text:t" inset="0,0,0,0">
                <w:txbxContent>
                  <w:p w14:paraId="716CBA0D" w14:textId="77777777" w:rsidR="00D03C17" w:rsidRDefault="00D03C17">
                    <w:pPr>
                      <w:pStyle w:val="Headerorfooter0"/>
                      <w:tabs>
                        <w:tab w:val="right" w:pos="4176"/>
                      </w:tabs>
                    </w:pPr>
                    <w:r>
                      <w:rPr>
                        <w:sz w:val="16"/>
                        <w:szCs w:val="16"/>
                      </w:rPr>
                      <w:t>472</w:t>
                    </w:r>
                    <w:r>
                      <w:rPr>
                        <w:sz w:val="16"/>
                        <w:szCs w:val="16"/>
                      </w:rPr>
                      <w:tab/>
                    </w:r>
                    <w:r>
                      <w:t>LINFÁTICA, FILARIASIS</w:t>
                    </w:r>
                  </w:p>
                </w:txbxContent>
              </v:textbox>
              <w10:wrap anchorx="page" anchory="page"/>
            </v:shape>
          </w:pict>
        </mc:Fallback>
      </mc:AlternateContent>
    </w:r>
    <w:r>
      <w:rPr>
        <w:noProof/>
      </w:rPr>
      <mc:AlternateContent>
        <mc:Choice Requires="wps">
          <w:drawing>
            <wp:anchor distT="0" distB="0" distL="114300" distR="114300" simplePos="0" relativeHeight="251663360" behindDoc="1" locked="0" layoutInCell="1" allowOverlap="1" wp14:anchorId="00B5D4F0" wp14:editId="5AB69C61">
              <wp:simplePos x="0" y="0"/>
              <wp:positionH relativeFrom="page">
                <wp:posOffset>518795</wp:posOffset>
              </wp:positionH>
              <wp:positionV relativeFrom="page">
                <wp:posOffset>416560</wp:posOffset>
              </wp:positionV>
              <wp:extent cx="4358640" cy="0"/>
              <wp:effectExtent l="0" t="0" r="0" b="0"/>
              <wp:wrapNone/>
              <wp:docPr id="1236" name="Shape 1236"/>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24AE0A92" id="_x0000_t32" coordsize="21600,21600" o:spt="32" o:oned="t" path="m,l21600,21600e" filled="f">
              <v:path arrowok="t" fillok="f" o:connecttype="none"/>
              <o:lock v:ext="edit" shapetype="t"/>
            </v:shapetype>
            <v:shape id="Shape 1236" o:spid="_x0000_s1026" type="#_x0000_t32" style="position:absolute;margin-left:40.85pt;margin-top:32.8pt;width:343.2pt;height:0;z-index:-25165312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" strokeweight="1pt">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9A1CA" w14:textId="77777777" w:rsidR="00D03C17" w:rsidRDefault="00D03C17">
    <w:pPr>
      <w:spacing w:line="1" w:lineRule="exact"/>
    </w:pPr>
    <w:r>
      <w:rPr>
        <w:noProof/>
      </w:rPr>
      <mc:AlternateContent>
        <mc:Choice Requires="wps">
          <w:drawing>
            <wp:anchor distT="0" distB="0" distL="0" distR="0" simplePos="0" relativeHeight="251865088" behindDoc="1" locked="0" layoutInCell="1" allowOverlap="1" wp14:anchorId="2A9A20FD" wp14:editId="75F0507D">
              <wp:simplePos x="0" y="0"/>
              <wp:positionH relativeFrom="page">
                <wp:posOffset>1972310</wp:posOffset>
              </wp:positionH>
              <wp:positionV relativeFrom="page">
                <wp:posOffset>292735</wp:posOffset>
              </wp:positionV>
              <wp:extent cx="2895600" cy="94615"/>
              <wp:effectExtent l="0" t="0" r="0" b="0"/>
              <wp:wrapNone/>
              <wp:docPr id="1240" name="Shape 1240"/>
              <wp:cNvGraphicFramePr/>
              <a:graphic xmlns:a="http://schemas.openxmlformats.org/drawingml/2006/main">
                <a:graphicData uri="http://schemas.microsoft.com/office/word/2010/wordprocessingShape">
                  <wps:wsp>
                    <wps:cNvSpPr txBox="1"/>
                    <wps:spPr>
                      <a:xfrm>
                        <a:off x="0" y="0"/>
                        <a:ext cx="2895600" cy="94615"/>
                      </a:xfrm>
                      <a:prstGeom prst="rect">
                        <a:avLst/>
                      </a:prstGeom>
                      <a:noFill/>
                    </wps:spPr>
                    <wps:txbx>
                      <w:txbxContent>
                        <w:p w14:paraId="411AAB31" w14:textId="77777777" w:rsidR="00D03C17" w:rsidRDefault="00D03C17">
                          <w:pPr>
                            <w:pStyle w:val="Headerorfooter0"/>
                            <w:tabs>
                              <w:tab w:val="right" w:pos="4560"/>
                            </w:tabs>
                            <w:rPr>
                              <w:sz w:val="16"/>
                              <w:szCs w:val="16"/>
                            </w:rPr>
                          </w:pPr>
                          <w:r>
                            <w:t>MENINGOCÓCICAS, INFECCIONES</w:t>
                          </w:r>
                          <w:r>
                            <w:tab/>
                          </w:r>
                          <w:r>
                            <w:rPr>
                              <w:sz w:val="16"/>
                              <w:szCs w:val="16"/>
                            </w:rPr>
                            <w:t>483</w:t>
                          </w:r>
                        </w:p>
                      </w:txbxContent>
                    </wps:txbx>
                    <wps:bodyPr lIns="0" tIns="0" rIns="0" bIns="0">
                      <a:spAutoFit/>
                    </wps:bodyPr>
                  </wps:wsp>
                </a:graphicData>
              </a:graphic>
            </wp:anchor>
          </w:drawing>
        </mc:Choice>
        <mc:Fallback>
          <w:pict>
            <v:shapetype w14:anchorId="2A9A20FD" id="_x0000_t202" coordsize="21600,21600" o:spt="202" path="m,l,21600r21600,l21600,xe">
              <v:stroke joinstyle="miter"/>
              <v:path gradientshapeok="t" o:connecttype="rect"/>
            </v:shapetype>
            <v:shape id="Shape 1240" o:spid="_x0000_s1058" type="#_x0000_t202" style="position:absolute;margin-left:155.3pt;margin-top:23.05pt;width:228pt;height:7.45pt;z-index:-251451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" filled="f" stroked="f">
              <v:textbox style="mso-fit-shape-to-text:t" inset="0,0,0,0">
                <w:txbxContent>
                  <w:p w14:paraId="411AAB31" w14:textId="77777777" w:rsidR="00D03C17" w:rsidRDefault="00D03C17">
                    <w:pPr>
                      <w:pStyle w:val="Headerorfooter0"/>
                      <w:tabs>
                        <w:tab w:val="right" w:pos="4560"/>
                      </w:tabs>
                      <w:rPr>
                        <w:sz w:val="16"/>
                        <w:szCs w:val="16"/>
                      </w:rPr>
                    </w:pPr>
                    <w:r>
                      <w:t>MENINGOCÓCICAS, INFECCIONES</w:t>
                    </w:r>
                    <w:r>
                      <w:tab/>
                    </w:r>
                    <w:r>
                      <w:rPr>
                        <w:sz w:val="16"/>
                        <w:szCs w:val="16"/>
                      </w:rPr>
                      <w:t>483</w:t>
                    </w:r>
                  </w:p>
                </w:txbxContent>
              </v:textbox>
              <w10:wrap anchorx="page" anchory="page"/>
            </v:shape>
          </w:pict>
        </mc:Fallback>
      </mc:AlternateContent>
    </w:r>
    <w:r>
      <w:rPr>
        <w:noProof/>
      </w:rPr>
      <mc:AlternateContent>
        <mc:Choice Requires="wps">
          <w:drawing>
            <wp:anchor distT="0" distB="0" distL="114300" distR="114300" simplePos="0" relativeHeight="251665408" behindDoc="1" locked="0" layoutInCell="1" allowOverlap="1" wp14:anchorId="1F4CCFA9" wp14:editId="60C750CC">
              <wp:simplePos x="0" y="0"/>
              <wp:positionH relativeFrom="page">
                <wp:posOffset>530860</wp:posOffset>
              </wp:positionH>
              <wp:positionV relativeFrom="page">
                <wp:posOffset>416560</wp:posOffset>
              </wp:positionV>
              <wp:extent cx="4358640" cy="0"/>
              <wp:effectExtent l="0" t="0" r="0" b="0"/>
              <wp:wrapNone/>
              <wp:docPr id="1242" name="Shape 1242"/>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2FF8CF1B" id="_x0000_t32" coordsize="21600,21600" o:spt="32" o:oned="t" path="m,l21600,21600e" filled="f">
              <v:path arrowok="t" fillok="f" o:connecttype="none"/>
              <o:lock v:ext="edit" shapetype="t"/>
            </v:shapetype>
            <v:shape id="Shape 1242" o:spid="_x0000_s1026" type="#_x0000_t32" style="position:absolute;margin-left:41.8pt;margin-top:32.8pt;width:343.2pt;height:0;z-index:-25165107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" strokeweight="1pt">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88F13" w14:textId="77777777" w:rsidR="00D03C17" w:rsidRDefault="00D03C17">
    <w:pPr>
      <w:spacing w:line="1" w:lineRule="exact"/>
    </w:pPr>
    <w:r>
      <w:rPr>
        <w:noProof/>
      </w:rPr>
      <mc:AlternateContent>
        <mc:Choice Requires="wps">
          <w:drawing>
            <wp:anchor distT="0" distB="0" distL="0" distR="0" simplePos="0" relativeHeight="251867136" behindDoc="1" locked="0" layoutInCell="1" allowOverlap="1" wp14:anchorId="59738A1C" wp14:editId="40863282">
              <wp:simplePos x="0" y="0"/>
              <wp:positionH relativeFrom="page">
                <wp:posOffset>1998345</wp:posOffset>
              </wp:positionH>
              <wp:positionV relativeFrom="page">
                <wp:posOffset>292735</wp:posOffset>
              </wp:positionV>
              <wp:extent cx="2858770" cy="94615"/>
              <wp:effectExtent l="0" t="0" r="0" b="0"/>
              <wp:wrapNone/>
              <wp:docPr id="1246" name="Shape 1246"/>
              <wp:cNvGraphicFramePr/>
              <a:graphic xmlns:a="http://schemas.openxmlformats.org/drawingml/2006/main">
                <a:graphicData uri="http://schemas.microsoft.com/office/word/2010/wordprocessingShape">
                  <wps:wsp>
                    <wps:cNvSpPr txBox="1"/>
                    <wps:spPr>
                      <a:xfrm>
                        <a:off x="0" y="0"/>
                        <a:ext cx="2858770" cy="94615"/>
                      </a:xfrm>
                      <a:prstGeom prst="rect">
                        <a:avLst/>
                      </a:prstGeom>
                      <a:noFill/>
                    </wps:spPr>
                    <wps:txbx>
                      <w:txbxContent>
                        <w:p w14:paraId="54ED69DE" w14:textId="77777777" w:rsidR="00D03C17" w:rsidRDefault="00D03C17">
                          <w:pPr>
                            <w:pStyle w:val="Headerorfooter0"/>
                            <w:tabs>
                              <w:tab w:val="right" w:pos="4502"/>
                            </w:tabs>
                            <w:rPr>
                              <w:sz w:val="16"/>
                              <w:szCs w:val="16"/>
                            </w:rPr>
                          </w:pPr>
                          <w:r>
                            <w:t>LINFOCÍTICA, CORIOMENINGITIS</w:t>
                          </w:r>
                          <w:r>
                            <w:tab/>
                          </w:r>
                          <w:r>
                            <w:rPr>
                              <w:sz w:val="16"/>
                              <w:szCs w:val="16"/>
                            </w:rPr>
                            <w:t>473</w:t>
                          </w:r>
                        </w:p>
                      </w:txbxContent>
                    </wps:txbx>
                    <wps:bodyPr lIns="0" tIns="0" rIns="0" bIns="0">
                      <a:spAutoFit/>
                    </wps:bodyPr>
                  </wps:wsp>
                </a:graphicData>
              </a:graphic>
            </wp:anchor>
          </w:drawing>
        </mc:Choice>
        <mc:Fallback>
          <w:pict>
            <v:shapetype w14:anchorId="59738A1C" id="_x0000_t202" coordsize="21600,21600" o:spt="202" path="m,l,21600r21600,l21600,xe">
              <v:stroke joinstyle="miter"/>
              <v:path gradientshapeok="t" o:connecttype="rect"/>
            </v:shapetype>
            <v:shape id="Shape 1246" o:spid="_x0000_s1059" type="#_x0000_t202" style="position:absolute;margin-left:157.35pt;margin-top:23.05pt;width:225.1pt;height:7.45pt;z-index:-251449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" filled="f" stroked="f">
              <v:textbox style="mso-fit-shape-to-text:t" inset="0,0,0,0">
                <w:txbxContent>
                  <w:p w14:paraId="54ED69DE" w14:textId="77777777" w:rsidR="00D03C17" w:rsidRDefault="00D03C17">
                    <w:pPr>
                      <w:pStyle w:val="Headerorfooter0"/>
                      <w:tabs>
                        <w:tab w:val="right" w:pos="4502"/>
                      </w:tabs>
                      <w:rPr>
                        <w:sz w:val="16"/>
                        <w:szCs w:val="16"/>
                      </w:rPr>
                    </w:pPr>
                    <w:r>
                      <w:t>LINFOCÍTICA, CORIOMENINGITIS</w:t>
                    </w:r>
                    <w:r>
                      <w:tab/>
                    </w:r>
                    <w:r>
                      <w:rPr>
                        <w:sz w:val="16"/>
                        <w:szCs w:val="16"/>
                      </w:rPr>
                      <w:t>473</w:t>
                    </w:r>
                  </w:p>
                </w:txbxContent>
              </v:textbox>
              <w10:wrap anchorx="page" anchory="page"/>
            </v:shape>
          </w:pict>
        </mc:Fallback>
      </mc:AlternateContent>
    </w:r>
    <w:r>
      <w:rPr>
        <w:noProof/>
      </w:rPr>
      <mc:AlternateContent>
        <mc:Choice Requires="wps">
          <w:drawing>
            <wp:anchor distT="0" distB="0" distL="114300" distR="114300" simplePos="0" relativeHeight="251667456" behindDoc="1" locked="0" layoutInCell="1" allowOverlap="1" wp14:anchorId="774C7300" wp14:editId="4AE4B5AB">
              <wp:simplePos x="0" y="0"/>
              <wp:positionH relativeFrom="page">
                <wp:posOffset>520065</wp:posOffset>
              </wp:positionH>
              <wp:positionV relativeFrom="page">
                <wp:posOffset>416560</wp:posOffset>
              </wp:positionV>
              <wp:extent cx="4358640" cy="0"/>
              <wp:effectExtent l="0" t="0" r="0" b="0"/>
              <wp:wrapNone/>
              <wp:docPr id="1248" name="Shape 1248"/>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20494963" id="_x0000_t32" coordsize="21600,21600" o:spt="32" o:oned="t" path="m,l21600,21600e" filled="f">
              <v:path arrowok="t" fillok="f" o:connecttype="none"/>
              <o:lock v:ext="edit" shapetype="t"/>
            </v:shapetype>
            <v:shape id="Shape 1248" o:spid="_x0000_s1026" type="#_x0000_t32" style="position:absolute;margin-left:40.95pt;margin-top:32.8pt;width:343.2pt;height:0;z-index:-25164902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" strokeweight="1pt">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3B4EA" w14:textId="77777777" w:rsidR="00D03C17" w:rsidRDefault="00D03C17">
    <w:pPr>
      <w:spacing w:line="1" w:lineRule="exact"/>
    </w:pPr>
    <w:r>
      <w:rPr>
        <w:noProof/>
      </w:rPr>
      <mc:AlternateContent>
        <mc:Choice Requires="wps">
          <w:drawing>
            <wp:anchor distT="0" distB="0" distL="0" distR="0" simplePos="0" relativeHeight="251866112" behindDoc="1" locked="0" layoutInCell="1" allowOverlap="1" wp14:anchorId="431A45E6" wp14:editId="61F86E28">
              <wp:simplePos x="0" y="0"/>
              <wp:positionH relativeFrom="page">
                <wp:posOffset>1998345</wp:posOffset>
              </wp:positionH>
              <wp:positionV relativeFrom="page">
                <wp:posOffset>292735</wp:posOffset>
              </wp:positionV>
              <wp:extent cx="2858770" cy="94615"/>
              <wp:effectExtent l="0" t="0" r="0" b="0"/>
              <wp:wrapNone/>
              <wp:docPr id="1243" name="Shape 1243"/>
              <wp:cNvGraphicFramePr/>
              <a:graphic xmlns:a="http://schemas.openxmlformats.org/drawingml/2006/main">
                <a:graphicData uri="http://schemas.microsoft.com/office/word/2010/wordprocessingShape">
                  <wps:wsp>
                    <wps:cNvSpPr txBox="1"/>
                    <wps:spPr>
                      <a:xfrm>
                        <a:off x="0" y="0"/>
                        <a:ext cx="2858770" cy="94615"/>
                      </a:xfrm>
                      <a:prstGeom prst="rect">
                        <a:avLst/>
                      </a:prstGeom>
                      <a:noFill/>
                    </wps:spPr>
                    <wps:txbx>
                      <w:txbxContent>
                        <w:p w14:paraId="225480A6" w14:textId="77777777" w:rsidR="00D03C17" w:rsidRDefault="00D03C17">
                          <w:pPr>
                            <w:pStyle w:val="Headerorfooter0"/>
                            <w:tabs>
                              <w:tab w:val="right" w:pos="4502"/>
                            </w:tabs>
                            <w:rPr>
                              <w:sz w:val="16"/>
                              <w:szCs w:val="16"/>
                            </w:rPr>
                          </w:pPr>
                          <w:r>
                            <w:t>LINFOCÍTICA, CORIOMENINGITIS</w:t>
                          </w:r>
                          <w:r>
                            <w:tab/>
                          </w:r>
                          <w:r>
                            <w:rPr>
                              <w:sz w:val="16"/>
                              <w:szCs w:val="16"/>
                            </w:rPr>
                            <w:t>473</w:t>
                          </w:r>
                        </w:p>
                      </w:txbxContent>
                    </wps:txbx>
                    <wps:bodyPr lIns="0" tIns="0" rIns="0" bIns="0">
                      <a:spAutoFit/>
                    </wps:bodyPr>
                  </wps:wsp>
                </a:graphicData>
              </a:graphic>
            </wp:anchor>
          </w:drawing>
        </mc:Choice>
        <mc:Fallback>
          <w:pict>
            <v:shapetype w14:anchorId="431A45E6" id="_x0000_t202" coordsize="21600,21600" o:spt="202" path="m,l,21600r21600,l21600,xe">
              <v:stroke joinstyle="miter"/>
              <v:path gradientshapeok="t" o:connecttype="rect"/>
            </v:shapetype>
            <v:shape id="Shape 1243" o:spid="_x0000_s1060" type="#_x0000_t202" style="position:absolute;margin-left:157.35pt;margin-top:23.05pt;width:225.1pt;height:7.45pt;z-index:-251450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" filled="f" stroked="f">
              <v:textbox style="mso-fit-shape-to-text:t" inset="0,0,0,0">
                <w:txbxContent>
                  <w:p w14:paraId="225480A6" w14:textId="77777777" w:rsidR="00D03C17" w:rsidRDefault="00D03C17">
                    <w:pPr>
                      <w:pStyle w:val="Headerorfooter0"/>
                      <w:tabs>
                        <w:tab w:val="right" w:pos="4502"/>
                      </w:tabs>
                      <w:rPr>
                        <w:sz w:val="16"/>
                        <w:szCs w:val="16"/>
                      </w:rPr>
                    </w:pPr>
                    <w:r>
                      <w:t>LINFOCÍTICA, CORIOMENINGITIS</w:t>
                    </w:r>
                    <w:r>
                      <w:tab/>
                    </w:r>
                    <w:r>
                      <w:rPr>
                        <w:sz w:val="16"/>
                        <w:szCs w:val="16"/>
                      </w:rPr>
                      <w:t>473</w:t>
                    </w:r>
                  </w:p>
                </w:txbxContent>
              </v:textbox>
              <w10:wrap anchorx="page" anchory="page"/>
            </v:shape>
          </w:pict>
        </mc:Fallback>
      </mc:AlternateContent>
    </w:r>
    <w:r>
      <w:rPr>
        <w:noProof/>
      </w:rPr>
      <mc:AlternateContent>
        <mc:Choice Requires="wps">
          <w:drawing>
            <wp:anchor distT="0" distB="0" distL="114300" distR="114300" simplePos="0" relativeHeight="251666432" behindDoc="1" locked="0" layoutInCell="1" allowOverlap="1" wp14:anchorId="12A6DA10" wp14:editId="26085003">
              <wp:simplePos x="0" y="0"/>
              <wp:positionH relativeFrom="page">
                <wp:posOffset>520065</wp:posOffset>
              </wp:positionH>
              <wp:positionV relativeFrom="page">
                <wp:posOffset>416560</wp:posOffset>
              </wp:positionV>
              <wp:extent cx="4358640" cy="0"/>
              <wp:effectExtent l="0" t="0" r="0" b="0"/>
              <wp:wrapNone/>
              <wp:docPr id="1245" name="Shape 1245"/>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15AE3BF5" id="_x0000_t32" coordsize="21600,21600" o:spt="32" o:oned="t" path="m,l21600,21600e" filled="f">
              <v:path arrowok="t" fillok="f" o:connecttype="none"/>
              <o:lock v:ext="edit" shapetype="t"/>
            </v:shapetype>
            <v:shape id="Shape 1245" o:spid="_x0000_s1026" type="#_x0000_t32" style="position:absolute;margin-left:40.95pt;margin-top:32.8pt;width:343.2pt;height:0;z-index:-25165004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" strokeweight="1pt">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80030" w14:textId="77777777" w:rsidR="00D03C17" w:rsidRDefault="00D03C17">
    <w:pPr>
      <w:spacing w:line="1" w:lineRule="exact"/>
    </w:pPr>
    <w:r>
      <w:rPr>
        <w:noProof/>
      </w:rPr>
      <mc:AlternateContent>
        <mc:Choice Requires="wps">
          <w:drawing>
            <wp:anchor distT="0" distB="0" distL="0" distR="0" simplePos="0" relativeHeight="251869184" behindDoc="1" locked="0" layoutInCell="1" allowOverlap="1" wp14:anchorId="27F23F69" wp14:editId="13775B17">
              <wp:simplePos x="0" y="0"/>
              <wp:positionH relativeFrom="page">
                <wp:posOffset>535305</wp:posOffset>
              </wp:positionH>
              <wp:positionV relativeFrom="page">
                <wp:posOffset>287020</wp:posOffset>
              </wp:positionV>
              <wp:extent cx="3517265" cy="100330"/>
              <wp:effectExtent l="0" t="0" r="0" b="0"/>
              <wp:wrapNone/>
              <wp:docPr id="1252" name="Shape 1252"/>
              <wp:cNvGraphicFramePr/>
              <a:graphic xmlns:a="http://schemas.openxmlformats.org/drawingml/2006/main">
                <a:graphicData uri="http://schemas.microsoft.com/office/word/2010/wordprocessingShape">
                  <wps:wsp>
                    <wps:cNvSpPr txBox="1"/>
                    <wps:spPr>
                      <a:xfrm>
                        <a:off x="0" y="0"/>
                        <a:ext cx="3517265" cy="100330"/>
                      </a:xfrm>
                      <a:prstGeom prst="rect">
                        <a:avLst/>
                      </a:prstGeom>
                      <a:noFill/>
                    </wps:spPr>
                    <wps:txbx>
                      <w:txbxContent>
                        <w:p w14:paraId="65AC0C99" w14:textId="77777777" w:rsidR="00D03C17" w:rsidRDefault="00D03C17">
                          <w:pPr>
                            <w:pStyle w:val="Headerorfooter0"/>
                            <w:tabs>
                              <w:tab w:val="right" w:pos="5539"/>
                            </w:tabs>
                          </w:pPr>
                          <w:r>
                            <w:rPr>
                              <w:sz w:val="16"/>
                              <w:szCs w:val="16"/>
                            </w:rPr>
                            <w:t>474</w:t>
                          </w:r>
                          <w:r>
                            <w:rPr>
                              <w:sz w:val="16"/>
                              <w:szCs w:val="16"/>
                            </w:rPr>
                            <w:tab/>
                          </w:r>
                          <w:r>
                            <w:t>LINFORRETICULOSIS (ENFERMEDAD POR ARAÑAZO DE GATO)</w:t>
                          </w:r>
                        </w:p>
                      </w:txbxContent>
                    </wps:txbx>
                    <wps:bodyPr lIns="0" tIns="0" rIns="0" bIns="0">
                      <a:spAutoFit/>
                    </wps:bodyPr>
                  </wps:wsp>
                </a:graphicData>
              </a:graphic>
            </wp:anchor>
          </w:drawing>
        </mc:Choice>
        <mc:Fallback>
          <w:pict>
            <v:shapetype w14:anchorId="27F23F69" id="_x0000_t202" coordsize="21600,21600" o:spt="202" path="m,l,21600r21600,l21600,xe">
              <v:stroke joinstyle="miter"/>
              <v:path gradientshapeok="t" o:connecttype="rect"/>
            </v:shapetype>
            <v:shape id="Shape 1252" o:spid="_x0000_s1061" type="#_x0000_t202" style="position:absolute;margin-left:42.15pt;margin-top:22.6pt;width:276.95pt;height:7.9pt;z-index:-251447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" filled="f" stroked="f">
              <v:textbox style="mso-fit-shape-to-text:t" inset="0,0,0,0">
                <w:txbxContent>
                  <w:p w14:paraId="65AC0C99" w14:textId="77777777" w:rsidR="00D03C17" w:rsidRDefault="00D03C17">
                    <w:pPr>
                      <w:pStyle w:val="Headerorfooter0"/>
                      <w:tabs>
                        <w:tab w:val="right" w:pos="5539"/>
                      </w:tabs>
                    </w:pPr>
                    <w:r>
                      <w:rPr>
                        <w:sz w:val="16"/>
                        <w:szCs w:val="16"/>
                      </w:rPr>
                      <w:t>474</w:t>
                    </w:r>
                    <w:r>
                      <w:rPr>
                        <w:sz w:val="16"/>
                        <w:szCs w:val="16"/>
                      </w:rPr>
                      <w:tab/>
                    </w:r>
                    <w:r>
                      <w:t>LINFORRETICULOSIS (ENFERMEDAD POR ARAÑAZO DE GATO)</w:t>
                    </w:r>
                  </w:p>
                </w:txbxContent>
              </v:textbox>
              <w10:wrap anchorx="page" anchory="page"/>
            </v:shape>
          </w:pict>
        </mc:Fallback>
      </mc:AlternateContent>
    </w:r>
    <w:r>
      <w:rPr>
        <w:noProof/>
      </w:rPr>
      <mc:AlternateContent>
        <mc:Choice Requires="wps">
          <w:drawing>
            <wp:anchor distT="0" distB="0" distL="114300" distR="114300" simplePos="0" relativeHeight="251669504" behindDoc="1" locked="0" layoutInCell="1" allowOverlap="1" wp14:anchorId="64EE40D1" wp14:editId="23398C5C">
              <wp:simplePos x="0" y="0"/>
              <wp:positionH relativeFrom="page">
                <wp:posOffset>520065</wp:posOffset>
              </wp:positionH>
              <wp:positionV relativeFrom="page">
                <wp:posOffset>410210</wp:posOffset>
              </wp:positionV>
              <wp:extent cx="4358640" cy="0"/>
              <wp:effectExtent l="0" t="0" r="0" b="0"/>
              <wp:wrapNone/>
              <wp:docPr id="1254" name="Shape 1254"/>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676BD8B8" id="_x0000_t32" coordsize="21600,21600" o:spt="32" o:oned="t" path="m,l21600,21600e" filled="f">
              <v:path arrowok="t" fillok="f" o:connecttype="none"/>
              <o:lock v:ext="edit" shapetype="t"/>
            </v:shapetype>
            <v:shape id="Shape 1254" o:spid="_x0000_s1026" type="#_x0000_t32" style="position:absolute;margin-left:40.95pt;margin-top:32.3pt;width:343.2pt;height:0;z-index:-25164697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" strokeweight="1pt">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25477" w14:textId="77777777" w:rsidR="00D03C17" w:rsidRDefault="00D03C17">
    <w:pPr>
      <w:spacing w:line="1" w:lineRule="exact"/>
    </w:pPr>
    <w:r>
      <w:rPr>
        <w:noProof/>
      </w:rPr>
      <mc:AlternateContent>
        <mc:Choice Requires="wps">
          <w:drawing>
            <wp:anchor distT="0" distB="0" distL="0" distR="0" simplePos="0" relativeHeight="251868160" behindDoc="1" locked="0" layoutInCell="1" allowOverlap="1" wp14:anchorId="71CA779E" wp14:editId="7F5BCC33">
              <wp:simplePos x="0" y="0"/>
              <wp:positionH relativeFrom="page">
                <wp:posOffset>535305</wp:posOffset>
              </wp:positionH>
              <wp:positionV relativeFrom="page">
                <wp:posOffset>287020</wp:posOffset>
              </wp:positionV>
              <wp:extent cx="3517265" cy="100330"/>
              <wp:effectExtent l="0" t="0" r="0" b="0"/>
              <wp:wrapNone/>
              <wp:docPr id="1249" name="Shape 1249"/>
              <wp:cNvGraphicFramePr/>
              <a:graphic xmlns:a="http://schemas.openxmlformats.org/drawingml/2006/main">
                <a:graphicData uri="http://schemas.microsoft.com/office/word/2010/wordprocessingShape">
                  <wps:wsp>
                    <wps:cNvSpPr txBox="1"/>
                    <wps:spPr>
                      <a:xfrm>
                        <a:off x="0" y="0"/>
                        <a:ext cx="3517265" cy="100330"/>
                      </a:xfrm>
                      <a:prstGeom prst="rect">
                        <a:avLst/>
                      </a:prstGeom>
                      <a:noFill/>
                    </wps:spPr>
                    <wps:txbx>
                      <w:txbxContent>
                        <w:p w14:paraId="165AD818" w14:textId="77777777" w:rsidR="00D03C17" w:rsidRDefault="00D03C17">
                          <w:pPr>
                            <w:pStyle w:val="Headerorfooter0"/>
                            <w:tabs>
                              <w:tab w:val="right" w:pos="5539"/>
                            </w:tabs>
                          </w:pPr>
                          <w:r>
                            <w:rPr>
                              <w:sz w:val="16"/>
                              <w:szCs w:val="16"/>
                            </w:rPr>
                            <w:t>474</w:t>
                          </w:r>
                          <w:r>
                            <w:rPr>
                              <w:sz w:val="16"/>
                              <w:szCs w:val="16"/>
                            </w:rPr>
                            <w:tab/>
                          </w:r>
                          <w:r>
                            <w:t>LINFORRETICULOSIS (ENFERMEDAD POR ARAÑAZO DE GATO)</w:t>
                          </w:r>
                        </w:p>
                      </w:txbxContent>
                    </wps:txbx>
                    <wps:bodyPr lIns="0" tIns="0" rIns="0" bIns="0">
                      <a:spAutoFit/>
                    </wps:bodyPr>
                  </wps:wsp>
                </a:graphicData>
              </a:graphic>
            </wp:anchor>
          </w:drawing>
        </mc:Choice>
        <mc:Fallback>
          <w:pict>
            <v:shapetype w14:anchorId="71CA779E" id="_x0000_t202" coordsize="21600,21600" o:spt="202" path="m,l,21600r21600,l21600,xe">
              <v:stroke joinstyle="miter"/>
              <v:path gradientshapeok="t" o:connecttype="rect"/>
            </v:shapetype>
            <v:shape id="Shape 1249" o:spid="_x0000_s1062" type="#_x0000_t202" style="position:absolute;margin-left:42.15pt;margin-top:22.6pt;width:276.95pt;height:7.9pt;z-index:-251448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" filled="f" stroked="f">
              <v:textbox style="mso-fit-shape-to-text:t" inset="0,0,0,0">
                <w:txbxContent>
                  <w:p w14:paraId="165AD818" w14:textId="77777777" w:rsidR="00D03C17" w:rsidRDefault="00D03C17">
                    <w:pPr>
                      <w:pStyle w:val="Headerorfooter0"/>
                      <w:tabs>
                        <w:tab w:val="right" w:pos="5539"/>
                      </w:tabs>
                    </w:pPr>
                    <w:r>
                      <w:rPr>
                        <w:sz w:val="16"/>
                        <w:szCs w:val="16"/>
                      </w:rPr>
                      <w:t>474</w:t>
                    </w:r>
                    <w:r>
                      <w:rPr>
                        <w:sz w:val="16"/>
                        <w:szCs w:val="16"/>
                      </w:rPr>
                      <w:tab/>
                    </w:r>
                    <w:r>
                      <w:t>LINFORRETICULOSIS (ENFERMEDAD POR ARAÑAZO DE GATO)</w:t>
                    </w:r>
                  </w:p>
                </w:txbxContent>
              </v:textbox>
              <w10:wrap anchorx="page" anchory="page"/>
            </v:shape>
          </w:pict>
        </mc:Fallback>
      </mc:AlternateContent>
    </w:r>
    <w:r>
      <w:rPr>
        <w:noProof/>
      </w:rPr>
      <mc:AlternateContent>
        <mc:Choice Requires="wps">
          <w:drawing>
            <wp:anchor distT="0" distB="0" distL="114300" distR="114300" simplePos="0" relativeHeight="251668480" behindDoc="1" locked="0" layoutInCell="1" allowOverlap="1" wp14:anchorId="7FB5BEA1" wp14:editId="7A5F1B4C">
              <wp:simplePos x="0" y="0"/>
              <wp:positionH relativeFrom="page">
                <wp:posOffset>520065</wp:posOffset>
              </wp:positionH>
              <wp:positionV relativeFrom="page">
                <wp:posOffset>410210</wp:posOffset>
              </wp:positionV>
              <wp:extent cx="4358640" cy="0"/>
              <wp:effectExtent l="0" t="0" r="0" b="0"/>
              <wp:wrapNone/>
              <wp:docPr id="1251" name="Shape 1251"/>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6AC4986A" id="_x0000_t32" coordsize="21600,21600" o:spt="32" o:oned="t" path="m,l21600,21600e" filled="f">
              <v:path arrowok="t" fillok="f" o:connecttype="none"/>
              <o:lock v:ext="edit" shapetype="t"/>
            </v:shapetype>
            <v:shape id="Shape 1251" o:spid="_x0000_s1026" type="#_x0000_t32" style="position:absolute;margin-left:40.95pt;margin-top:32.3pt;width:343.2pt;height:0;z-index:-25164800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" strokeweight="1pt">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F282F" w14:textId="77777777" w:rsidR="00D03C17" w:rsidRDefault="00D03C17">
    <w:pPr>
      <w:spacing w:line="1" w:lineRule="exact"/>
    </w:pPr>
    <w:r>
      <w:rPr>
        <w:noProof/>
      </w:rPr>
      <mc:AlternateContent>
        <mc:Choice Requires="wps">
          <w:drawing>
            <wp:anchor distT="0" distB="0" distL="0" distR="0" simplePos="0" relativeHeight="251871232" behindDoc="1" locked="0" layoutInCell="1" allowOverlap="1" wp14:anchorId="2DA739B5" wp14:editId="035D9B6A">
              <wp:simplePos x="0" y="0"/>
              <wp:positionH relativeFrom="page">
                <wp:posOffset>537210</wp:posOffset>
              </wp:positionH>
              <wp:positionV relativeFrom="page">
                <wp:posOffset>317500</wp:posOffset>
              </wp:positionV>
              <wp:extent cx="2416810" cy="69850"/>
              <wp:effectExtent l="0" t="0" r="0" b="0"/>
              <wp:wrapNone/>
              <wp:docPr id="1258" name="Shape 1258"/>
              <wp:cNvGraphicFramePr/>
              <a:graphic xmlns:a="http://schemas.openxmlformats.org/drawingml/2006/main">
                <a:graphicData uri="http://schemas.microsoft.com/office/word/2010/wordprocessingShape">
                  <wps:wsp>
                    <wps:cNvSpPr txBox="1"/>
                    <wps:spPr>
                      <a:xfrm>
                        <a:off x="0" y="0"/>
                        <a:ext cx="2416810" cy="69850"/>
                      </a:xfrm>
                      <a:prstGeom prst="rect">
                        <a:avLst/>
                      </a:prstGeom>
                      <a:noFill/>
                    </wps:spPr>
                    <wps:txbx>
                      <w:txbxContent>
                        <w:p w14:paraId="254F5E98" w14:textId="77777777" w:rsidR="00D03C17" w:rsidRDefault="00D03C17">
                          <w:pPr>
                            <w:pStyle w:val="Headerorfooter0"/>
                            <w:tabs>
                              <w:tab w:val="right" w:pos="3806"/>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PALUDISMO</w:t>
                          </w:r>
                        </w:p>
                      </w:txbxContent>
                    </wps:txbx>
                    <wps:bodyPr lIns="0" tIns="0" rIns="0" bIns="0">
                      <a:spAutoFit/>
                    </wps:bodyPr>
                  </wps:wsp>
                </a:graphicData>
              </a:graphic>
            </wp:anchor>
          </w:drawing>
        </mc:Choice>
        <mc:Fallback>
          <w:pict>
            <v:shapetype w14:anchorId="2DA739B5" id="_x0000_t202" coordsize="21600,21600" o:spt="202" path="m,l,21600r21600,l21600,xe">
              <v:stroke joinstyle="miter"/>
              <v:path gradientshapeok="t" o:connecttype="rect"/>
            </v:shapetype>
            <v:shape id="Shape 1258" o:spid="_x0000_s1063" type="#_x0000_t202" style="position:absolute;margin-left:42.3pt;margin-top:25pt;width:190.3pt;height:5.5pt;z-index:-251445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" filled="f" stroked="f">
              <v:textbox style="mso-fit-shape-to-text:t" inset="0,0,0,0">
                <w:txbxContent>
                  <w:p w14:paraId="254F5E98" w14:textId="77777777" w:rsidR="00D03C17" w:rsidRDefault="00D03C17">
                    <w:pPr>
                      <w:pStyle w:val="Headerorfooter0"/>
                      <w:tabs>
                        <w:tab w:val="right" w:pos="3806"/>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PALUDISMO</w:t>
                    </w:r>
                  </w:p>
                </w:txbxContent>
              </v:textbox>
              <w10:wrap anchorx="page" anchory="page"/>
            </v:shape>
          </w:pict>
        </mc:Fallback>
      </mc:AlternateContent>
    </w:r>
    <w:r>
      <w:rPr>
        <w:noProof/>
      </w:rPr>
      <mc:AlternateContent>
        <mc:Choice Requires="wps">
          <w:drawing>
            <wp:anchor distT="0" distB="0" distL="114300" distR="114300" simplePos="0" relativeHeight="251671552" behindDoc="1" locked="0" layoutInCell="1" allowOverlap="1" wp14:anchorId="391FF000" wp14:editId="1946F636">
              <wp:simplePos x="0" y="0"/>
              <wp:positionH relativeFrom="page">
                <wp:posOffset>521970</wp:posOffset>
              </wp:positionH>
              <wp:positionV relativeFrom="page">
                <wp:posOffset>425450</wp:posOffset>
              </wp:positionV>
              <wp:extent cx="4358640" cy="0"/>
              <wp:effectExtent l="0" t="0" r="0" b="0"/>
              <wp:wrapNone/>
              <wp:docPr id="1260" name="Shape 1260"/>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1C3601F2" id="_x0000_t32" coordsize="21600,21600" o:spt="32" o:oned="t" path="m,l21600,21600e" filled="f">
              <v:path arrowok="t" fillok="f" o:connecttype="none"/>
              <o:lock v:ext="edit" shapetype="t"/>
            </v:shapetype>
            <v:shape id="Shape 1260" o:spid="_x0000_s1026" type="#_x0000_t32" style="position:absolute;margin-left:41.1pt;margin-top:33.5pt;width:343.2pt;height:0;z-index:-25164492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" strokeweight="1pt">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64A3F" w14:textId="77777777" w:rsidR="00D03C17" w:rsidRDefault="00D03C17">
    <w:pPr>
      <w:spacing w:line="1" w:lineRule="exact"/>
    </w:pPr>
    <w:r>
      <w:rPr>
        <w:noProof/>
      </w:rPr>
      <mc:AlternateContent>
        <mc:Choice Requires="wps">
          <w:drawing>
            <wp:anchor distT="0" distB="0" distL="0" distR="0" simplePos="0" relativeHeight="251870208" behindDoc="1" locked="0" layoutInCell="1" allowOverlap="1" wp14:anchorId="526030A9" wp14:editId="4F37A254">
              <wp:simplePos x="0" y="0"/>
              <wp:positionH relativeFrom="page">
                <wp:posOffset>2447925</wp:posOffset>
              </wp:positionH>
              <wp:positionV relativeFrom="page">
                <wp:posOffset>317500</wp:posOffset>
              </wp:positionV>
              <wp:extent cx="2411095" cy="69850"/>
              <wp:effectExtent l="0" t="0" r="0" b="0"/>
              <wp:wrapNone/>
              <wp:docPr id="1255" name="Shape 1255"/>
              <wp:cNvGraphicFramePr/>
              <a:graphic xmlns:a="http://schemas.openxmlformats.org/drawingml/2006/main">
                <a:graphicData uri="http://schemas.microsoft.com/office/word/2010/wordprocessingShape">
                  <wps:wsp>
                    <wps:cNvSpPr txBox="1"/>
                    <wps:spPr>
                      <a:xfrm>
                        <a:off x="0" y="0"/>
                        <a:ext cx="2411095" cy="69850"/>
                      </a:xfrm>
                      <a:prstGeom prst="rect">
                        <a:avLst/>
                      </a:prstGeom>
                      <a:noFill/>
                    </wps:spPr>
                    <wps:txbx>
                      <w:txbxContent>
                        <w:p w14:paraId="41285AF9" w14:textId="77777777" w:rsidR="00D03C17" w:rsidRDefault="00D03C17">
                          <w:pPr>
                            <w:pStyle w:val="Headerorfooter0"/>
                            <w:tabs>
                              <w:tab w:val="right" w:pos="3797"/>
                            </w:tabs>
                            <w:rPr>
                              <w:sz w:val="16"/>
                              <w:szCs w:val="16"/>
                            </w:rPr>
                          </w:pPr>
                          <w:r>
                            <w:t>PALUDISMO</w:t>
                          </w:r>
                          <w:r>
                            <w:tab/>
                          </w:r>
                          <w:r>
                            <w:fldChar w:fldCharType="begin"/>
                          </w:r>
                          <w:r>
                            <w:instrText xml:space="preserve"> PAGE \* MERGEFORMAT </w:instrText>
                          </w:r>
                          <w:r>
                            <w:fldChar w:fldCharType="separate"/>
                          </w:r>
                          <w:r>
                            <w:rPr>
                              <w:sz w:val="16"/>
                              <w:szCs w:val="16"/>
                            </w:rPr>
                            <w:t>#</w:t>
                          </w:r>
                          <w:r>
                            <w:rPr>
                              <w:sz w:val="16"/>
                              <w:szCs w:val="16"/>
                            </w:rPr>
                            <w:fldChar w:fldCharType="end"/>
                          </w:r>
                        </w:p>
                      </w:txbxContent>
                    </wps:txbx>
                    <wps:bodyPr lIns="0" tIns="0" rIns="0" bIns="0">
                      <a:spAutoFit/>
                    </wps:bodyPr>
                  </wps:wsp>
                </a:graphicData>
              </a:graphic>
            </wp:anchor>
          </w:drawing>
        </mc:Choice>
        <mc:Fallback>
          <w:pict>
            <v:shapetype w14:anchorId="526030A9" id="_x0000_t202" coordsize="21600,21600" o:spt="202" path="m,l,21600r21600,l21600,xe">
              <v:stroke joinstyle="miter"/>
              <v:path gradientshapeok="t" o:connecttype="rect"/>
            </v:shapetype>
            <v:shape id="Shape 1255" o:spid="_x0000_s1064" type="#_x0000_t202" style="position:absolute;margin-left:192.75pt;margin-top:25pt;width:189.85pt;height:5.5pt;z-index:-251446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" filled="f" stroked="f">
              <v:textbox style="mso-fit-shape-to-text:t" inset="0,0,0,0">
                <w:txbxContent>
                  <w:p w14:paraId="41285AF9" w14:textId="77777777" w:rsidR="00D03C17" w:rsidRDefault="00D03C17">
                    <w:pPr>
                      <w:pStyle w:val="Headerorfooter0"/>
                      <w:tabs>
                        <w:tab w:val="right" w:pos="3797"/>
                      </w:tabs>
                      <w:rPr>
                        <w:sz w:val="16"/>
                        <w:szCs w:val="16"/>
                      </w:rPr>
                    </w:pPr>
                    <w:r>
                      <w:t>PALUDISMO</w:t>
                    </w:r>
                    <w:r>
                      <w:tab/>
                    </w:r>
                    <w:r>
                      <w:fldChar w:fldCharType="begin"/>
                    </w:r>
                    <w:r>
                      <w:instrText xml:space="preserve"> PAGE \* MERGEFORMAT </w:instrText>
                    </w:r>
                    <w:r>
                      <w:fldChar w:fldCharType="separate"/>
                    </w:r>
                    <w:r>
                      <w:rPr>
                        <w:sz w:val="16"/>
                        <w:szCs w:val="16"/>
                      </w:rPr>
                      <w:t>#</w:t>
                    </w:r>
                    <w:r>
                      <w:rPr>
                        <w:sz w:val="16"/>
                        <w:szCs w:val="1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70528" behindDoc="1" locked="0" layoutInCell="1" allowOverlap="1" wp14:anchorId="245B4FAD" wp14:editId="5E0C6D8C">
              <wp:simplePos x="0" y="0"/>
              <wp:positionH relativeFrom="page">
                <wp:posOffset>521970</wp:posOffset>
              </wp:positionH>
              <wp:positionV relativeFrom="page">
                <wp:posOffset>425450</wp:posOffset>
              </wp:positionV>
              <wp:extent cx="4358640" cy="0"/>
              <wp:effectExtent l="0" t="0" r="0" b="0"/>
              <wp:wrapNone/>
              <wp:docPr id="1257" name="Shape 1257"/>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374FD75C" id="_x0000_t32" coordsize="21600,21600" o:spt="32" o:oned="t" path="m,l21600,21600e" filled="f">
              <v:path arrowok="t" fillok="f" o:connecttype="none"/>
              <o:lock v:ext="edit" shapetype="t"/>
            </v:shapetype>
            <v:shape id="Shape 1257" o:spid="_x0000_s1026" type="#_x0000_t32" style="position:absolute;margin-left:41.1pt;margin-top:33.5pt;width:343.2pt;height:0;z-index:-25164595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" strokeweight="1pt">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C08E3" w14:textId="77777777" w:rsidR="00D03C17" w:rsidRDefault="00D03C17">
    <w:pPr>
      <w:spacing w:line="1" w:lineRule="exact"/>
    </w:pPr>
    <w:r>
      <w:rPr>
        <w:noProof/>
      </w:rPr>
      <mc:AlternateContent>
        <mc:Choice Requires="wps">
          <w:drawing>
            <wp:anchor distT="0" distB="0" distL="0" distR="0" simplePos="0" relativeHeight="251873280" behindDoc="1" locked="0" layoutInCell="1" allowOverlap="1" wp14:anchorId="1DD37B90" wp14:editId="553805C6">
              <wp:simplePos x="0" y="0"/>
              <wp:positionH relativeFrom="page">
                <wp:posOffset>546100</wp:posOffset>
              </wp:positionH>
              <wp:positionV relativeFrom="page">
                <wp:posOffset>307975</wp:posOffset>
              </wp:positionV>
              <wp:extent cx="2749550" cy="79375"/>
              <wp:effectExtent l="0" t="0" r="0" b="0"/>
              <wp:wrapNone/>
              <wp:docPr id="1264" name="Shape 1264"/>
              <wp:cNvGraphicFramePr/>
              <a:graphic xmlns:a="http://schemas.openxmlformats.org/drawingml/2006/main">
                <a:graphicData uri="http://schemas.microsoft.com/office/word/2010/wordprocessingShape">
                  <wps:wsp>
                    <wps:cNvSpPr txBox="1"/>
                    <wps:spPr>
                      <a:xfrm>
                        <a:off x="0" y="0"/>
                        <a:ext cx="2749550" cy="79375"/>
                      </a:xfrm>
                      <a:prstGeom prst="rect">
                        <a:avLst/>
                      </a:prstGeom>
                      <a:noFill/>
                    </wps:spPr>
                    <wps:txbx>
                      <w:txbxContent>
                        <w:p w14:paraId="08CD945A" w14:textId="77777777" w:rsidR="00D03C17" w:rsidRDefault="00D03C17">
                          <w:pPr>
                            <w:pStyle w:val="Headerorfooter0"/>
                            <w:tabs>
                              <w:tab w:val="right" w:pos="4330"/>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PAPILOMA HUMANO, VIRUS</w:t>
                          </w:r>
                        </w:p>
                      </w:txbxContent>
                    </wps:txbx>
                    <wps:bodyPr lIns="0" tIns="0" rIns="0" bIns="0">
                      <a:spAutoFit/>
                    </wps:bodyPr>
                  </wps:wsp>
                </a:graphicData>
              </a:graphic>
            </wp:anchor>
          </w:drawing>
        </mc:Choice>
        <mc:Fallback>
          <w:pict>
            <v:shapetype w14:anchorId="1DD37B90" id="_x0000_t202" coordsize="21600,21600" o:spt="202" path="m,l,21600r21600,l21600,xe">
              <v:stroke joinstyle="miter"/>
              <v:path gradientshapeok="t" o:connecttype="rect"/>
            </v:shapetype>
            <v:shape id="Shape 1264" o:spid="_x0000_s1065" type="#_x0000_t202" style="position:absolute;margin-left:43pt;margin-top:24.25pt;width:216.5pt;height:6.25pt;z-index:-251443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" filled="f" stroked="f">
              <v:textbox style="mso-fit-shape-to-text:t" inset="0,0,0,0">
                <w:txbxContent>
                  <w:p w14:paraId="08CD945A" w14:textId="77777777" w:rsidR="00D03C17" w:rsidRDefault="00D03C17">
                    <w:pPr>
                      <w:pStyle w:val="Headerorfooter0"/>
                      <w:tabs>
                        <w:tab w:val="right" w:pos="4330"/>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PAPILOMA HUMANO, VIRUS</w:t>
                    </w:r>
                  </w:p>
                </w:txbxContent>
              </v:textbox>
              <w10:wrap anchorx="page" anchory="page"/>
            </v:shape>
          </w:pict>
        </mc:Fallback>
      </mc:AlternateContent>
    </w:r>
    <w:r>
      <w:rPr>
        <w:noProof/>
      </w:rPr>
      <mc:AlternateContent>
        <mc:Choice Requires="wps">
          <w:drawing>
            <wp:anchor distT="0" distB="0" distL="114300" distR="114300" simplePos="0" relativeHeight="251673600" behindDoc="1" locked="0" layoutInCell="1" allowOverlap="1" wp14:anchorId="61425B30" wp14:editId="49B12D9C">
              <wp:simplePos x="0" y="0"/>
              <wp:positionH relativeFrom="page">
                <wp:posOffset>530860</wp:posOffset>
              </wp:positionH>
              <wp:positionV relativeFrom="page">
                <wp:posOffset>416560</wp:posOffset>
              </wp:positionV>
              <wp:extent cx="4358640" cy="0"/>
              <wp:effectExtent l="0" t="0" r="0" b="0"/>
              <wp:wrapNone/>
              <wp:docPr id="1266" name="Shape 1266"/>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73979F18" id="_x0000_t32" coordsize="21600,21600" o:spt="32" o:oned="t" path="m,l21600,21600e" filled="f">
              <v:path arrowok="t" fillok="f" o:connecttype="none"/>
              <o:lock v:ext="edit" shapetype="t"/>
            </v:shapetype>
            <v:shape id="Shape 1266" o:spid="_x0000_s1026" type="#_x0000_t32" style="position:absolute;margin-left:41.8pt;margin-top:32.8pt;width:343.2pt;height:0;z-index:-25164288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" strokeweight="1pt">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7EC54" w14:textId="77777777" w:rsidR="00D03C17" w:rsidRDefault="00D03C17">
    <w:pPr>
      <w:spacing w:line="1" w:lineRule="exact"/>
    </w:pPr>
    <w:r>
      <w:rPr>
        <w:noProof/>
      </w:rPr>
      <mc:AlternateContent>
        <mc:Choice Requires="wps">
          <w:drawing>
            <wp:anchor distT="0" distB="0" distL="0" distR="0" simplePos="0" relativeHeight="251872256" behindDoc="1" locked="0" layoutInCell="1" allowOverlap="1" wp14:anchorId="2D2F861A" wp14:editId="1338516A">
              <wp:simplePos x="0" y="0"/>
              <wp:positionH relativeFrom="page">
                <wp:posOffset>546100</wp:posOffset>
              </wp:positionH>
              <wp:positionV relativeFrom="page">
                <wp:posOffset>307975</wp:posOffset>
              </wp:positionV>
              <wp:extent cx="2749550" cy="79375"/>
              <wp:effectExtent l="0" t="0" r="0" b="0"/>
              <wp:wrapNone/>
              <wp:docPr id="1261" name="Shape 1261"/>
              <wp:cNvGraphicFramePr/>
              <a:graphic xmlns:a="http://schemas.openxmlformats.org/drawingml/2006/main">
                <a:graphicData uri="http://schemas.microsoft.com/office/word/2010/wordprocessingShape">
                  <wps:wsp>
                    <wps:cNvSpPr txBox="1"/>
                    <wps:spPr>
                      <a:xfrm>
                        <a:off x="0" y="0"/>
                        <a:ext cx="2749550" cy="79375"/>
                      </a:xfrm>
                      <a:prstGeom prst="rect">
                        <a:avLst/>
                      </a:prstGeom>
                      <a:noFill/>
                    </wps:spPr>
                    <wps:txbx>
                      <w:txbxContent>
                        <w:p w14:paraId="73CE3D5C" w14:textId="77777777" w:rsidR="00D03C17" w:rsidRDefault="00D03C17">
                          <w:pPr>
                            <w:pStyle w:val="Headerorfooter0"/>
                            <w:tabs>
                              <w:tab w:val="right" w:pos="4330"/>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PAPILOMA HUMANO, VIRUS</w:t>
                          </w:r>
                        </w:p>
                      </w:txbxContent>
                    </wps:txbx>
                    <wps:bodyPr lIns="0" tIns="0" rIns="0" bIns="0">
                      <a:spAutoFit/>
                    </wps:bodyPr>
                  </wps:wsp>
                </a:graphicData>
              </a:graphic>
            </wp:anchor>
          </w:drawing>
        </mc:Choice>
        <mc:Fallback>
          <w:pict>
            <v:shapetype w14:anchorId="2D2F861A" id="_x0000_t202" coordsize="21600,21600" o:spt="202" path="m,l,21600r21600,l21600,xe">
              <v:stroke joinstyle="miter"/>
              <v:path gradientshapeok="t" o:connecttype="rect"/>
            </v:shapetype>
            <v:shape id="Shape 1261" o:spid="_x0000_s1066" type="#_x0000_t202" style="position:absolute;margin-left:43pt;margin-top:24.25pt;width:216.5pt;height:6.25pt;z-index:-251444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" filled="f" stroked="f">
              <v:textbox style="mso-fit-shape-to-text:t" inset="0,0,0,0">
                <w:txbxContent>
                  <w:p w14:paraId="73CE3D5C" w14:textId="77777777" w:rsidR="00D03C17" w:rsidRDefault="00D03C17">
                    <w:pPr>
                      <w:pStyle w:val="Headerorfooter0"/>
                      <w:tabs>
                        <w:tab w:val="right" w:pos="4330"/>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PAPILOMA HUMANO, VIRUS</w:t>
                    </w:r>
                  </w:p>
                </w:txbxContent>
              </v:textbox>
              <w10:wrap anchorx="page" anchory="page"/>
            </v:shape>
          </w:pict>
        </mc:Fallback>
      </mc:AlternateContent>
    </w:r>
    <w:r>
      <w:rPr>
        <w:noProof/>
      </w:rPr>
      <mc:AlternateContent>
        <mc:Choice Requires="wps">
          <w:drawing>
            <wp:anchor distT="0" distB="0" distL="114300" distR="114300" simplePos="0" relativeHeight="251672576" behindDoc="1" locked="0" layoutInCell="1" allowOverlap="1" wp14:anchorId="72980B4C" wp14:editId="4DF660DD">
              <wp:simplePos x="0" y="0"/>
              <wp:positionH relativeFrom="page">
                <wp:posOffset>530860</wp:posOffset>
              </wp:positionH>
              <wp:positionV relativeFrom="page">
                <wp:posOffset>416560</wp:posOffset>
              </wp:positionV>
              <wp:extent cx="4358640" cy="0"/>
              <wp:effectExtent l="0" t="0" r="0" b="0"/>
              <wp:wrapNone/>
              <wp:docPr id="1263" name="Shape 1263"/>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1BF2B41A" id="_x0000_t32" coordsize="21600,21600" o:spt="32" o:oned="t" path="m,l21600,21600e" filled="f">
              <v:path arrowok="t" fillok="f" o:connecttype="none"/>
              <o:lock v:ext="edit" shapetype="t"/>
            </v:shapetype>
            <v:shape id="Shape 1263" o:spid="_x0000_s1026" type="#_x0000_t32" style="position:absolute;margin-left:41.8pt;margin-top:32.8pt;width:343.2pt;height:0;z-index:-25164390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" strokeweight="1pt">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A95A6" w14:textId="77777777" w:rsidR="00D03C17" w:rsidRDefault="00D03C17">
    <w:pPr>
      <w:spacing w:line="1" w:lineRule="exact"/>
    </w:pPr>
    <w:r>
      <w:rPr>
        <w:noProof/>
      </w:rPr>
      <mc:AlternateContent>
        <mc:Choice Requires="wps">
          <w:drawing>
            <wp:anchor distT="0" distB="0" distL="0" distR="0" simplePos="0" relativeHeight="251874304" behindDoc="1" locked="0" layoutInCell="1" allowOverlap="1" wp14:anchorId="7FEEDAAB" wp14:editId="0947D0E7">
              <wp:simplePos x="0" y="0"/>
              <wp:positionH relativeFrom="page">
                <wp:posOffset>2112645</wp:posOffset>
              </wp:positionH>
              <wp:positionV relativeFrom="page">
                <wp:posOffset>307975</wp:posOffset>
              </wp:positionV>
              <wp:extent cx="2743200" cy="79375"/>
              <wp:effectExtent l="0" t="0" r="0" b="0"/>
              <wp:wrapNone/>
              <wp:docPr id="1267" name="Shape 1267"/>
              <wp:cNvGraphicFramePr/>
              <a:graphic xmlns:a="http://schemas.openxmlformats.org/drawingml/2006/main">
                <a:graphicData uri="http://schemas.microsoft.com/office/word/2010/wordprocessingShape">
                  <wps:wsp>
                    <wps:cNvSpPr txBox="1"/>
                    <wps:spPr>
                      <a:xfrm>
                        <a:off x="0" y="0"/>
                        <a:ext cx="2743200" cy="79375"/>
                      </a:xfrm>
                      <a:prstGeom prst="rect">
                        <a:avLst/>
                      </a:prstGeom>
                      <a:noFill/>
                    </wps:spPr>
                    <wps:txbx>
                      <w:txbxContent>
                        <w:p w14:paraId="1D87DA16" w14:textId="77777777" w:rsidR="00D03C17" w:rsidRDefault="00D03C17">
                          <w:pPr>
                            <w:pStyle w:val="Headerorfooter0"/>
                            <w:tabs>
                              <w:tab w:val="right" w:pos="4320"/>
                            </w:tabs>
                            <w:rPr>
                              <w:sz w:val="16"/>
                              <w:szCs w:val="16"/>
                            </w:rPr>
                          </w:pPr>
                          <w:r>
                            <w:t>PAPILOMA HUMANO, VIRUS</w:t>
                          </w:r>
                          <w:r>
                            <w:tab/>
                          </w:r>
                          <w:r>
                            <w:fldChar w:fldCharType="begin"/>
                          </w:r>
                          <w:r>
                            <w:instrText xml:space="preserve"> PAGE \* MERGEFORMAT </w:instrText>
                          </w:r>
                          <w:r>
                            <w:fldChar w:fldCharType="separate"/>
                          </w:r>
                          <w:r>
                            <w:rPr>
                              <w:sz w:val="16"/>
                              <w:szCs w:val="16"/>
                            </w:rPr>
                            <w:t>#</w:t>
                          </w:r>
                          <w:r>
                            <w:rPr>
                              <w:sz w:val="16"/>
                              <w:szCs w:val="16"/>
                            </w:rPr>
                            <w:fldChar w:fldCharType="end"/>
                          </w:r>
                        </w:p>
                      </w:txbxContent>
                    </wps:txbx>
                    <wps:bodyPr lIns="0" tIns="0" rIns="0" bIns="0">
                      <a:spAutoFit/>
                    </wps:bodyPr>
                  </wps:wsp>
                </a:graphicData>
              </a:graphic>
            </wp:anchor>
          </w:drawing>
        </mc:Choice>
        <mc:Fallback>
          <w:pict>
            <v:shapetype w14:anchorId="7FEEDAAB" id="_x0000_t202" coordsize="21600,21600" o:spt="202" path="m,l,21600r21600,l21600,xe">
              <v:stroke joinstyle="miter"/>
              <v:path gradientshapeok="t" o:connecttype="rect"/>
            </v:shapetype>
            <v:shape id="Shape 1267" o:spid="_x0000_s1067" type="#_x0000_t202" style="position:absolute;margin-left:166.35pt;margin-top:24.25pt;width:3in;height:6.25pt;z-index:-251442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" filled="f" stroked="f">
              <v:textbox style="mso-fit-shape-to-text:t" inset="0,0,0,0">
                <w:txbxContent>
                  <w:p w14:paraId="1D87DA16" w14:textId="77777777" w:rsidR="00D03C17" w:rsidRDefault="00D03C17">
                    <w:pPr>
                      <w:pStyle w:val="Headerorfooter0"/>
                      <w:tabs>
                        <w:tab w:val="right" w:pos="4320"/>
                      </w:tabs>
                      <w:rPr>
                        <w:sz w:val="16"/>
                        <w:szCs w:val="16"/>
                      </w:rPr>
                    </w:pPr>
                    <w:r>
                      <w:t>PAPILOMA HUMANO, VIRUS</w:t>
                    </w:r>
                    <w:r>
                      <w:tab/>
                    </w:r>
                    <w:r>
                      <w:fldChar w:fldCharType="begin"/>
                    </w:r>
                    <w:r>
                      <w:instrText xml:space="preserve"> PAGE \* MERGEFORMAT </w:instrText>
                    </w:r>
                    <w:r>
                      <w:fldChar w:fldCharType="separate"/>
                    </w:r>
                    <w:r>
                      <w:rPr>
                        <w:sz w:val="16"/>
                        <w:szCs w:val="16"/>
                      </w:rPr>
                      <w:t>#</w:t>
                    </w:r>
                    <w:r>
                      <w:rPr>
                        <w:sz w:val="16"/>
                        <w:szCs w:val="1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74624" behindDoc="1" locked="0" layoutInCell="1" allowOverlap="1" wp14:anchorId="2325EE49" wp14:editId="01331B20">
              <wp:simplePos x="0" y="0"/>
              <wp:positionH relativeFrom="page">
                <wp:posOffset>518795</wp:posOffset>
              </wp:positionH>
              <wp:positionV relativeFrom="page">
                <wp:posOffset>416560</wp:posOffset>
              </wp:positionV>
              <wp:extent cx="4358640" cy="0"/>
              <wp:effectExtent l="0" t="0" r="0" b="0"/>
              <wp:wrapNone/>
              <wp:docPr id="1269" name="Shape 1269"/>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5271A329" id="_x0000_t32" coordsize="21600,21600" o:spt="32" o:oned="t" path="m,l21600,21600e" filled="f">
              <v:path arrowok="t" fillok="f" o:connecttype="none"/>
              <o:lock v:ext="edit" shapetype="t"/>
            </v:shapetype>
            <v:shape id="Shape 1269" o:spid="_x0000_s1026" type="#_x0000_t32" style="position:absolute;margin-left:40.85pt;margin-top:32.8pt;width:343.2pt;height:0;z-index:-25164185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" strokeweight="1pt">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86657" w14:textId="77777777" w:rsidR="00D03C17" w:rsidRDefault="00D03C17">
    <w:pPr>
      <w:spacing w:line="1" w:lineRule="exact"/>
    </w:pPr>
    <w:r>
      <w:rPr>
        <w:noProof/>
      </w:rPr>
      <mc:AlternateContent>
        <mc:Choice Requires="wps">
          <w:drawing>
            <wp:anchor distT="0" distB="0" distL="0" distR="0" simplePos="0" relativeHeight="251876352" behindDoc="1" locked="0" layoutInCell="1" allowOverlap="1" wp14:anchorId="20A43B5F" wp14:editId="57866D73">
              <wp:simplePos x="0" y="0"/>
              <wp:positionH relativeFrom="page">
                <wp:posOffset>535305</wp:posOffset>
              </wp:positionH>
              <wp:positionV relativeFrom="page">
                <wp:posOffset>302260</wp:posOffset>
              </wp:positionV>
              <wp:extent cx="2423160" cy="85090"/>
              <wp:effectExtent l="0" t="0" r="0" b="0"/>
              <wp:wrapNone/>
              <wp:docPr id="1277" name="Shape 1277"/>
              <wp:cNvGraphicFramePr/>
              <a:graphic xmlns:a="http://schemas.openxmlformats.org/drawingml/2006/main">
                <a:graphicData uri="http://schemas.microsoft.com/office/word/2010/wordprocessingShape">
                  <wps:wsp>
                    <wps:cNvSpPr txBox="1"/>
                    <wps:spPr>
                      <a:xfrm>
                        <a:off x="0" y="0"/>
                        <a:ext cx="2423160" cy="85090"/>
                      </a:xfrm>
                      <a:prstGeom prst="rect">
                        <a:avLst/>
                      </a:prstGeom>
                      <a:noFill/>
                    </wps:spPr>
                    <wps:txbx>
                      <w:txbxContent>
                        <w:p w14:paraId="72D1A9D7" w14:textId="77777777" w:rsidR="00D03C17" w:rsidRDefault="00D03C17">
                          <w:pPr>
                            <w:pStyle w:val="Headerorfooter0"/>
                            <w:tabs>
                              <w:tab w:val="right" w:pos="3816"/>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SARAMPIÓN</w:t>
                          </w:r>
                        </w:p>
                      </w:txbxContent>
                    </wps:txbx>
                    <wps:bodyPr lIns="0" tIns="0" rIns="0" bIns="0">
                      <a:spAutoFit/>
                    </wps:bodyPr>
                  </wps:wsp>
                </a:graphicData>
              </a:graphic>
            </wp:anchor>
          </w:drawing>
        </mc:Choice>
        <mc:Fallback>
          <w:pict>
            <v:shapetype w14:anchorId="20A43B5F" id="_x0000_t202" coordsize="21600,21600" o:spt="202" path="m,l,21600r21600,l21600,xe">
              <v:stroke joinstyle="miter"/>
              <v:path gradientshapeok="t" o:connecttype="rect"/>
            </v:shapetype>
            <v:shape id="Shape 1277" o:spid="_x0000_s1068" type="#_x0000_t202" style="position:absolute;margin-left:42.15pt;margin-top:23.8pt;width:190.8pt;height:6.7pt;z-index:-251440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" filled="f" stroked="f">
              <v:textbox style="mso-fit-shape-to-text:t" inset="0,0,0,0">
                <w:txbxContent>
                  <w:p w14:paraId="72D1A9D7" w14:textId="77777777" w:rsidR="00D03C17" w:rsidRDefault="00D03C17">
                    <w:pPr>
                      <w:pStyle w:val="Headerorfooter0"/>
                      <w:tabs>
                        <w:tab w:val="right" w:pos="3816"/>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SARAMPIÓN</w:t>
                    </w:r>
                  </w:p>
                </w:txbxContent>
              </v:textbox>
              <w10:wrap anchorx="page" anchory="page"/>
            </v:shape>
          </w:pict>
        </mc:Fallback>
      </mc:AlternateContent>
    </w:r>
    <w:r>
      <w:rPr>
        <w:noProof/>
      </w:rPr>
      <mc:AlternateContent>
        <mc:Choice Requires="wps">
          <w:drawing>
            <wp:anchor distT="0" distB="0" distL="114300" distR="114300" simplePos="0" relativeHeight="251676672" behindDoc="1" locked="0" layoutInCell="1" allowOverlap="1" wp14:anchorId="5B21B41F" wp14:editId="3707FB9A">
              <wp:simplePos x="0" y="0"/>
              <wp:positionH relativeFrom="page">
                <wp:posOffset>520065</wp:posOffset>
              </wp:positionH>
              <wp:positionV relativeFrom="page">
                <wp:posOffset>467360</wp:posOffset>
              </wp:positionV>
              <wp:extent cx="4358640" cy="0"/>
              <wp:effectExtent l="0" t="0" r="0" b="0"/>
              <wp:wrapNone/>
              <wp:docPr id="1279" name="Shape 1279"/>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5B252F21" id="_x0000_t32" coordsize="21600,21600" o:spt="32" o:oned="t" path="m,l21600,21600e" filled="f">
              <v:path arrowok="t" fillok="f" o:connecttype="none"/>
              <o:lock v:ext="edit" shapetype="t"/>
            </v:shapetype>
            <v:shape id="Shape 1279" o:spid="_x0000_s1026" type="#_x0000_t32" style="position:absolute;margin-left:40.95pt;margin-top:36.8pt;width:343.2pt;height:0;z-index:-25163980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" strokeweight="1pt">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CDAED" w14:textId="77777777" w:rsidR="00D03C17" w:rsidRDefault="00D03C17">
    <w:pPr>
      <w:spacing w:line="1" w:lineRule="exact"/>
    </w:pPr>
    <w:r>
      <w:rPr>
        <w:noProof/>
      </w:rPr>
      <mc:AlternateContent>
        <mc:Choice Requires="wps">
          <w:drawing>
            <wp:anchor distT="0" distB="0" distL="0" distR="0" simplePos="0" relativeHeight="251875328" behindDoc="1" locked="0" layoutInCell="1" allowOverlap="1" wp14:anchorId="484C23D4" wp14:editId="2C075089">
              <wp:simplePos x="0" y="0"/>
              <wp:positionH relativeFrom="page">
                <wp:posOffset>2449830</wp:posOffset>
              </wp:positionH>
              <wp:positionV relativeFrom="page">
                <wp:posOffset>295910</wp:posOffset>
              </wp:positionV>
              <wp:extent cx="2423160" cy="85090"/>
              <wp:effectExtent l="0" t="0" r="0" b="0"/>
              <wp:wrapNone/>
              <wp:docPr id="1274" name="Shape 1274"/>
              <wp:cNvGraphicFramePr/>
              <a:graphic xmlns:a="http://schemas.openxmlformats.org/drawingml/2006/main">
                <a:graphicData uri="http://schemas.microsoft.com/office/word/2010/wordprocessingShape">
                  <wps:wsp>
                    <wps:cNvSpPr txBox="1"/>
                    <wps:spPr>
                      <a:xfrm>
                        <a:off x="0" y="0"/>
                        <a:ext cx="2423160" cy="85090"/>
                      </a:xfrm>
                      <a:prstGeom prst="rect">
                        <a:avLst/>
                      </a:prstGeom>
                      <a:noFill/>
                    </wps:spPr>
                    <wps:txbx>
                      <w:txbxContent>
                        <w:p w14:paraId="34789CA4" w14:textId="77777777" w:rsidR="00D03C17" w:rsidRDefault="00D03C17">
                          <w:pPr>
                            <w:pStyle w:val="Headerorfooter0"/>
                            <w:tabs>
                              <w:tab w:val="right" w:pos="3816"/>
                            </w:tabs>
                            <w:rPr>
                              <w:sz w:val="16"/>
                              <w:szCs w:val="16"/>
                            </w:rPr>
                          </w:pPr>
                          <w:r>
                            <w:t>SARAMPIÓN</w:t>
                          </w:r>
                          <w:r>
                            <w:tab/>
                          </w:r>
                          <w:r>
                            <w:fldChar w:fldCharType="begin"/>
                          </w:r>
                          <w:r>
                            <w:instrText xml:space="preserve"> PAGE \* MERGEFORMAT </w:instrText>
                          </w:r>
                          <w:r>
                            <w:fldChar w:fldCharType="separate"/>
                          </w:r>
                          <w:r>
                            <w:rPr>
                              <w:sz w:val="16"/>
                              <w:szCs w:val="16"/>
                            </w:rPr>
                            <w:t>#</w:t>
                          </w:r>
                          <w:r>
                            <w:rPr>
                              <w:sz w:val="16"/>
                              <w:szCs w:val="16"/>
                            </w:rPr>
                            <w:fldChar w:fldCharType="end"/>
                          </w:r>
                        </w:p>
                      </w:txbxContent>
                    </wps:txbx>
                    <wps:bodyPr lIns="0" tIns="0" rIns="0" bIns="0">
                      <a:spAutoFit/>
                    </wps:bodyPr>
                  </wps:wsp>
                </a:graphicData>
              </a:graphic>
            </wp:anchor>
          </w:drawing>
        </mc:Choice>
        <mc:Fallback>
          <w:pict>
            <v:shapetype w14:anchorId="484C23D4" id="_x0000_t202" coordsize="21600,21600" o:spt="202" path="m,l,21600r21600,l21600,xe">
              <v:stroke joinstyle="miter"/>
              <v:path gradientshapeok="t" o:connecttype="rect"/>
            </v:shapetype>
            <v:shape id="Shape 1274" o:spid="_x0000_s1069" type="#_x0000_t202" style="position:absolute;margin-left:192.9pt;margin-top:23.3pt;width:190.8pt;height:6.7pt;z-index:-251441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" filled="f" stroked="f">
              <v:textbox style="mso-fit-shape-to-text:t" inset="0,0,0,0">
                <w:txbxContent>
                  <w:p w14:paraId="34789CA4" w14:textId="77777777" w:rsidR="00D03C17" w:rsidRDefault="00D03C17">
                    <w:pPr>
                      <w:pStyle w:val="Headerorfooter0"/>
                      <w:tabs>
                        <w:tab w:val="right" w:pos="3816"/>
                      </w:tabs>
                      <w:rPr>
                        <w:sz w:val="16"/>
                        <w:szCs w:val="16"/>
                      </w:rPr>
                    </w:pPr>
                    <w:r>
                      <w:t>SARAMPIÓN</w:t>
                    </w:r>
                    <w:r>
                      <w:tab/>
                    </w:r>
                    <w:r>
                      <w:fldChar w:fldCharType="begin"/>
                    </w:r>
                    <w:r>
                      <w:instrText xml:space="preserve"> PAGE \* MERGEFORMAT </w:instrText>
                    </w:r>
                    <w:r>
                      <w:fldChar w:fldCharType="separate"/>
                    </w:r>
                    <w:r>
                      <w:rPr>
                        <w:sz w:val="16"/>
                        <w:szCs w:val="16"/>
                      </w:rPr>
                      <w:t>#</w:t>
                    </w:r>
                    <w:r>
                      <w:rPr>
                        <w:sz w:val="16"/>
                        <w:szCs w:val="1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75648" behindDoc="1" locked="0" layoutInCell="1" allowOverlap="1" wp14:anchorId="2FA96D6A" wp14:editId="11D74697">
              <wp:simplePos x="0" y="0"/>
              <wp:positionH relativeFrom="page">
                <wp:posOffset>535305</wp:posOffset>
              </wp:positionH>
              <wp:positionV relativeFrom="page">
                <wp:posOffset>425450</wp:posOffset>
              </wp:positionV>
              <wp:extent cx="4358640" cy="0"/>
              <wp:effectExtent l="0" t="0" r="0" b="0"/>
              <wp:wrapNone/>
              <wp:docPr id="1276" name="Shape 1276"/>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0454364B" id="_x0000_t32" coordsize="21600,21600" o:spt="32" o:oned="t" path="m,l21600,21600e" filled="f">
              <v:path arrowok="t" fillok="f" o:connecttype="none"/>
              <o:lock v:ext="edit" shapetype="t"/>
            </v:shapetype>
            <v:shape id="Shape 1276" o:spid="_x0000_s1026" type="#_x0000_t32" style="position:absolute;margin-left:42.15pt;margin-top:33.5pt;width:343.2pt;height:0;z-index:-25164083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" strokeweight="1pt">
              <w10:wrap anchorx="page" anchory="page"/>
            </v:shap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F0ECD" w14:textId="77777777" w:rsidR="00D03C17" w:rsidRDefault="00D03C17">
    <w:pPr>
      <w:spacing w:line="1" w:lineRule="exact"/>
    </w:pPr>
    <w:r>
      <w:rPr>
        <w:noProof/>
      </w:rPr>
      <mc:AlternateContent>
        <mc:Choice Requires="wps">
          <w:drawing>
            <wp:anchor distT="0" distB="0" distL="0" distR="0" simplePos="0" relativeHeight="251878400" behindDoc="1" locked="0" layoutInCell="1" allowOverlap="1" wp14:anchorId="0ABBC27C" wp14:editId="6020C84A">
              <wp:simplePos x="0" y="0"/>
              <wp:positionH relativeFrom="page">
                <wp:posOffset>524510</wp:posOffset>
              </wp:positionH>
              <wp:positionV relativeFrom="page">
                <wp:posOffset>302260</wp:posOffset>
              </wp:positionV>
              <wp:extent cx="2700655" cy="79375"/>
              <wp:effectExtent l="0" t="0" r="0" b="0"/>
              <wp:wrapNone/>
              <wp:docPr id="1283" name="Shape 1283"/>
              <wp:cNvGraphicFramePr/>
              <a:graphic xmlns:a="http://schemas.openxmlformats.org/drawingml/2006/main">
                <a:graphicData uri="http://schemas.microsoft.com/office/word/2010/wordprocessingShape">
                  <wps:wsp>
                    <wps:cNvSpPr txBox="1"/>
                    <wps:spPr>
                      <a:xfrm>
                        <a:off x="0" y="0"/>
                        <a:ext cx="2700655" cy="79375"/>
                      </a:xfrm>
                      <a:prstGeom prst="rect">
                        <a:avLst/>
                      </a:prstGeom>
                      <a:noFill/>
                    </wps:spPr>
                    <wps:txbx>
                      <w:txbxContent>
                        <w:p w14:paraId="280CAC2F" w14:textId="77777777" w:rsidR="00D03C17" w:rsidRDefault="00D03C17">
                          <w:pPr>
                            <w:pStyle w:val="Headerorfooter0"/>
                            <w:tabs>
                              <w:tab w:val="right" w:pos="4253"/>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rPr>
                              <w:i/>
                              <w:iCs/>
                              <w:sz w:val="13"/>
                              <w:szCs w:val="13"/>
                            </w:rPr>
                            <w:t>SHIGELLA,</w:t>
                          </w:r>
                          <w:r>
                            <w:t xml:space="preserve"> INFECCIONES</w:t>
                          </w:r>
                        </w:p>
                      </w:txbxContent>
                    </wps:txbx>
                    <wps:bodyPr lIns="0" tIns="0" rIns="0" bIns="0">
                      <a:spAutoFit/>
                    </wps:bodyPr>
                  </wps:wsp>
                </a:graphicData>
              </a:graphic>
            </wp:anchor>
          </w:drawing>
        </mc:Choice>
        <mc:Fallback>
          <w:pict>
            <v:shapetype w14:anchorId="0ABBC27C" id="_x0000_t202" coordsize="21600,21600" o:spt="202" path="m,l,21600r21600,l21600,xe">
              <v:stroke joinstyle="miter"/>
              <v:path gradientshapeok="t" o:connecttype="rect"/>
            </v:shapetype>
            <v:shape id="Shape 1283" o:spid="_x0000_s1070" type="#_x0000_t202" style="position:absolute;margin-left:41.3pt;margin-top:23.8pt;width:212.65pt;height:6.25pt;z-index:-251438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" filled="f" stroked="f">
              <v:textbox style="mso-fit-shape-to-text:t" inset="0,0,0,0">
                <w:txbxContent>
                  <w:p w14:paraId="280CAC2F" w14:textId="77777777" w:rsidR="00D03C17" w:rsidRDefault="00D03C17">
                    <w:pPr>
                      <w:pStyle w:val="Headerorfooter0"/>
                      <w:tabs>
                        <w:tab w:val="right" w:pos="4253"/>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rPr>
                        <w:i/>
                        <w:iCs/>
                        <w:sz w:val="13"/>
                        <w:szCs w:val="13"/>
                      </w:rPr>
                      <w:t>SHIGELLA,</w:t>
                    </w:r>
                    <w:r>
                      <w:t xml:space="preserve"> INFECCIONES</w:t>
                    </w:r>
                  </w:p>
                </w:txbxContent>
              </v:textbox>
              <w10:wrap anchorx="page" anchory="page"/>
            </v:shape>
          </w:pict>
        </mc:Fallback>
      </mc:AlternateContent>
    </w:r>
    <w:r>
      <w:rPr>
        <w:noProof/>
      </w:rPr>
      <mc:AlternateContent>
        <mc:Choice Requires="wps">
          <w:drawing>
            <wp:anchor distT="0" distB="0" distL="114300" distR="114300" simplePos="0" relativeHeight="251678720" behindDoc="1" locked="0" layoutInCell="1" allowOverlap="1" wp14:anchorId="64B0B664" wp14:editId="6A520FAA">
              <wp:simplePos x="0" y="0"/>
              <wp:positionH relativeFrom="page">
                <wp:posOffset>509270</wp:posOffset>
              </wp:positionH>
              <wp:positionV relativeFrom="page">
                <wp:posOffset>410210</wp:posOffset>
              </wp:positionV>
              <wp:extent cx="4358640" cy="0"/>
              <wp:effectExtent l="0" t="0" r="0" b="0"/>
              <wp:wrapNone/>
              <wp:docPr id="1285" name="Shape 1285"/>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7661F074" id="_x0000_t32" coordsize="21600,21600" o:spt="32" o:oned="t" path="m,l21600,21600e" filled="f">
              <v:path arrowok="t" fillok="f" o:connecttype="none"/>
              <o:lock v:ext="edit" shapetype="t"/>
            </v:shapetype>
            <v:shape id="Shape 1285" o:spid="_x0000_s1026" type="#_x0000_t32" style="position:absolute;margin-left:40.1pt;margin-top:32.3pt;width:343.2pt;height:0;z-index:-25163776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" strokeweight="1pt">
              <w10:wrap anchorx="page" anchory="page"/>
            </v:shap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0D27B" w14:textId="77777777" w:rsidR="00D03C17" w:rsidRDefault="00D03C17">
    <w:pPr>
      <w:spacing w:line="1" w:lineRule="exact"/>
    </w:pPr>
    <w:r>
      <w:rPr>
        <w:noProof/>
      </w:rPr>
      <mc:AlternateContent>
        <mc:Choice Requires="wps">
          <w:drawing>
            <wp:anchor distT="0" distB="0" distL="0" distR="0" simplePos="0" relativeHeight="251877376" behindDoc="1" locked="0" layoutInCell="1" allowOverlap="1" wp14:anchorId="692FD7D4" wp14:editId="6B77CF82">
              <wp:simplePos x="0" y="0"/>
              <wp:positionH relativeFrom="page">
                <wp:posOffset>524510</wp:posOffset>
              </wp:positionH>
              <wp:positionV relativeFrom="page">
                <wp:posOffset>302260</wp:posOffset>
              </wp:positionV>
              <wp:extent cx="2700655" cy="79375"/>
              <wp:effectExtent l="0" t="0" r="0" b="0"/>
              <wp:wrapNone/>
              <wp:docPr id="1280" name="Shape 1280"/>
              <wp:cNvGraphicFramePr/>
              <a:graphic xmlns:a="http://schemas.openxmlformats.org/drawingml/2006/main">
                <a:graphicData uri="http://schemas.microsoft.com/office/word/2010/wordprocessingShape">
                  <wps:wsp>
                    <wps:cNvSpPr txBox="1"/>
                    <wps:spPr>
                      <a:xfrm>
                        <a:off x="0" y="0"/>
                        <a:ext cx="2700655" cy="79375"/>
                      </a:xfrm>
                      <a:prstGeom prst="rect">
                        <a:avLst/>
                      </a:prstGeom>
                      <a:noFill/>
                    </wps:spPr>
                    <wps:txbx>
                      <w:txbxContent>
                        <w:p w14:paraId="019077F7" w14:textId="77777777" w:rsidR="00D03C17" w:rsidRDefault="00D03C17">
                          <w:pPr>
                            <w:pStyle w:val="Headerorfooter0"/>
                            <w:tabs>
                              <w:tab w:val="right" w:pos="4253"/>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rPr>
                              <w:i/>
                              <w:iCs/>
                              <w:sz w:val="13"/>
                              <w:szCs w:val="13"/>
                            </w:rPr>
                            <w:t>SHIGELLA,</w:t>
                          </w:r>
                          <w:r>
                            <w:t xml:space="preserve"> INFECCIONES</w:t>
                          </w:r>
                        </w:p>
                      </w:txbxContent>
                    </wps:txbx>
                    <wps:bodyPr lIns="0" tIns="0" rIns="0" bIns="0">
                      <a:spAutoFit/>
                    </wps:bodyPr>
                  </wps:wsp>
                </a:graphicData>
              </a:graphic>
            </wp:anchor>
          </w:drawing>
        </mc:Choice>
        <mc:Fallback>
          <w:pict>
            <v:shapetype w14:anchorId="692FD7D4" id="_x0000_t202" coordsize="21600,21600" o:spt="202" path="m,l,21600r21600,l21600,xe">
              <v:stroke joinstyle="miter"/>
              <v:path gradientshapeok="t" o:connecttype="rect"/>
            </v:shapetype>
            <v:shape id="Shape 1280" o:spid="_x0000_s1071" type="#_x0000_t202" style="position:absolute;margin-left:41.3pt;margin-top:23.8pt;width:212.65pt;height:6.25pt;z-index:-251439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" filled="f" stroked="f">
              <v:textbox style="mso-fit-shape-to-text:t" inset="0,0,0,0">
                <w:txbxContent>
                  <w:p w14:paraId="019077F7" w14:textId="77777777" w:rsidR="00D03C17" w:rsidRDefault="00D03C17">
                    <w:pPr>
                      <w:pStyle w:val="Headerorfooter0"/>
                      <w:tabs>
                        <w:tab w:val="right" w:pos="4253"/>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rPr>
                        <w:i/>
                        <w:iCs/>
                        <w:sz w:val="13"/>
                        <w:szCs w:val="13"/>
                      </w:rPr>
                      <w:t>SHIGELLA,</w:t>
                    </w:r>
                    <w:r>
                      <w:t xml:space="preserve"> INFECCIONES</w:t>
                    </w:r>
                  </w:p>
                </w:txbxContent>
              </v:textbox>
              <w10:wrap anchorx="page" anchory="page"/>
            </v:shape>
          </w:pict>
        </mc:Fallback>
      </mc:AlternateContent>
    </w:r>
    <w:r>
      <w:rPr>
        <w:noProof/>
      </w:rPr>
      <mc:AlternateContent>
        <mc:Choice Requires="wps">
          <w:drawing>
            <wp:anchor distT="0" distB="0" distL="114300" distR="114300" simplePos="0" relativeHeight="251677696" behindDoc="1" locked="0" layoutInCell="1" allowOverlap="1" wp14:anchorId="6E6092DA" wp14:editId="09EEB34E">
              <wp:simplePos x="0" y="0"/>
              <wp:positionH relativeFrom="page">
                <wp:posOffset>509270</wp:posOffset>
              </wp:positionH>
              <wp:positionV relativeFrom="page">
                <wp:posOffset>410210</wp:posOffset>
              </wp:positionV>
              <wp:extent cx="4358640" cy="0"/>
              <wp:effectExtent l="0" t="0" r="0" b="0"/>
              <wp:wrapNone/>
              <wp:docPr id="1282" name="Shape 1282"/>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730B4DD5" id="_x0000_t32" coordsize="21600,21600" o:spt="32" o:oned="t" path="m,l21600,21600e" filled="f">
              <v:path arrowok="t" fillok="f" o:connecttype="none"/>
              <o:lock v:ext="edit" shapetype="t"/>
            </v:shapetype>
            <v:shape id="Shape 1282" o:spid="_x0000_s1026" type="#_x0000_t32" style="position:absolute;margin-left:40.1pt;margin-top:32.3pt;width:343.2pt;height:0;z-index:-25163878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" strokeweight="1pt">
              <w10:wrap anchorx="page" anchory="page"/>
            </v:shape>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7997E" w14:textId="77777777" w:rsidR="00D03C17" w:rsidRDefault="00D03C17">
    <w:pPr>
      <w:spacing w:line="1" w:lineRule="exact"/>
    </w:pPr>
    <w:r>
      <w:rPr>
        <w:noProof/>
      </w:rPr>
      <mc:AlternateContent>
        <mc:Choice Requires="wps">
          <w:drawing>
            <wp:anchor distT="0" distB="0" distL="0" distR="0" simplePos="0" relativeHeight="251880448" behindDoc="1" locked="0" layoutInCell="1" allowOverlap="1" wp14:anchorId="25615F6D" wp14:editId="239692E5">
              <wp:simplePos x="0" y="0"/>
              <wp:positionH relativeFrom="page">
                <wp:posOffset>523240</wp:posOffset>
              </wp:positionH>
              <wp:positionV relativeFrom="page">
                <wp:posOffset>287020</wp:posOffset>
              </wp:positionV>
              <wp:extent cx="2901950" cy="94615"/>
              <wp:effectExtent l="0" t="0" r="0" b="0"/>
              <wp:wrapNone/>
              <wp:docPr id="1289" name="Shape 1289"/>
              <wp:cNvGraphicFramePr/>
              <a:graphic xmlns:a="http://schemas.openxmlformats.org/drawingml/2006/main">
                <a:graphicData uri="http://schemas.microsoft.com/office/word/2010/wordprocessingShape">
                  <wps:wsp>
                    <wps:cNvSpPr txBox="1"/>
                    <wps:spPr>
                      <a:xfrm>
                        <a:off x="0" y="0"/>
                        <a:ext cx="2901950" cy="94615"/>
                      </a:xfrm>
                      <a:prstGeom prst="rect">
                        <a:avLst/>
                      </a:prstGeom>
                      <a:noFill/>
                    </wps:spPr>
                    <wps:txbx>
                      <w:txbxContent>
                        <w:p w14:paraId="0A00DCA3" w14:textId="77777777" w:rsidR="00D03C17" w:rsidRDefault="00D03C17">
                          <w:pPr>
                            <w:pStyle w:val="Headerorfooter0"/>
                            <w:tabs>
                              <w:tab w:val="right" w:pos="4570"/>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MENINGOCÓCICAS, INFECCIONES</w:t>
                          </w:r>
                        </w:p>
                      </w:txbxContent>
                    </wps:txbx>
                    <wps:bodyPr lIns="0" tIns="0" rIns="0" bIns="0">
                      <a:spAutoFit/>
                    </wps:bodyPr>
                  </wps:wsp>
                </a:graphicData>
              </a:graphic>
            </wp:anchor>
          </w:drawing>
        </mc:Choice>
        <mc:Fallback>
          <w:pict>
            <v:shapetype w14:anchorId="25615F6D" id="_x0000_t202" coordsize="21600,21600" o:spt="202" path="m,l,21600r21600,l21600,xe">
              <v:stroke joinstyle="miter"/>
              <v:path gradientshapeok="t" o:connecttype="rect"/>
            </v:shapetype>
            <v:shape id="Shape 1289" o:spid="_x0000_s1072" type="#_x0000_t202" style="position:absolute;margin-left:41.2pt;margin-top:22.6pt;width:228.5pt;height:7.45pt;z-index:-251436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" filled="f" stroked="f">
              <v:textbox style="mso-fit-shape-to-text:t" inset="0,0,0,0">
                <w:txbxContent>
                  <w:p w14:paraId="0A00DCA3" w14:textId="77777777" w:rsidR="00D03C17" w:rsidRDefault="00D03C17">
                    <w:pPr>
                      <w:pStyle w:val="Headerorfooter0"/>
                      <w:tabs>
                        <w:tab w:val="right" w:pos="4570"/>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MENINGOCÓCICAS, INFECCIONES</w:t>
                    </w:r>
                  </w:p>
                </w:txbxContent>
              </v:textbox>
              <w10:wrap anchorx="page" anchory="page"/>
            </v:shape>
          </w:pict>
        </mc:Fallback>
      </mc:AlternateContent>
    </w:r>
    <w:r>
      <w:rPr>
        <w:noProof/>
      </w:rPr>
      <mc:AlternateContent>
        <mc:Choice Requires="wps">
          <w:drawing>
            <wp:anchor distT="0" distB="0" distL="114300" distR="114300" simplePos="0" relativeHeight="251680768" behindDoc="1" locked="0" layoutInCell="1" allowOverlap="1" wp14:anchorId="628E1ACE" wp14:editId="00A732D9">
              <wp:simplePos x="0" y="0"/>
              <wp:positionH relativeFrom="page">
                <wp:posOffset>508000</wp:posOffset>
              </wp:positionH>
              <wp:positionV relativeFrom="page">
                <wp:posOffset>410210</wp:posOffset>
              </wp:positionV>
              <wp:extent cx="4358640" cy="0"/>
              <wp:effectExtent l="0" t="0" r="0" b="0"/>
              <wp:wrapNone/>
              <wp:docPr id="1291" name="Shape 1291"/>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3681D6A7" id="_x0000_t32" coordsize="21600,21600" o:spt="32" o:oned="t" path="m,l21600,21600e" filled="f">
              <v:path arrowok="t" fillok="f" o:connecttype="none"/>
              <o:lock v:ext="edit" shapetype="t"/>
            </v:shapetype>
            <v:shape id="Shape 1291" o:spid="_x0000_s1026" type="#_x0000_t32" style="position:absolute;margin-left:40pt;margin-top:32.3pt;width:343.2pt;height:0;z-index:-25163571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" strokeweight="1pt">
              <w10:wrap anchorx="page" anchory="page"/>
            </v:shape>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00019" w14:textId="77777777" w:rsidR="00D03C17" w:rsidRDefault="00D03C17">
    <w:pPr>
      <w:spacing w:line="1" w:lineRule="exact"/>
    </w:pPr>
    <w:r>
      <w:rPr>
        <w:noProof/>
      </w:rPr>
      <mc:AlternateContent>
        <mc:Choice Requires="wps">
          <w:drawing>
            <wp:anchor distT="0" distB="0" distL="0" distR="0" simplePos="0" relativeHeight="251879424" behindDoc="1" locked="0" layoutInCell="1" allowOverlap="1" wp14:anchorId="2956526D" wp14:editId="6FA4DDC9">
              <wp:simplePos x="0" y="0"/>
              <wp:positionH relativeFrom="page">
                <wp:posOffset>1962150</wp:posOffset>
              </wp:positionH>
              <wp:positionV relativeFrom="page">
                <wp:posOffset>287020</wp:posOffset>
              </wp:positionV>
              <wp:extent cx="2895600" cy="94615"/>
              <wp:effectExtent l="0" t="0" r="0" b="0"/>
              <wp:wrapNone/>
              <wp:docPr id="1286" name="Shape 1286"/>
              <wp:cNvGraphicFramePr/>
              <a:graphic xmlns:a="http://schemas.openxmlformats.org/drawingml/2006/main">
                <a:graphicData uri="http://schemas.microsoft.com/office/word/2010/wordprocessingShape">
                  <wps:wsp>
                    <wps:cNvSpPr txBox="1"/>
                    <wps:spPr>
                      <a:xfrm>
                        <a:off x="0" y="0"/>
                        <a:ext cx="2895600" cy="94615"/>
                      </a:xfrm>
                      <a:prstGeom prst="rect">
                        <a:avLst/>
                      </a:prstGeom>
                      <a:noFill/>
                    </wps:spPr>
                    <wps:txbx>
                      <w:txbxContent>
                        <w:p w14:paraId="1A111456" w14:textId="77777777" w:rsidR="00D03C17" w:rsidRDefault="00D03C17">
                          <w:pPr>
                            <w:pStyle w:val="Headerorfooter0"/>
                            <w:tabs>
                              <w:tab w:val="right" w:pos="4560"/>
                            </w:tabs>
                            <w:rPr>
                              <w:sz w:val="16"/>
                              <w:szCs w:val="16"/>
                            </w:rPr>
                          </w:pPr>
                          <w:r>
                            <w:t>MENINGOCÓCICAS, INFECCIONES</w:t>
                          </w:r>
                          <w:r>
                            <w:tab/>
                          </w:r>
                          <w:r>
                            <w:fldChar w:fldCharType="begin"/>
                          </w:r>
                          <w:r>
                            <w:instrText xml:space="preserve"> PAGE \* MERGEFORMAT </w:instrText>
                          </w:r>
                          <w:r>
                            <w:fldChar w:fldCharType="separate"/>
                          </w:r>
                          <w:r>
                            <w:rPr>
                              <w:sz w:val="16"/>
                              <w:szCs w:val="16"/>
                            </w:rPr>
                            <w:t>#</w:t>
                          </w:r>
                          <w:r>
                            <w:rPr>
                              <w:sz w:val="16"/>
                              <w:szCs w:val="16"/>
                            </w:rPr>
                            <w:fldChar w:fldCharType="end"/>
                          </w:r>
                        </w:p>
                      </w:txbxContent>
                    </wps:txbx>
                    <wps:bodyPr lIns="0" tIns="0" rIns="0" bIns="0">
                      <a:spAutoFit/>
                    </wps:bodyPr>
                  </wps:wsp>
                </a:graphicData>
              </a:graphic>
            </wp:anchor>
          </w:drawing>
        </mc:Choice>
        <mc:Fallback>
          <w:pict>
            <v:shapetype w14:anchorId="2956526D" id="_x0000_t202" coordsize="21600,21600" o:spt="202" path="m,l,21600r21600,l21600,xe">
              <v:stroke joinstyle="miter"/>
              <v:path gradientshapeok="t" o:connecttype="rect"/>
            </v:shapetype>
            <v:shape id="Shape 1286" o:spid="_x0000_s1073" type="#_x0000_t202" style="position:absolute;margin-left:154.5pt;margin-top:22.6pt;width:228pt;height:7.45pt;z-index:-251437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" filled="f" stroked="f">
              <v:textbox style="mso-fit-shape-to-text:t" inset="0,0,0,0">
                <w:txbxContent>
                  <w:p w14:paraId="1A111456" w14:textId="77777777" w:rsidR="00D03C17" w:rsidRDefault="00D03C17">
                    <w:pPr>
                      <w:pStyle w:val="Headerorfooter0"/>
                      <w:tabs>
                        <w:tab w:val="right" w:pos="4560"/>
                      </w:tabs>
                      <w:rPr>
                        <w:sz w:val="16"/>
                        <w:szCs w:val="16"/>
                      </w:rPr>
                    </w:pPr>
                    <w:r>
                      <w:t>MENINGOCÓCICAS, INFECCIONES</w:t>
                    </w:r>
                    <w:r>
                      <w:tab/>
                    </w:r>
                    <w:r>
                      <w:fldChar w:fldCharType="begin"/>
                    </w:r>
                    <w:r>
                      <w:instrText xml:space="preserve"> PAGE \* MERGEFORMAT </w:instrText>
                    </w:r>
                    <w:r>
                      <w:fldChar w:fldCharType="separate"/>
                    </w:r>
                    <w:r>
                      <w:rPr>
                        <w:sz w:val="16"/>
                        <w:szCs w:val="16"/>
                      </w:rPr>
                      <w:t>#</w:t>
                    </w:r>
                    <w:r>
                      <w:rPr>
                        <w:sz w:val="16"/>
                        <w:szCs w:val="1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79744" behindDoc="1" locked="0" layoutInCell="1" allowOverlap="1" wp14:anchorId="22DD6A96" wp14:editId="234EB06B">
              <wp:simplePos x="0" y="0"/>
              <wp:positionH relativeFrom="page">
                <wp:posOffset>520065</wp:posOffset>
              </wp:positionH>
              <wp:positionV relativeFrom="page">
                <wp:posOffset>410210</wp:posOffset>
              </wp:positionV>
              <wp:extent cx="4358640" cy="0"/>
              <wp:effectExtent l="0" t="0" r="0" b="0"/>
              <wp:wrapNone/>
              <wp:docPr id="1288" name="Shape 1288"/>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220CA9FF" id="_x0000_t32" coordsize="21600,21600" o:spt="32" o:oned="t" path="m,l21600,21600e" filled="f">
              <v:path arrowok="t" fillok="f" o:connecttype="none"/>
              <o:lock v:ext="edit" shapetype="t"/>
            </v:shapetype>
            <v:shape id="Shape 1288" o:spid="_x0000_s1026" type="#_x0000_t32" style="position:absolute;margin-left:40.95pt;margin-top:32.3pt;width:343.2pt;height:0;z-index:-25163673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" strokeweight="1pt">
              <w10:wrap anchorx="page" anchory="page"/>
            </v:shape>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95724" w14:textId="77777777" w:rsidR="00D03C17" w:rsidRDefault="00D03C17">
    <w:pPr>
      <w:spacing w:line="1" w:lineRule="exact"/>
    </w:pPr>
    <w:r>
      <w:rPr>
        <w:noProof/>
      </w:rPr>
      <mc:AlternateContent>
        <mc:Choice Requires="wps">
          <w:drawing>
            <wp:anchor distT="0" distB="0" distL="0" distR="0" simplePos="0" relativeHeight="251882496" behindDoc="1" locked="0" layoutInCell="1" allowOverlap="1" wp14:anchorId="1CD2CDFE" wp14:editId="5E3549EF">
              <wp:simplePos x="0" y="0"/>
              <wp:positionH relativeFrom="page">
                <wp:posOffset>1482090</wp:posOffset>
              </wp:positionH>
              <wp:positionV relativeFrom="page">
                <wp:posOffset>302260</wp:posOffset>
              </wp:positionV>
              <wp:extent cx="3368040" cy="79375"/>
              <wp:effectExtent l="0" t="0" r="0" b="0"/>
              <wp:wrapNone/>
              <wp:docPr id="1295" name="Shape 1295"/>
              <wp:cNvGraphicFramePr/>
              <a:graphic xmlns:a="http://schemas.openxmlformats.org/drawingml/2006/main">
                <a:graphicData uri="http://schemas.microsoft.com/office/word/2010/wordprocessingShape">
                  <wps:wsp>
                    <wps:cNvSpPr txBox="1"/>
                    <wps:spPr>
                      <a:xfrm>
                        <a:off x="0" y="0"/>
                        <a:ext cx="3368040" cy="79375"/>
                      </a:xfrm>
                      <a:prstGeom prst="rect">
                        <a:avLst/>
                      </a:prstGeom>
                      <a:noFill/>
                    </wps:spPr>
                    <wps:txbx>
                      <w:txbxContent>
                        <w:p w14:paraId="3F54B179" w14:textId="77777777" w:rsidR="00D03C17" w:rsidRDefault="00D03C17">
                          <w:pPr>
                            <w:pStyle w:val="Headerorfooter0"/>
                            <w:tabs>
                              <w:tab w:val="right" w:pos="5304"/>
                            </w:tabs>
                            <w:rPr>
                              <w:sz w:val="16"/>
                              <w:szCs w:val="16"/>
                            </w:rPr>
                          </w:pPr>
                          <w:r>
                            <w:t>MICOBACTERIAS NO TUBERCULOSAS, ENFERMEDADES</w:t>
                          </w:r>
                          <w:r>
                            <w:tab/>
                          </w:r>
                          <w:r>
                            <w:fldChar w:fldCharType="begin"/>
                          </w:r>
                          <w:r>
                            <w:instrText xml:space="preserve"> PAGE \* MERGEFORMAT </w:instrText>
                          </w:r>
                          <w:r>
                            <w:fldChar w:fldCharType="separate"/>
                          </w:r>
                          <w:r>
                            <w:rPr>
                              <w:sz w:val="16"/>
                              <w:szCs w:val="16"/>
                            </w:rPr>
                            <w:t>#</w:t>
                          </w:r>
                          <w:r>
                            <w:rPr>
                              <w:sz w:val="16"/>
                              <w:szCs w:val="16"/>
                            </w:rPr>
                            <w:fldChar w:fldCharType="end"/>
                          </w:r>
                        </w:p>
                      </w:txbxContent>
                    </wps:txbx>
                    <wps:bodyPr lIns="0" tIns="0" rIns="0" bIns="0">
                      <a:spAutoFit/>
                    </wps:bodyPr>
                  </wps:wsp>
                </a:graphicData>
              </a:graphic>
            </wp:anchor>
          </w:drawing>
        </mc:Choice>
        <mc:Fallback>
          <w:pict>
            <v:shapetype w14:anchorId="1CD2CDFE" id="_x0000_t202" coordsize="21600,21600" o:spt="202" path="m,l,21600r21600,l21600,xe">
              <v:stroke joinstyle="miter"/>
              <v:path gradientshapeok="t" o:connecttype="rect"/>
            </v:shapetype>
            <v:shape id="Shape 1295" o:spid="_x0000_s1074" type="#_x0000_t202" style="position:absolute;margin-left:116.7pt;margin-top:23.8pt;width:265.2pt;height:6.25pt;z-index:-251433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" filled="f" stroked="f">
              <v:textbox style="mso-fit-shape-to-text:t" inset="0,0,0,0">
                <w:txbxContent>
                  <w:p w14:paraId="3F54B179" w14:textId="77777777" w:rsidR="00D03C17" w:rsidRDefault="00D03C17">
                    <w:pPr>
                      <w:pStyle w:val="Headerorfooter0"/>
                      <w:tabs>
                        <w:tab w:val="right" w:pos="5304"/>
                      </w:tabs>
                      <w:rPr>
                        <w:sz w:val="16"/>
                        <w:szCs w:val="16"/>
                      </w:rPr>
                    </w:pPr>
                    <w:r>
                      <w:t>MICOBACTERIAS NO TUBERCULOSAS, ENFERMEDADES</w:t>
                    </w:r>
                    <w:r>
                      <w:tab/>
                    </w:r>
                    <w:r>
                      <w:fldChar w:fldCharType="begin"/>
                    </w:r>
                    <w:r>
                      <w:instrText xml:space="preserve"> PAGE \* MERGEFORMAT </w:instrText>
                    </w:r>
                    <w:r>
                      <w:fldChar w:fldCharType="separate"/>
                    </w:r>
                    <w:r>
                      <w:rPr>
                        <w:sz w:val="16"/>
                        <w:szCs w:val="16"/>
                      </w:rPr>
                      <w:t>#</w:t>
                    </w:r>
                    <w:r>
                      <w:rPr>
                        <w:sz w:val="16"/>
                        <w:szCs w:val="1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82816" behindDoc="1" locked="0" layoutInCell="1" allowOverlap="1" wp14:anchorId="3D624CA9" wp14:editId="7F23CC61">
              <wp:simplePos x="0" y="0"/>
              <wp:positionH relativeFrom="page">
                <wp:posOffset>512445</wp:posOffset>
              </wp:positionH>
              <wp:positionV relativeFrom="page">
                <wp:posOffset>410210</wp:posOffset>
              </wp:positionV>
              <wp:extent cx="4358640" cy="0"/>
              <wp:effectExtent l="0" t="0" r="0" b="0"/>
              <wp:wrapNone/>
              <wp:docPr id="1297" name="Shape 1297"/>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41FBCD32" id="_x0000_t32" coordsize="21600,21600" o:spt="32" o:oned="t" path="m,l21600,21600e" filled="f">
              <v:path arrowok="t" fillok="f" o:connecttype="none"/>
              <o:lock v:ext="edit" shapetype="t"/>
            </v:shapetype>
            <v:shape id="Shape 1297" o:spid="_x0000_s1026" type="#_x0000_t32" style="position:absolute;margin-left:40.35pt;margin-top:32.3pt;width:343.2pt;height:0;z-index:-25163366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" strokeweight="1pt">
              <w10:wrap anchorx="page" anchory="page"/>
            </v:shape>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2B69E" w14:textId="77777777" w:rsidR="00D03C17" w:rsidRDefault="00D03C17">
    <w:pPr>
      <w:spacing w:line="1" w:lineRule="exact"/>
    </w:pPr>
    <w:r>
      <w:rPr>
        <w:noProof/>
      </w:rPr>
      <mc:AlternateContent>
        <mc:Choice Requires="wps">
          <w:drawing>
            <wp:anchor distT="0" distB="0" distL="0" distR="0" simplePos="0" relativeHeight="251881472" behindDoc="1" locked="0" layoutInCell="1" allowOverlap="1" wp14:anchorId="1B648F0A" wp14:editId="7BD03863">
              <wp:simplePos x="0" y="0"/>
              <wp:positionH relativeFrom="page">
                <wp:posOffset>1482090</wp:posOffset>
              </wp:positionH>
              <wp:positionV relativeFrom="page">
                <wp:posOffset>302260</wp:posOffset>
              </wp:positionV>
              <wp:extent cx="3368040" cy="79375"/>
              <wp:effectExtent l="0" t="0" r="0" b="0"/>
              <wp:wrapNone/>
              <wp:docPr id="1292" name="Shape 1292"/>
              <wp:cNvGraphicFramePr/>
              <a:graphic xmlns:a="http://schemas.openxmlformats.org/drawingml/2006/main">
                <a:graphicData uri="http://schemas.microsoft.com/office/word/2010/wordprocessingShape">
                  <wps:wsp>
                    <wps:cNvSpPr txBox="1"/>
                    <wps:spPr>
                      <a:xfrm>
                        <a:off x="0" y="0"/>
                        <a:ext cx="3368040" cy="79375"/>
                      </a:xfrm>
                      <a:prstGeom prst="rect">
                        <a:avLst/>
                      </a:prstGeom>
                      <a:noFill/>
                    </wps:spPr>
                    <wps:txbx>
                      <w:txbxContent>
                        <w:p w14:paraId="5CB2791A" w14:textId="77777777" w:rsidR="00D03C17" w:rsidRDefault="00D03C17">
                          <w:pPr>
                            <w:pStyle w:val="Headerorfooter0"/>
                            <w:tabs>
                              <w:tab w:val="right" w:pos="5304"/>
                            </w:tabs>
                            <w:rPr>
                              <w:sz w:val="16"/>
                              <w:szCs w:val="16"/>
                            </w:rPr>
                          </w:pPr>
                          <w:r>
                            <w:t>MICOBACTERIAS NO TUBERCULOSAS, ENFERMEDADES</w:t>
                          </w:r>
                          <w:r>
                            <w:tab/>
                          </w:r>
                          <w:r>
                            <w:fldChar w:fldCharType="begin"/>
                          </w:r>
                          <w:r>
                            <w:instrText xml:space="preserve"> PAGE \* MERGEFORMAT </w:instrText>
                          </w:r>
                          <w:r>
                            <w:fldChar w:fldCharType="separate"/>
                          </w:r>
                          <w:r>
                            <w:rPr>
                              <w:sz w:val="16"/>
                              <w:szCs w:val="16"/>
                            </w:rPr>
                            <w:t>#</w:t>
                          </w:r>
                          <w:r>
                            <w:rPr>
                              <w:sz w:val="16"/>
                              <w:szCs w:val="16"/>
                            </w:rPr>
                            <w:fldChar w:fldCharType="end"/>
                          </w:r>
                        </w:p>
                      </w:txbxContent>
                    </wps:txbx>
                    <wps:bodyPr lIns="0" tIns="0" rIns="0" bIns="0">
                      <a:spAutoFit/>
                    </wps:bodyPr>
                  </wps:wsp>
                </a:graphicData>
              </a:graphic>
            </wp:anchor>
          </w:drawing>
        </mc:Choice>
        <mc:Fallback>
          <w:pict>
            <v:shapetype w14:anchorId="1B648F0A" id="_x0000_t202" coordsize="21600,21600" o:spt="202" path="m,l,21600r21600,l21600,xe">
              <v:stroke joinstyle="miter"/>
              <v:path gradientshapeok="t" o:connecttype="rect"/>
            </v:shapetype>
            <v:shape id="Shape 1292" o:spid="_x0000_s1075" type="#_x0000_t202" style="position:absolute;margin-left:116.7pt;margin-top:23.8pt;width:265.2pt;height:6.25pt;z-index:-251435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" filled="f" stroked="f">
              <v:textbox style="mso-fit-shape-to-text:t" inset="0,0,0,0">
                <w:txbxContent>
                  <w:p w14:paraId="5CB2791A" w14:textId="77777777" w:rsidR="00D03C17" w:rsidRDefault="00D03C17">
                    <w:pPr>
                      <w:pStyle w:val="Headerorfooter0"/>
                      <w:tabs>
                        <w:tab w:val="right" w:pos="5304"/>
                      </w:tabs>
                      <w:rPr>
                        <w:sz w:val="16"/>
                        <w:szCs w:val="16"/>
                      </w:rPr>
                    </w:pPr>
                    <w:r>
                      <w:t>MICOBACTERIAS NO TUBERCULOSAS, ENFERMEDADES</w:t>
                    </w:r>
                    <w:r>
                      <w:tab/>
                    </w:r>
                    <w:r>
                      <w:fldChar w:fldCharType="begin"/>
                    </w:r>
                    <w:r>
                      <w:instrText xml:space="preserve"> PAGE \* MERGEFORMAT </w:instrText>
                    </w:r>
                    <w:r>
                      <w:fldChar w:fldCharType="separate"/>
                    </w:r>
                    <w:r>
                      <w:rPr>
                        <w:sz w:val="16"/>
                        <w:szCs w:val="16"/>
                      </w:rPr>
                      <w:t>#</w:t>
                    </w:r>
                    <w:r>
                      <w:rPr>
                        <w:sz w:val="16"/>
                        <w:szCs w:val="1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81792" behindDoc="1" locked="0" layoutInCell="1" allowOverlap="1" wp14:anchorId="7E103249" wp14:editId="4E661254">
              <wp:simplePos x="0" y="0"/>
              <wp:positionH relativeFrom="page">
                <wp:posOffset>512445</wp:posOffset>
              </wp:positionH>
              <wp:positionV relativeFrom="page">
                <wp:posOffset>410210</wp:posOffset>
              </wp:positionV>
              <wp:extent cx="4358640" cy="0"/>
              <wp:effectExtent l="0" t="0" r="0" b="0"/>
              <wp:wrapNone/>
              <wp:docPr id="1294" name="Shape 1294"/>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0DD7B2E4" id="_x0000_t32" coordsize="21600,21600" o:spt="32" o:oned="t" path="m,l21600,21600e" filled="f">
              <v:path arrowok="t" fillok="f" o:connecttype="none"/>
              <o:lock v:ext="edit" shapetype="t"/>
            </v:shapetype>
            <v:shape id="Shape 1294" o:spid="_x0000_s1026" type="#_x0000_t32" style="position:absolute;margin-left:40.35pt;margin-top:32.3pt;width:343.2pt;height:0;z-index:-25163468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" strokeweight="1pt">
              <w10:wrap anchorx="page" anchory="page"/>
            </v:shape>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F3B4A" w14:textId="77777777" w:rsidR="00D03C17" w:rsidRDefault="00D03C17">
    <w:pPr>
      <w:spacing w:line="1" w:lineRule="exact"/>
    </w:pPr>
    <w:r>
      <w:rPr>
        <w:noProof/>
      </w:rPr>
      <mc:AlternateContent>
        <mc:Choice Requires="wps">
          <w:drawing>
            <wp:anchor distT="0" distB="0" distL="0" distR="0" simplePos="0" relativeHeight="251884544" behindDoc="1" locked="0" layoutInCell="1" allowOverlap="1" wp14:anchorId="3CDA0B70" wp14:editId="13F5A93F">
              <wp:simplePos x="0" y="0"/>
              <wp:positionH relativeFrom="page">
                <wp:posOffset>532130</wp:posOffset>
              </wp:positionH>
              <wp:positionV relativeFrom="page">
                <wp:posOffset>311150</wp:posOffset>
              </wp:positionV>
              <wp:extent cx="2694305" cy="69850"/>
              <wp:effectExtent l="0" t="0" r="0" b="0"/>
              <wp:wrapNone/>
              <wp:docPr id="1301" name="Shape 1301"/>
              <wp:cNvGraphicFramePr/>
              <a:graphic xmlns:a="http://schemas.openxmlformats.org/drawingml/2006/main">
                <a:graphicData uri="http://schemas.microsoft.com/office/word/2010/wordprocessingShape">
                  <wps:wsp>
                    <wps:cNvSpPr txBox="1"/>
                    <wps:spPr>
                      <a:xfrm>
                        <a:off x="0" y="0"/>
                        <a:ext cx="2694305" cy="69850"/>
                      </a:xfrm>
                      <a:prstGeom prst="rect">
                        <a:avLst/>
                      </a:prstGeom>
                      <a:noFill/>
                    </wps:spPr>
                    <wps:txbx>
                      <w:txbxContent>
                        <w:p w14:paraId="3F4AC2B3" w14:textId="77777777" w:rsidR="00D03C17" w:rsidRDefault="00D03C17">
                          <w:pPr>
                            <w:pStyle w:val="Headerorfooter0"/>
                            <w:tabs>
                              <w:tab w:val="right" w:pos="4243"/>
                            </w:tabs>
                          </w:pPr>
                          <w:r>
                            <w:rPr>
                              <w:sz w:val="16"/>
                              <w:szCs w:val="16"/>
                            </w:rPr>
                            <w:t>498</w:t>
                          </w:r>
                          <w:r>
                            <w:rPr>
                              <w:sz w:val="16"/>
                              <w:szCs w:val="16"/>
                            </w:rPr>
                            <w:tab/>
                          </w:r>
                          <w:r>
                            <w:t>MOLUSCO CONTAGIOSO</w:t>
                          </w:r>
                        </w:p>
                      </w:txbxContent>
                    </wps:txbx>
                    <wps:bodyPr lIns="0" tIns="0" rIns="0" bIns="0">
                      <a:spAutoFit/>
                    </wps:bodyPr>
                  </wps:wsp>
                </a:graphicData>
              </a:graphic>
            </wp:anchor>
          </w:drawing>
        </mc:Choice>
        <mc:Fallback>
          <w:pict>
            <v:shapetype w14:anchorId="3CDA0B70" id="_x0000_t202" coordsize="21600,21600" o:spt="202" path="m,l,21600r21600,l21600,xe">
              <v:stroke joinstyle="miter"/>
              <v:path gradientshapeok="t" o:connecttype="rect"/>
            </v:shapetype>
            <v:shape id="Shape 1301" o:spid="_x0000_s1076" type="#_x0000_t202" style="position:absolute;margin-left:41.9pt;margin-top:24.5pt;width:212.15pt;height:5.5pt;z-index:-251431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" filled="f" stroked="f">
              <v:textbox style="mso-fit-shape-to-text:t" inset="0,0,0,0">
                <w:txbxContent>
                  <w:p w14:paraId="3F4AC2B3" w14:textId="77777777" w:rsidR="00D03C17" w:rsidRDefault="00D03C17">
                    <w:pPr>
                      <w:pStyle w:val="Headerorfooter0"/>
                      <w:tabs>
                        <w:tab w:val="right" w:pos="4243"/>
                      </w:tabs>
                    </w:pPr>
                    <w:r>
                      <w:rPr>
                        <w:sz w:val="16"/>
                        <w:szCs w:val="16"/>
                      </w:rPr>
                      <w:t>498</w:t>
                    </w:r>
                    <w:r>
                      <w:rPr>
                        <w:sz w:val="16"/>
                        <w:szCs w:val="16"/>
                      </w:rPr>
                      <w:tab/>
                    </w:r>
                    <w:r>
                      <w:t>MOLUSCO CONTAGIOSO</w:t>
                    </w:r>
                  </w:p>
                </w:txbxContent>
              </v:textbox>
              <w10:wrap anchorx="page" anchory="page"/>
            </v:shape>
          </w:pict>
        </mc:Fallback>
      </mc:AlternateContent>
    </w:r>
    <w:r>
      <w:rPr>
        <w:noProof/>
      </w:rPr>
      <mc:AlternateContent>
        <mc:Choice Requires="wps">
          <w:drawing>
            <wp:anchor distT="0" distB="0" distL="114300" distR="114300" simplePos="0" relativeHeight="251684864" behindDoc="1" locked="0" layoutInCell="1" allowOverlap="1" wp14:anchorId="526A9C65" wp14:editId="5EFEA59B">
              <wp:simplePos x="0" y="0"/>
              <wp:positionH relativeFrom="page">
                <wp:posOffset>516890</wp:posOffset>
              </wp:positionH>
              <wp:positionV relativeFrom="page">
                <wp:posOffset>419735</wp:posOffset>
              </wp:positionV>
              <wp:extent cx="4358640" cy="0"/>
              <wp:effectExtent l="0" t="0" r="0" b="0"/>
              <wp:wrapNone/>
              <wp:docPr id="1303" name="Shape 1303"/>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6A447003" id="_x0000_t32" coordsize="21600,21600" o:spt="32" o:oned="t" path="m,l21600,21600e" filled="f">
              <v:path arrowok="t" fillok="f" o:connecttype="none"/>
              <o:lock v:ext="edit" shapetype="t"/>
            </v:shapetype>
            <v:shape id="Shape 1303" o:spid="_x0000_s1026" type="#_x0000_t32" style="position:absolute;margin-left:40.7pt;margin-top:33.05pt;width:343.2pt;height:0;z-index:-25163161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" strokeweight="1pt">
              <w10:wrap anchorx="page" anchory="page"/>
            </v:shape>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941EA" w14:textId="77777777" w:rsidR="00D03C17" w:rsidRDefault="00D03C17">
    <w:pPr>
      <w:spacing w:line="1" w:lineRule="exact"/>
    </w:pPr>
    <w:r>
      <w:rPr>
        <w:noProof/>
      </w:rPr>
      <mc:AlternateContent>
        <mc:Choice Requires="wps">
          <w:drawing>
            <wp:anchor distT="0" distB="0" distL="0" distR="0" simplePos="0" relativeHeight="251883520" behindDoc="1" locked="0" layoutInCell="1" allowOverlap="1" wp14:anchorId="6A24201F" wp14:editId="06F125EC">
              <wp:simplePos x="0" y="0"/>
              <wp:positionH relativeFrom="page">
                <wp:posOffset>532130</wp:posOffset>
              </wp:positionH>
              <wp:positionV relativeFrom="page">
                <wp:posOffset>311150</wp:posOffset>
              </wp:positionV>
              <wp:extent cx="2694305" cy="69850"/>
              <wp:effectExtent l="0" t="0" r="0" b="0"/>
              <wp:wrapNone/>
              <wp:docPr id="1298" name="Shape 1298"/>
              <wp:cNvGraphicFramePr/>
              <a:graphic xmlns:a="http://schemas.openxmlformats.org/drawingml/2006/main">
                <a:graphicData uri="http://schemas.microsoft.com/office/word/2010/wordprocessingShape">
                  <wps:wsp>
                    <wps:cNvSpPr txBox="1"/>
                    <wps:spPr>
                      <a:xfrm>
                        <a:off x="0" y="0"/>
                        <a:ext cx="2694305" cy="69850"/>
                      </a:xfrm>
                      <a:prstGeom prst="rect">
                        <a:avLst/>
                      </a:prstGeom>
                      <a:noFill/>
                    </wps:spPr>
                    <wps:txbx>
                      <w:txbxContent>
                        <w:p w14:paraId="7D8D3E7F" w14:textId="77777777" w:rsidR="00D03C17" w:rsidRDefault="00D03C17">
                          <w:pPr>
                            <w:pStyle w:val="Headerorfooter0"/>
                            <w:tabs>
                              <w:tab w:val="right" w:pos="4243"/>
                            </w:tabs>
                          </w:pPr>
                          <w:r>
                            <w:rPr>
                              <w:sz w:val="16"/>
                              <w:szCs w:val="16"/>
                            </w:rPr>
                            <w:t>498</w:t>
                          </w:r>
                          <w:r>
                            <w:rPr>
                              <w:sz w:val="16"/>
                              <w:szCs w:val="16"/>
                            </w:rPr>
                            <w:tab/>
                          </w:r>
                          <w:r>
                            <w:t>MOLUSCO CONTAGIOSO</w:t>
                          </w:r>
                        </w:p>
                      </w:txbxContent>
                    </wps:txbx>
                    <wps:bodyPr lIns="0" tIns="0" rIns="0" bIns="0">
                      <a:spAutoFit/>
                    </wps:bodyPr>
                  </wps:wsp>
                </a:graphicData>
              </a:graphic>
            </wp:anchor>
          </w:drawing>
        </mc:Choice>
        <mc:Fallback>
          <w:pict>
            <v:shapetype w14:anchorId="6A24201F" id="_x0000_t202" coordsize="21600,21600" o:spt="202" path="m,l,21600r21600,l21600,xe">
              <v:stroke joinstyle="miter"/>
              <v:path gradientshapeok="t" o:connecttype="rect"/>
            </v:shapetype>
            <v:shape id="Shape 1298" o:spid="_x0000_s1077" type="#_x0000_t202" style="position:absolute;margin-left:41.9pt;margin-top:24.5pt;width:212.15pt;height:5.5pt;z-index:-251432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" filled="f" stroked="f">
              <v:textbox style="mso-fit-shape-to-text:t" inset="0,0,0,0">
                <w:txbxContent>
                  <w:p w14:paraId="7D8D3E7F" w14:textId="77777777" w:rsidR="00D03C17" w:rsidRDefault="00D03C17">
                    <w:pPr>
                      <w:pStyle w:val="Headerorfooter0"/>
                      <w:tabs>
                        <w:tab w:val="right" w:pos="4243"/>
                      </w:tabs>
                    </w:pPr>
                    <w:r>
                      <w:rPr>
                        <w:sz w:val="16"/>
                        <w:szCs w:val="16"/>
                      </w:rPr>
                      <w:t>498</w:t>
                    </w:r>
                    <w:r>
                      <w:rPr>
                        <w:sz w:val="16"/>
                        <w:szCs w:val="16"/>
                      </w:rPr>
                      <w:tab/>
                    </w:r>
                    <w:r>
                      <w:t>MOLUSCO CONTAGIOSO</w:t>
                    </w:r>
                  </w:p>
                </w:txbxContent>
              </v:textbox>
              <w10:wrap anchorx="page" anchory="page"/>
            </v:shape>
          </w:pict>
        </mc:Fallback>
      </mc:AlternateContent>
    </w:r>
    <w:r>
      <w:rPr>
        <w:noProof/>
      </w:rPr>
      <mc:AlternateContent>
        <mc:Choice Requires="wps">
          <w:drawing>
            <wp:anchor distT="0" distB="0" distL="114300" distR="114300" simplePos="0" relativeHeight="251683840" behindDoc="1" locked="0" layoutInCell="1" allowOverlap="1" wp14:anchorId="6C488E59" wp14:editId="3689CE57">
              <wp:simplePos x="0" y="0"/>
              <wp:positionH relativeFrom="page">
                <wp:posOffset>516890</wp:posOffset>
              </wp:positionH>
              <wp:positionV relativeFrom="page">
                <wp:posOffset>419735</wp:posOffset>
              </wp:positionV>
              <wp:extent cx="4358640" cy="0"/>
              <wp:effectExtent l="0" t="0" r="0" b="0"/>
              <wp:wrapNone/>
              <wp:docPr id="1300" name="Shape 1300"/>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4F6269CE" id="_x0000_t32" coordsize="21600,21600" o:spt="32" o:oned="t" path="m,l21600,21600e" filled="f">
              <v:path arrowok="t" fillok="f" o:connecttype="none"/>
              <o:lock v:ext="edit" shapetype="t"/>
            </v:shapetype>
            <v:shape id="Shape 1300" o:spid="_x0000_s1026" type="#_x0000_t32" style="position:absolute;margin-left:40.7pt;margin-top:33.05pt;width:343.2pt;height:0;z-index:-25163264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" strokeweight="1pt">
              <w10:wrap anchorx="page" anchory="page"/>
            </v:shape>
          </w:pict>
        </mc:Fallback>
      </mc:AlternateConten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20D85" w14:textId="77777777" w:rsidR="00D03C17" w:rsidRDefault="00D03C17">
    <w:pPr>
      <w:spacing w:line="1" w:lineRule="exact"/>
    </w:pPr>
    <w:r>
      <w:rPr>
        <w:noProof/>
      </w:rPr>
      <mc:AlternateContent>
        <mc:Choice Requires="wps">
          <w:drawing>
            <wp:anchor distT="0" distB="0" distL="0" distR="0" simplePos="0" relativeHeight="251885568" behindDoc="1" locked="0" layoutInCell="1" allowOverlap="1" wp14:anchorId="5FBDA98F" wp14:editId="0A1EB782">
              <wp:simplePos x="0" y="0"/>
              <wp:positionH relativeFrom="page">
                <wp:posOffset>1977390</wp:posOffset>
              </wp:positionH>
              <wp:positionV relativeFrom="page">
                <wp:posOffset>302260</wp:posOffset>
              </wp:positionV>
              <wp:extent cx="2877185" cy="79375"/>
              <wp:effectExtent l="0" t="0" r="0" b="0"/>
              <wp:wrapNone/>
              <wp:docPr id="1304" name="Shape 1304"/>
              <wp:cNvGraphicFramePr/>
              <a:graphic xmlns:a="http://schemas.openxmlformats.org/drawingml/2006/main">
                <a:graphicData uri="http://schemas.microsoft.com/office/word/2010/wordprocessingShape">
                  <wps:wsp>
                    <wps:cNvSpPr txBox="1"/>
                    <wps:spPr>
                      <a:xfrm>
                        <a:off x="0" y="0"/>
                        <a:ext cx="2877185" cy="79375"/>
                      </a:xfrm>
                      <a:prstGeom prst="rect">
                        <a:avLst/>
                      </a:prstGeom>
                      <a:noFill/>
                    </wps:spPr>
                    <wps:txbx>
                      <w:txbxContent>
                        <w:p w14:paraId="547B8736" w14:textId="77777777" w:rsidR="00D03C17" w:rsidRDefault="00D03C17">
                          <w:pPr>
                            <w:pStyle w:val="Headerorfooter0"/>
                            <w:tabs>
                              <w:tab w:val="right" w:pos="4531"/>
                            </w:tabs>
                            <w:rPr>
                              <w:sz w:val="16"/>
                              <w:szCs w:val="16"/>
                            </w:rPr>
                          </w:pPr>
                          <w:r>
                            <w:t>MICROSPORIDIOS, INFECCIONES</w:t>
                          </w:r>
                          <w:r>
                            <w:tab/>
                          </w:r>
                          <w:r>
                            <w:rPr>
                              <w:sz w:val="16"/>
                              <w:szCs w:val="16"/>
                            </w:rPr>
                            <w:t>497</w:t>
                          </w:r>
                        </w:p>
                      </w:txbxContent>
                    </wps:txbx>
                    <wps:bodyPr lIns="0" tIns="0" rIns="0" bIns="0">
                      <a:spAutoFit/>
                    </wps:bodyPr>
                  </wps:wsp>
                </a:graphicData>
              </a:graphic>
            </wp:anchor>
          </w:drawing>
        </mc:Choice>
        <mc:Fallback>
          <w:pict>
            <v:shapetype w14:anchorId="5FBDA98F" id="_x0000_t202" coordsize="21600,21600" o:spt="202" path="m,l,21600r21600,l21600,xe">
              <v:stroke joinstyle="miter"/>
              <v:path gradientshapeok="t" o:connecttype="rect"/>
            </v:shapetype>
            <v:shape id="Shape 1304" o:spid="_x0000_s1078" type="#_x0000_t202" style="position:absolute;margin-left:155.7pt;margin-top:23.8pt;width:226.55pt;height:6.25pt;z-index:-251430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" filled="f" stroked="f">
              <v:textbox style="mso-fit-shape-to-text:t" inset="0,0,0,0">
                <w:txbxContent>
                  <w:p w14:paraId="547B8736" w14:textId="77777777" w:rsidR="00D03C17" w:rsidRDefault="00D03C17">
                    <w:pPr>
                      <w:pStyle w:val="Headerorfooter0"/>
                      <w:tabs>
                        <w:tab w:val="right" w:pos="4531"/>
                      </w:tabs>
                      <w:rPr>
                        <w:sz w:val="16"/>
                        <w:szCs w:val="16"/>
                      </w:rPr>
                    </w:pPr>
                    <w:r>
                      <w:t>MICROSPORIDIOS, INFECCIONES</w:t>
                    </w:r>
                    <w:r>
                      <w:tab/>
                    </w:r>
                    <w:r>
                      <w:rPr>
                        <w:sz w:val="16"/>
                        <w:szCs w:val="16"/>
                      </w:rPr>
                      <w:t>497</w:t>
                    </w:r>
                  </w:p>
                </w:txbxContent>
              </v:textbox>
              <w10:wrap anchorx="page" anchory="page"/>
            </v:shape>
          </w:pict>
        </mc:Fallback>
      </mc:AlternateContent>
    </w:r>
    <w:r>
      <w:rPr>
        <w:noProof/>
      </w:rPr>
      <mc:AlternateContent>
        <mc:Choice Requires="wps">
          <w:drawing>
            <wp:anchor distT="0" distB="0" distL="114300" distR="114300" simplePos="0" relativeHeight="251685888" behindDoc="1" locked="0" layoutInCell="1" allowOverlap="1" wp14:anchorId="5772A08F" wp14:editId="63867FD7">
              <wp:simplePos x="0" y="0"/>
              <wp:positionH relativeFrom="page">
                <wp:posOffset>516890</wp:posOffset>
              </wp:positionH>
              <wp:positionV relativeFrom="page">
                <wp:posOffset>410210</wp:posOffset>
              </wp:positionV>
              <wp:extent cx="4358640" cy="0"/>
              <wp:effectExtent l="0" t="0" r="0" b="0"/>
              <wp:wrapNone/>
              <wp:docPr id="1306" name="Shape 1306"/>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0E766230" id="_x0000_t32" coordsize="21600,21600" o:spt="32" o:oned="t" path="m,l21600,21600e" filled="f">
              <v:path arrowok="t" fillok="f" o:connecttype="none"/>
              <o:lock v:ext="edit" shapetype="t"/>
            </v:shapetype>
            <v:shape id="Shape 1306" o:spid="_x0000_s1026" type="#_x0000_t32" style="position:absolute;margin-left:40.7pt;margin-top:32.3pt;width:343.2pt;height:0;z-index:-25163059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" strokeweight="1pt">
              <w10:wrap anchorx="page" anchory="page"/>
            </v:shape>
          </w:pict>
        </mc:Fallback>
      </mc:AlternateConten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0F3A5" w14:textId="77777777" w:rsidR="00D03C17" w:rsidRDefault="00D03C17">
    <w:pPr>
      <w:spacing w:line="1" w:lineRule="exact"/>
    </w:pPr>
    <w:r>
      <w:rPr>
        <w:noProof/>
      </w:rPr>
      <mc:AlternateContent>
        <mc:Choice Requires="wps">
          <w:drawing>
            <wp:anchor distT="0" distB="0" distL="0" distR="0" simplePos="0" relativeHeight="251887616" behindDoc="1" locked="0" layoutInCell="1" allowOverlap="1" wp14:anchorId="39E3388B" wp14:editId="5CFCF360">
              <wp:simplePos x="0" y="0"/>
              <wp:positionH relativeFrom="page">
                <wp:posOffset>1780540</wp:posOffset>
              </wp:positionH>
              <wp:positionV relativeFrom="page">
                <wp:posOffset>302260</wp:posOffset>
              </wp:positionV>
              <wp:extent cx="3066415" cy="79375"/>
              <wp:effectExtent l="0" t="0" r="0" b="0"/>
              <wp:wrapNone/>
              <wp:docPr id="1310" name="Shape 1310"/>
              <wp:cNvGraphicFramePr/>
              <a:graphic xmlns:a="http://schemas.openxmlformats.org/drawingml/2006/main">
                <a:graphicData uri="http://schemas.microsoft.com/office/word/2010/wordprocessingShape">
                  <wps:wsp>
                    <wps:cNvSpPr txBox="1"/>
                    <wps:spPr>
                      <a:xfrm>
                        <a:off x="0" y="0"/>
                        <a:ext cx="3066415" cy="79375"/>
                      </a:xfrm>
                      <a:prstGeom prst="rect">
                        <a:avLst/>
                      </a:prstGeom>
                      <a:noFill/>
                    </wps:spPr>
                    <wps:txbx>
                      <w:txbxContent>
                        <w:p w14:paraId="4D618F19" w14:textId="77777777" w:rsidR="00D03C17" w:rsidRDefault="00D03C17">
                          <w:pPr>
                            <w:pStyle w:val="Headerorfooter0"/>
                            <w:tabs>
                              <w:tab w:val="right" w:pos="4829"/>
                            </w:tabs>
                            <w:rPr>
                              <w:sz w:val="16"/>
                              <w:szCs w:val="16"/>
                            </w:rPr>
                          </w:pPr>
                          <w:r>
                            <w:t>MORAXELLA CATARRHALIS, INFECCIONES</w:t>
                          </w:r>
                          <w:r>
                            <w:tab/>
                          </w:r>
                          <w:r>
                            <w:rPr>
                              <w:sz w:val="16"/>
                              <w:szCs w:val="16"/>
                            </w:rPr>
                            <w:t>499</w:t>
                          </w:r>
                        </w:p>
                      </w:txbxContent>
                    </wps:txbx>
                    <wps:bodyPr lIns="0" tIns="0" rIns="0" bIns="0">
                      <a:spAutoFit/>
                    </wps:bodyPr>
                  </wps:wsp>
                </a:graphicData>
              </a:graphic>
            </wp:anchor>
          </w:drawing>
        </mc:Choice>
        <mc:Fallback>
          <w:pict>
            <v:shapetype w14:anchorId="39E3388B" id="_x0000_t202" coordsize="21600,21600" o:spt="202" path="m,l,21600r21600,l21600,xe">
              <v:stroke joinstyle="miter"/>
              <v:path gradientshapeok="t" o:connecttype="rect"/>
            </v:shapetype>
            <v:shape id="Shape 1310" o:spid="_x0000_s1079" type="#_x0000_t202" style="position:absolute;margin-left:140.2pt;margin-top:23.8pt;width:241.45pt;height:6.25pt;z-index:-251428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" filled="f" stroked="f">
              <v:textbox style="mso-fit-shape-to-text:t" inset="0,0,0,0">
                <w:txbxContent>
                  <w:p w14:paraId="4D618F19" w14:textId="77777777" w:rsidR="00D03C17" w:rsidRDefault="00D03C17">
                    <w:pPr>
                      <w:pStyle w:val="Headerorfooter0"/>
                      <w:tabs>
                        <w:tab w:val="right" w:pos="4829"/>
                      </w:tabs>
                      <w:rPr>
                        <w:sz w:val="16"/>
                        <w:szCs w:val="16"/>
                      </w:rPr>
                    </w:pPr>
                    <w:r>
                      <w:t>MORAXELLA CATARRHALIS, INFECCIONES</w:t>
                    </w:r>
                    <w:r>
                      <w:tab/>
                    </w:r>
                    <w:r>
                      <w:rPr>
                        <w:sz w:val="16"/>
                        <w:szCs w:val="16"/>
                      </w:rPr>
                      <w:t>499</w:t>
                    </w:r>
                  </w:p>
                </w:txbxContent>
              </v:textbox>
              <w10:wrap anchorx="page" anchory="page"/>
            </v:shape>
          </w:pict>
        </mc:Fallback>
      </mc:AlternateContent>
    </w:r>
    <w:r>
      <w:rPr>
        <w:noProof/>
      </w:rPr>
      <mc:AlternateContent>
        <mc:Choice Requires="wps">
          <w:drawing>
            <wp:anchor distT="0" distB="0" distL="114300" distR="114300" simplePos="0" relativeHeight="251687936" behindDoc="1" locked="0" layoutInCell="1" allowOverlap="1" wp14:anchorId="6F11A3A2" wp14:editId="12BF5E10">
              <wp:simplePos x="0" y="0"/>
              <wp:positionH relativeFrom="page">
                <wp:posOffset>509270</wp:posOffset>
              </wp:positionH>
              <wp:positionV relativeFrom="page">
                <wp:posOffset>410210</wp:posOffset>
              </wp:positionV>
              <wp:extent cx="4358640" cy="0"/>
              <wp:effectExtent l="0" t="0" r="0" b="0"/>
              <wp:wrapNone/>
              <wp:docPr id="1312" name="Shape 1312"/>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4DB6A8F5" id="_x0000_t32" coordsize="21600,21600" o:spt="32" o:oned="t" path="m,l21600,21600e" filled="f">
              <v:path arrowok="t" fillok="f" o:connecttype="none"/>
              <o:lock v:ext="edit" shapetype="t"/>
            </v:shapetype>
            <v:shape id="Shape 1312" o:spid="_x0000_s1026" type="#_x0000_t32" style="position:absolute;margin-left:40.1pt;margin-top:32.3pt;width:343.2pt;height:0;z-index:-25162854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" strokeweight="1pt">
              <w10:wrap anchorx="page" anchory="page"/>
            </v:shape>
          </w:pict>
        </mc:Fallback>
      </mc:AlternateConten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8123A" w14:textId="77777777" w:rsidR="00D03C17" w:rsidRDefault="00D03C17">
    <w:pPr>
      <w:spacing w:line="1" w:lineRule="exact"/>
    </w:pPr>
    <w:r>
      <w:rPr>
        <w:noProof/>
      </w:rPr>
      <mc:AlternateContent>
        <mc:Choice Requires="wps">
          <w:drawing>
            <wp:anchor distT="0" distB="0" distL="0" distR="0" simplePos="0" relativeHeight="251886592" behindDoc="1" locked="0" layoutInCell="1" allowOverlap="1" wp14:anchorId="528847FB" wp14:editId="513E3C8D">
              <wp:simplePos x="0" y="0"/>
              <wp:positionH relativeFrom="page">
                <wp:posOffset>1780540</wp:posOffset>
              </wp:positionH>
              <wp:positionV relativeFrom="page">
                <wp:posOffset>302260</wp:posOffset>
              </wp:positionV>
              <wp:extent cx="3066415" cy="79375"/>
              <wp:effectExtent l="0" t="0" r="0" b="0"/>
              <wp:wrapNone/>
              <wp:docPr id="1307" name="Shape 1307"/>
              <wp:cNvGraphicFramePr/>
              <a:graphic xmlns:a="http://schemas.openxmlformats.org/drawingml/2006/main">
                <a:graphicData uri="http://schemas.microsoft.com/office/word/2010/wordprocessingShape">
                  <wps:wsp>
                    <wps:cNvSpPr txBox="1"/>
                    <wps:spPr>
                      <a:xfrm>
                        <a:off x="0" y="0"/>
                        <a:ext cx="3066415" cy="79375"/>
                      </a:xfrm>
                      <a:prstGeom prst="rect">
                        <a:avLst/>
                      </a:prstGeom>
                      <a:noFill/>
                    </wps:spPr>
                    <wps:txbx>
                      <w:txbxContent>
                        <w:p w14:paraId="6240F3E5" w14:textId="77777777" w:rsidR="00D03C17" w:rsidRDefault="00D03C17">
                          <w:pPr>
                            <w:pStyle w:val="Headerorfooter0"/>
                            <w:tabs>
                              <w:tab w:val="right" w:pos="4829"/>
                            </w:tabs>
                            <w:rPr>
                              <w:sz w:val="16"/>
                              <w:szCs w:val="16"/>
                            </w:rPr>
                          </w:pPr>
                          <w:r>
                            <w:t>MORAXELLA CATARRHALIS, INFECCIONES</w:t>
                          </w:r>
                          <w:r>
                            <w:tab/>
                          </w:r>
                          <w:r>
                            <w:rPr>
                              <w:sz w:val="16"/>
                              <w:szCs w:val="16"/>
                            </w:rPr>
                            <w:t>499</w:t>
                          </w:r>
                        </w:p>
                      </w:txbxContent>
                    </wps:txbx>
                    <wps:bodyPr lIns="0" tIns="0" rIns="0" bIns="0">
                      <a:spAutoFit/>
                    </wps:bodyPr>
                  </wps:wsp>
                </a:graphicData>
              </a:graphic>
            </wp:anchor>
          </w:drawing>
        </mc:Choice>
        <mc:Fallback>
          <w:pict>
            <v:shapetype w14:anchorId="528847FB" id="_x0000_t202" coordsize="21600,21600" o:spt="202" path="m,l,21600r21600,l21600,xe">
              <v:stroke joinstyle="miter"/>
              <v:path gradientshapeok="t" o:connecttype="rect"/>
            </v:shapetype>
            <v:shape id="Shape 1307" o:spid="_x0000_s1080" type="#_x0000_t202" style="position:absolute;margin-left:140.2pt;margin-top:23.8pt;width:241.45pt;height:6.25pt;z-index:-251429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" filled="f" stroked="f">
              <v:textbox style="mso-fit-shape-to-text:t" inset="0,0,0,0">
                <w:txbxContent>
                  <w:p w14:paraId="6240F3E5" w14:textId="77777777" w:rsidR="00D03C17" w:rsidRDefault="00D03C17">
                    <w:pPr>
                      <w:pStyle w:val="Headerorfooter0"/>
                      <w:tabs>
                        <w:tab w:val="right" w:pos="4829"/>
                      </w:tabs>
                      <w:rPr>
                        <w:sz w:val="16"/>
                        <w:szCs w:val="16"/>
                      </w:rPr>
                    </w:pPr>
                    <w:r>
                      <w:t>MORAXELLA CATARRHALIS, INFECCIONES</w:t>
                    </w:r>
                    <w:r>
                      <w:tab/>
                    </w:r>
                    <w:r>
                      <w:rPr>
                        <w:sz w:val="16"/>
                        <w:szCs w:val="16"/>
                      </w:rPr>
                      <w:t>499</w:t>
                    </w:r>
                  </w:p>
                </w:txbxContent>
              </v:textbox>
              <w10:wrap anchorx="page" anchory="page"/>
            </v:shape>
          </w:pict>
        </mc:Fallback>
      </mc:AlternateContent>
    </w:r>
    <w:r>
      <w:rPr>
        <w:noProof/>
      </w:rPr>
      <mc:AlternateContent>
        <mc:Choice Requires="wps">
          <w:drawing>
            <wp:anchor distT="0" distB="0" distL="114300" distR="114300" simplePos="0" relativeHeight="251686912" behindDoc="1" locked="0" layoutInCell="1" allowOverlap="1" wp14:anchorId="5BA5DB4A" wp14:editId="04DA9F92">
              <wp:simplePos x="0" y="0"/>
              <wp:positionH relativeFrom="page">
                <wp:posOffset>509270</wp:posOffset>
              </wp:positionH>
              <wp:positionV relativeFrom="page">
                <wp:posOffset>410210</wp:posOffset>
              </wp:positionV>
              <wp:extent cx="4358640" cy="0"/>
              <wp:effectExtent l="0" t="0" r="0" b="0"/>
              <wp:wrapNone/>
              <wp:docPr id="1309" name="Shape 1309"/>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7221C7CF" id="_x0000_t32" coordsize="21600,21600" o:spt="32" o:oned="t" path="m,l21600,21600e" filled="f">
              <v:path arrowok="t" fillok="f" o:connecttype="none"/>
              <o:lock v:ext="edit" shapetype="t"/>
            </v:shapetype>
            <v:shape id="Shape 1309" o:spid="_x0000_s1026" type="#_x0000_t32" style="position:absolute;margin-left:40.1pt;margin-top:32.3pt;width:343.2pt;height:0;z-index:-25162956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" strokeweight="1pt">
              <w10:wrap anchorx="page" anchory="page"/>
            </v:shape>
          </w:pict>
        </mc:Fallback>
      </mc:AlternateConten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6E4BF" w14:textId="77777777" w:rsidR="00D03C17" w:rsidRDefault="00D03C17">
    <w:pPr>
      <w:spacing w:line="1" w:lineRule="exact"/>
    </w:pPr>
    <w:r>
      <w:rPr>
        <w:noProof/>
      </w:rPr>
      <mc:AlternateContent>
        <mc:Choice Requires="wps">
          <w:drawing>
            <wp:anchor distT="0" distB="0" distL="0" distR="0" simplePos="0" relativeHeight="251889664" behindDoc="1" locked="0" layoutInCell="1" allowOverlap="1" wp14:anchorId="522856EA" wp14:editId="709B35A8">
              <wp:simplePos x="0" y="0"/>
              <wp:positionH relativeFrom="page">
                <wp:posOffset>523240</wp:posOffset>
              </wp:positionH>
              <wp:positionV relativeFrom="page">
                <wp:posOffset>311150</wp:posOffset>
              </wp:positionV>
              <wp:extent cx="2447290" cy="69850"/>
              <wp:effectExtent l="0" t="0" r="0" b="0"/>
              <wp:wrapNone/>
              <wp:docPr id="1316" name="Shape 1316"/>
              <wp:cNvGraphicFramePr/>
              <a:graphic xmlns:a="http://schemas.openxmlformats.org/drawingml/2006/main">
                <a:graphicData uri="http://schemas.microsoft.com/office/word/2010/wordprocessingShape">
                  <wps:wsp>
                    <wps:cNvSpPr txBox="1"/>
                    <wps:spPr>
                      <a:xfrm>
                        <a:off x="0" y="0"/>
                        <a:ext cx="2447290" cy="69850"/>
                      </a:xfrm>
                      <a:prstGeom prst="rect">
                        <a:avLst/>
                      </a:prstGeom>
                      <a:noFill/>
                    </wps:spPr>
                    <wps:txbx>
                      <w:txbxContent>
                        <w:p w14:paraId="60C790C6" w14:textId="77777777" w:rsidR="00D03C17" w:rsidRDefault="00D03C17">
                          <w:pPr>
                            <w:pStyle w:val="Headerorfooter0"/>
                            <w:tabs>
                              <w:tab w:val="right" w:pos="3854"/>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PARASITOSIS</w:t>
                          </w:r>
                        </w:p>
                      </w:txbxContent>
                    </wps:txbx>
                    <wps:bodyPr lIns="0" tIns="0" rIns="0" bIns="0">
                      <a:spAutoFit/>
                    </wps:bodyPr>
                  </wps:wsp>
                </a:graphicData>
              </a:graphic>
            </wp:anchor>
          </w:drawing>
        </mc:Choice>
        <mc:Fallback>
          <w:pict>
            <v:shapetype w14:anchorId="522856EA" id="_x0000_t202" coordsize="21600,21600" o:spt="202" path="m,l,21600r21600,l21600,xe">
              <v:stroke joinstyle="miter"/>
              <v:path gradientshapeok="t" o:connecttype="rect"/>
            </v:shapetype>
            <v:shape id="Shape 1316" o:spid="_x0000_s1081" type="#_x0000_t202" style="position:absolute;margin-left:41.2pt;margin-top:24.5pt;width:192.7pt;height:5.5pt;z-index:-251426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" filled="f" stroked="f">
              <v:textbox style="mso-fit-shape-to-text:t" inset="0,0,0,0">
                <w:txbxContent>
                  <w:p w14:paraId="60C790C6" w14:textId="77777777" w:rsidR="00D03C17" w:rsidRDefault="00D03C17">
                    <w:pPr>
                      <w:pStyle w:val="Headerorfooter0"/>
                      <w:tabs>
                        <w:tab w:val="right" w:pos="3854"/>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PARASITOSIS</w:t>
                    </w:r>
                  </w:p>
                </w:txbxContent>
              </v:textbox>
              <w10:wrap anchorx="page" anchory="page"/>
            </v:shape>
          </w:pict>
        </mc:Fallback>
      </mc:AlternateContent>
    </w:r>
    <w:r>
      <w:rPr>
        <w:noProof/>
      </w:rPr>
      <mc:AlternateContent>
        <mc:Choice Requires="wps">
          <w:drawing>
            <wp:anchor distT="0" distB="0" distL="114300" distR="114300" simplePos="0" relativeHeight="251689984" behindDoc="1" locked="0" layoutInCell="1" allowOverlap="1" wp14:anchorId="0D666864" wp14:editId="2CBF8FA2">
              <wp:simplePos x="0" y="0"/>
              <wp:positionH relativeFrom="page">
                <wp:posOffset>508000</wp:posOffset>
              </wp:positionH>
              <wp:positionV relativeFrom="page">
                <wp:posOffset>419735</wp:posOffset>
              </wp:positionV>
              <wp:extent cx="4358640" cy="0"/>
              <wp:effectExtent l="0" t="0" r="0" b="0"/>
              <wp:wrapNone/>
              <wp:docPr id="1318" name="Shape 1318"/>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5BCCE589" id="_x0000_t32" coordsize="21600,21600" o:spt="32" o:oned="t" path="m,l21600,21600e" filled="f">
              <v:path arrowok="t" fillok="f" o:connecttype="none"/>
              <o:lock v:ext="edit" shapetype="t"/>
            </v:shapetype>
            <v:shape id="Shape 1318" o:spid="_x0000_s1026" type="#_x0000_t32" style="position:absolute;margin-left:40pt;margin-top:33.05pt;width:343.2pt;height:0;z-index:-25162649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" strokeweight="1pt">
              <w10:wrap anchorx="page" anchory="page"/>
            </v:shape>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394BD" w14:textId="77777777" w:rsidR="00D03C17" w:rsidRDefault="00D03C17">
    <w:pPr>
      <w:spacing w:line="1" w:lineRule="exact"/>
    </w:pPr>
    <w:r>
      <w:rPr>
        <w:noProof/>
      </w:rPr>
      <mc:AlternateContent>
        <mc:Choice Requires="wps">
          <w:drawing>
            <wp:anchor distT="0" distB="0" distL="0" distR="0" simplePos="0" relativeHeight="251888640" behindDoc="1" locked="0" layoutInCell="1" allowOverlap="1" wp14:anchorId="4BF60262" wp14:editId="37C63CD9">
              <wp:simplePos x="0" y="0"/>
              <wp:positionH relativeFrom="page">
                <wp:posOffset>523240</wp:posOffset>
              </wp:positionH>
              <wp:positionV relativeFrom="page">
                <wp:posOffset>311150</wp:posOffset>
              </wp:positionV>
              <wp:extent cx="2447290" cy="69850"/>
              <wp:effectExtent l="0" t="0" r="0" b="0"/>
              <wp:wrapNone/>
              <wp:docPr id="1313" name="Shape 1313"/>
              <wp:cNvGraphicFramePr/>
              <a:graphic xmlns:a="http://schemas.openxmlformats.org/drawingml/2006/main">
                <a:graphicData uri="http://schemas.microsoft.com/office/word/2010/wordprocessingShape">
                  <wps:wsp>
                    <wps:cNvSpPr txBox="1"/>
                    <wps:spPr>
                      <a:xfrm>
                        <a:off x="0" y="0"/>
                        <a:ext cx="2447290" cy="69850"/>
                      </a:xfrm>
                      <a:prstGeom prst="rect">
                        <a:avLst/>
                      </a:prstGeom>
                      <a:noFill/>
                    </wps:spPr>
                    <wps:txbx>
                      <w:txbxContent>
                        <w:p w14:paraId="100C422F" w14:textId="77777777" w:rsidR="00D03C17" w:rsidRDefault="00D03C17">
                          <w:pPr>
                            <w:pStyle w:val="Headerorfooter0"/>
                            <w:tabs>
                              <w:tab w:val="right" w:pos="3854"/>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PARASITOSIS</w:t>
                          </w:r>
                        </w:p>
                      </w:txbxContent>
                    </wps:txbx>
                    <wps:bodyPr lIns="0" tIns="0" rIns="0" bIns="0">
                      <a:spAutoFit/>
                    </wps:bodyPr>
                  </wps:wsp>
                </a:graphicData>
              </a:graphic>
            </wp:anchor>
          </w:drawing>
        </mc:Choice>
        <mc:Fallback>
          <w:pict>
            <v:shapetype w14:anchorId="4BF60262" id="_x0000_t202" coordsize="21600,21600" o:spt="202" path="m,l,21600r21600,l21600,xe">
              <v:stroke joinstyle="miter"/>
              <v:path gradientshapeok="t" o:connecttype="rect"/>
            </v:shapetype>
            <v:shape id="Shape 1313" o:spid="_x0000_s1082" type="#_x0000_t202" style="position:absolute;margin-left:41.2pt;margin-top:24.5pt;width:192.7pt;height:5.5pt;z-index:-251427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" filled="f" stroked="f">
              <v:textbox style="mso-fit-shape-to-text:t" inset="0,0,0,0">
                <w:txbxContent>
                  <w:p w14:paraId="100C422F" w14:textId="77777777" w:rsidR="00D03C17" w:rsidRDefault="00D03C17">
                    <w:pPr>
                      <w:pStyle w:val="Headerorfooter0"/>
                      <w:tabs>
                        <w:tab w:val="right" w:pos="3854"/>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PARASITOSIS</w:t>
                    </w:r>
                  </w:p>
                </w:txbxContent>
              </v:textbox>
              <w10:wrap anchorx="page" anchory="page"/>
            </v:shape>
          </w:pict>
        </mc:Fallback>
      </mc:AlternateContent>
    </w:r>
    <w:r>
      <w:rPr>
        <w:noProof/>
      </w:rPr>
      <mc:AlternateContent>
        <mc:Choice Requires="wps">
          <w:drawing>
            <wp:anchor distT="0" distB="0" distL="114300" distR="114300" simplePos="0" relativeHeight="251688960" behindDoc="1" locked="0" layoutInCell="1" allowOverlap="1" wp14:anchorId="4B19231A" wp14:editId="1E648738">
              <wp:simplePos x="0" y="0"/>
              <wp:positionH relativeFrom="page">
                <wp:posOffset>508000</wp:posOffset>
              </wp:positionH>
              <wp:positionV relativeFrom="page">
                <wp:posOffset>419735</wp:posOffset>
              </wp:positionV>
              <wp:extent cx="4358640" cy="0"/>
              <wp:effectExtent l="0" t="0" r="0" b="0"/>
              <wp:wrapNone/>
              <wp:docPr id="1315" name="Shape 1315"/>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77C38BE9" id="_x0000_t32" coordsize="21600,21600" o:spt="32" o:oned="t" path="m,l21600,21600e" filled="f">
              <v:path arrowok="t" fillok="f" o:connecttype="none"/>
              <o:lock v:ext="edit" shapetype="t"/>
            </v:shapetype>
            <v:shape id="Shape 1315" o:spid="_x0000_s1026" type="#_x0000_t32" style="position:absolute;margin-left:40pt;margin-top:33.05pt;width:343.2pt;height:0;z-index:-25162752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" strokeweight="1pt">
              <w10:wrap anchorx="page" anchory="page"/>
            </v:shape>
          </w:pict>
        </mc:Fallback>
      </mc:AlternateConten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1C278" w14:textId="77777777" w:rsidR="00D03C17" w:rsidRDefault="00D03C17"/>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F2A0C" w14:textId="77777777" w:rsidR="00D03C17" w:rsidRDefault="00D03C17"/>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6C687" w14:textId="77777777" w:rsidR="00D03C17" w:rsidRDefault="00D03C17">
    <w:pPr>
      <w:spacing w:line="1" w:lineRule="exact"/>
    </w:pPr>
    <w:r>
      <w:rPr>
        <w:noProof/>
      </w:rPr>
      <mc:AlternateContent>
        <mc:Choice Requires="wps">
          <w:drawing>
            <wp:anchor distT="0" distB="0" distL="0" distR="0" simplePos="0" relativeHeight="251891712" behindDoc="1" locked="0" layoutInCell="1" allowOverlap="1" wp14:anchorId="11A442F8" wp14:editId="65A9CC7A">
              <wp:simplePos x="0" y="0"/>
              <wp:positionH relativeFrom="page">
                <wp:posOffset>539750</wp:posOffset>
              </wp:positionH>
              <wp:positionV relativeFrom="page">
                <wp:posOffset>313690</wp:posOffset>
              </wp:positionV>
              <wp:extent cx="2429510" cy="69850"/>
              <wp:effectExtent l="0" t="0" r="0" b="0"/>
              <wp:wrapNone/>
              <wp:docPr id="1322" name="Shape 1322"/>
              <wp:cNvGraphicFramePr/>
              <a:graphic xmlns:a="http://schemas.openxmlformats.org/drawingml/2006/main">
                <a:graphicData uri="http://schemas.microsoft.com/office/word/2010/wordprocessingShape">
                  <wps:wsp>
                    <wps:cNvSpPr txBox="1"/>
                    <wps:spPr>
                      <a:xfrm>
                        <a:off x="0" y="0"/>
                        <a:ext cx="2429510" cy="69850"/>
                      </a:xfrm>
                      <a:prstGeom prst="rect">
                        <a:avLst/>
                      </a:prstGeom>
                      <a:noFill/>
                    </wps:spPr>
                    <wps:txbx>
                      <w:txbxContent>
                        <w:p w14:paraId="445A4534" w14:textId="77777777" w:rsidR="00D03C17" w:rsidRDefault="00D03C17">
                          <w:pPr>
                            <w:pStyle w:val="Headerorfooter0"/>
                            <w:tabs>
                              <w:tab w:val="right" w:pos="3826"/>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PAROTIDITIS</w:t>
                          </w:r>
                        </w:p>
                      </w:txbxContent>
                    </wps:txbx>
                    <wps:bodyPr lIns="0" tIns="0" rIns="0" bIns="0">
                      <a:spAutoFit/>
                    </wps:bodyPr>
                  </wps:wsp>
                </a:graphicData>
              </a:graphic>
            </wp:anchor>
          </w:drawing>
        </mc:Choice>
        <mc:Fallback>
          <w:pict>
            <v:shapetype w14:anchorId="11A442F8" id="_x0000_t202" coordsize="21600,21600" o:spt="202" path="m,l,21600r21600,l21600,xe">
              <v:stroke joinstyle="miter"/>
              <v:path gradientshapeok="t" o:connecttype="rect"/>
            </v:shapetype>
            <v:shape id="Shape 1322" o:spid="_x0000_s1083" type="#_x0000_t202" style="position:absolute;margin-left:42.5pt;margin-top:24.7pt;width:191.3pt;height:5.5pt;z-index:-251424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" filled="f" stroked="f">
              <v:textbox style="mso-fit-shape-to-text:t" inset="0,0,0,0">
                <w:txbxContent>
                  <w:p w14:paraId="445A4534" w14:textId="77777777" w:rsidR="00D03C17" w:rsidRDefault="00D03C17">
                    <w:pPr>
                      <w:pStyle w:val="Headerorfooter0"/>
                      <w:tabs>
                        <w:tab w:val="right" w:pos="3826"/>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PAROTIDITIS</w:t>
                    </w:r>
                  </w:p>
                </w:txbxContent>
              </v:textbox>
              <w10:wrap anchorx="page" anchory="page"/>
            </v:shape>
          </w:pict>
        </mc:Fallback>
      </mc:AlternateContent>
    </w:r>
    <w:r>
      <w:rPr>
        <w:noProof/>
      </w:rPr>
      <mc:AlternateContent>
        <mc:Choice Requires="wps">
          <w:drawing>
            <wp:anchor distT="0" distB="0" distL="114300" distR="114300" simplePos="0" relativeHeight="251692032" behindDoc="1" locked="0" layoutInCell="1" allowOverlap="1" wp14:anchorId="3E1660DA" wp14:editId="7B8E60AF">
              <wp:simplePos x="0" y="0"/>
              <wp:positionH relativeFrom="page">
                <wp:posOffset>524510</wp:posOffset>
              </wp:positionH>
              <wp:positionV relativeFrom="page">
                <wp:posOffset>421640</wp:posOffset>
              </wp:positionV>
              <wp:extent cx="4358640" cy="0"/>
              <wp:effectExtent l="0" t="0" r="0" b="0"/>
              <wp:wrapNone/>
              <wp:docPr id="1324" name="Shape 1324"/>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3AE2232F" id="_x0000_t32" coordsize="21600,21600" o:spt="32" o:oned="t" path="m,l21600,21600e" filled="f">
              <v:path arrowok="t" fillok="f" o:connecttype="none"/>
              <o:lock v:ext="edit" shapetype="t"/>
            </v:shapetype>
            <v:shape id="Shape 1324" o:spid="_x0000_s1026" type="#_x0000_t32" style="position:absolute;margin-left:41.3pt;margin-top:33.2pt;width:343.2pt;height:0;z-index:-25162444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" strokeweight="1pt">
              <w10:wrap anchorx="page" anchory="page"/>
            </v:shape>
          </w:pict>
        </mc:Fallback>
      </mc:AlternateConten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67FC2" w14:textId="77777777" w:rsidR="00D03C17" w:rsidRDefault="00D03C17">
    <w:pPr>
      <w:spacing w:line="1" w:lineRule="exact"/>
    </w:pPr>
    <w:r>
      <w:rPr>
        <w:noProof/>
      </w:rPr>
      <mc:AlternateContent>
        <mc:Choice Requires="wps">
          <w:drawing>
            <wp:anchor distT="0" distB="0" distL="0" distR="0" simplePos="0" relativeHeight="251890688" behindDoc="1" locked="0" layoutInCell="1" allowOverlap="1" wp14:anchorId="20202372" wp14:editId="0BFC8849">
              <wp:simplePos x="0" y="0"/>
              <wp:positionH relativeFrom="page">
                <wp:posOffset>2423795</wp:posOffset>
              </wp:positionH>
              <wp:positionV relativeFrom="page">
                <wp:posOffset>313690</wp:posOffset>
              </wp:positionV>
              <wp:extent cx="2423160" cy="69850"/>
              <wp:effectExtent l="0" t="0" r="0" b="0"/>
              <wp:wrapNone/>
              <wp:docPr id="1319" name="Shape 1319"/>
              <wp:cNvGraphicFramePr/>
              <a:graphic xmlns:a="http://schemas.openxmlformats.org/drawingml/2006/main">
                <a:graphicData uri="http://schemas.microsoft.com/office/word/2010/wordprocessingShape">
                  <wps:wsp>
                    <wps:cNvSpPr txBox="1"/>
                    <wps:spPr>
                      <a:xfrm>
                        <a:off x="0" y="0"/>
                        <a:ext cx="2423160" cy="69850"/>
                      </a:xfrm>
                      <a:prstGeom prst="rect">
                        <a:avLst/>
                      </a:prstGeom>
                      <a:noFill/>
                    </wps:spPr>
                    <wps:txbx>
                      <w:txbxContent>
                        <w:p w14:paraId="4E52C746" w14:textId="77777777" w:rsidR="00D03C17" w:rsidRDefault="00D03C17">
                          <w:pPr>
                            <w:pStyle w:val="Headerorfooter0"/>
                            <w:tabs>
                              <w:tab w:val="right" w:pos="3816"/>
                            </w:tabs>
                            <w:rPr>
                              <w:sz w:val="16"/>
                              <w:szCs w:val="16"/>
                            </w:rPr>
                          </w:pPr>
                          <w:r>
                            <w:t>PAROTIDITIS</w:t>
                          </w:r>
                          <w:r>
                            <w:tab/>
                          </w:r>
                          <w:r>
                            <w:fldChar w:fldCharType="begin"/>
                          </w:r>
                          <w:r>
                            <w:instrText xml:space="preserve"> PAGE \* MERGEFORMAT </w:instrText>
                          </w:r>
                          <w:r>
                            <w:fldChar w:fldCharType="separate"/>
                          </w:r>
                          <w:r>
                            <w:rPr>
                              <w:sz w:val="16"/>
                              <w:szCs w:val="16"/>
                            </w:rPr>
                            <w:t>#</w:t>
                          </w:r>
                          <w:r>
                            <w:rPr>
                              <w:sz w:val="16"/>
                              <w:szCs w:val="16"/>
                            </w:rPr>
                            <w:fldChar w:fldCharType="end"/>
                          </w:r>
                        </w:p>
                      </w:txbxContent>
                    </wps:txbx>
                    <wps:bodyPr lIns="0" tIns="0" rIns="0" bIns="0">
                      <a:spAutoFit/>
                    </wps:bodyPr>
                  </wps:wsp>
                </a:graphicData>
              </a:graphic>
            </wp:anchor>
          </w:drawing>
        </mc:Choice>
        <mc:Fallback>
          <w:pict>
            <v:shapetype w14:anchorId="20202372" id="_x0000_t202" coordsize="21600,21600" o:spt="202" path="m,l,21600r21600,l21600,xe">
              <v:stroke joinstyle="miter"/>
              <v:path gradientshapeok="t" o:connecttype="rect"/>
            </v:shapetype>
            <v:shape id="Shape 1319" o:spid="_x0000_s1084" type="#_x0000_t202" style="position:absolute;margin-left:190.85pt;margin-top:24.7pt;width:190.8pt;height:5.5pt;z-index:-251425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" filled="f" stroked="f">
              <v:textbox style="mso-fit-shape-to-text:t" inset="0,0,0,0">
                <w:txbxContent>
                  <w:p w14:paraId="4E52C746" w14:textId="77777777" w:rsidR="00D03C17" w:rsidRDefault="00D03C17">
                    <w:pPr>
                      <w:pStyle w:val="Headerorfooter0"/>
                      <w:tabs>
                        <w:tab w:val="right" w:pos="3816"/>
                      </w:tabs>
                      <w:rPr>
                        <w:sz w:val="16"/>
                        <w:szCs w:val="16"/>
                      </w:rPr>
                    </w:pPr>
                    <w:r>
                      <w:t>PAROTIDITIS</w:t>
                    </w:r>
                    <w:r>
                      <w:tab/>
                    </w:r>
                    <w:r>
                      <w:fldChar w:fldCharType="begin"/>
                    </w:r>
                    <w:r>
                      <w:instrText xml:space="preserve"> PAGE \* MERGEFORMAT </w:instrText>
                    </w:r>
                    <w:r>
                      <w:fldChar w:fldCharType="separate"/>
                    </w:r>
                    <w:r>
                      <w:rPr>
                        <w:sz w:val="16"/>
                        <w:szCs w:val="16"/>
                      </w:rPr>
                      <w:t>#</w:t>
                    </w:r>
                    <w:r>
                      <w:rPr>
                        <w:sz w:val="16"/>
                        <w:szCs w:val="1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91008" behindDoc="1" locked="0" layoutInCell="1" allowOverlap="1" wp14:anchorId="72051103" wp14:editId="476A9EA5">
              <wp:simplePos x="0" y="0"/>
              <wp:positionH relativeFrom="page">
                <wp:posOffset>509270</wp:posOffset>
              </wp:positionH>
              <wp:positionV relativeFrom="page">
                <wp:posOffset>421640</wp:posOffset>
              </wp:positionV>
              <wp:extent cx="4358640" cy="0"/>
              <wp:effectExtent l="0" t="0" r="0" b="0"/>
              <wp:wrapNone/>
              <wp:docPr id="1321" name="Shape 1321"/>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169E6436" id="_x0000_t32" coordsize="21600,21600" o:spt="32" o:oned="t" path="m,l21600,21600e" filled="f">
              <v:path arrowok="t" fillok="f" o:connecttype="none"/>
              <o:lock v:ext="edit" shapetype="t"/>
            </v:shapetype>
            <v:shape id="Shape 1321" o:spid="_x0000_s1026" type="#_x0000_t32" style="position:absolute;margin-left:40.1pt;margin-top:33.2pt;width:343.2pt;height:0;z-index:-25162547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" strokeweight="1pt">
              <w10:wrap anchorx="page" anchory="page"/>
            </v:shape>
          </w:pict>
        </mc:Fallback>
      </mc:AlternateConten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0691D" w14:textId="77777777" w:rsidR="00D03C17" w:rsidRDefault="00D03C17">
    <w:pPr>
      <w:spacing w:line="1" w:lineRule="exact"/>
    </w:pPr>
    <w:r>
      <w:rPr>
        <w:noProof/>
      </w:rPr>
      <mc:AlternateContent>
        <mc:Choice Requires="wps">
          <w:drawing>
            <wp:anchor distT="0" distB="0" distL="0" distR="0" simplePos="0" relativeHeight="251893760" behindDoc="1" locked="0" layoutInCell="1" allowOverlap="1" wp14:anchorId="6054F1D6" wp14:editId="35CE8D0A">
              <wp:simplePos x="0" y="0"/>
              <wp:positionH relativeFrom="page">
                <wp:posOffset>2330450</wp:posOffset>
              </wp:positionH>
              <wp:positionV relativeFrom="page">
                <wp:posOffset>313690</wp:posOffset>
              </wp:positionV>
              <wp:extent cx="2523490" cy="69850"/>
              <wp:effectExtent l="0" t="0" r="0" b="0"/>
              <wp:wrapNone/>
              <wp:docPr id="1328" name="Shape 1328"/>
              <wp:cNvGraphicFramePr/>
              <a:graphic xmlns:a="http://schemas.openxmlformats.org/drawingml/2006/main">
                <a:graphicData uri="http://schemas.microsoft.com/office/word/2010/wordprocessingShape">
                  <wps:wsp>
                    <wps:cNvSpPr txBox="1"/>
                    <wps:spPr>
                      <a:xfrm>
                        <a:off x="0" y="0"/>
                        <a:ext cx="2523490" cy="69850"/>
                      </a:xfrm>
                      <a:prstGeom prst="rect">
                        <a:avLst/>
                      </a:prstGeom>
                      <a:noFill/>
                    </wps:spPr>
                    <wps:txbx>
                      <w:txbxContent>
                        <w:p w14:paraId="01CEDB6D" w14:textId="77777777" w:rsidR="00D03C17" w:rsidRDefault="00D03C17">
                          <w:pPr>
                            <w:pStyle w:val="Headerorfooter0"/>
                            <w:tabs>
                              <w:tab w:val="right" w:pos="3974"/>
                            </w:tabs>
                            <w:rPr>
                              <w:sz w:val="16"/>
                              <w:szCs w:val="16"/>
                            </w:rPr>
                          </w:pPr>
                          <w:r>
                            <w:t>PARVOVIRUS B19</w:t>
                          </w:r>
                          <w:r>
                            <w:tab/>
                          </w:r>
                          <w:r>
                            <w:fldChar w:fldCharType="begin"/>
                          </w:r>
                          <w:r>
                            <w:instrText xml:space="preserve"> PAGE \* MERGEFORMAT </w:instrText>
                          </w:r>
                          <w:r>
                            <w:fldChar w:fldCharType="separate"/>
                          </w:r>
                          <w:r>
                            <w:rPr>
                              <w:sz w:val="16"/>
                              <w:szCs w:val="16"/>
                            </w:rPr>
                            <w:t>#</w:t>
                          </w:r>
                          <w:r>
                            <w:rPr>
                              <w:sz w:val="16"/>
                              <w:szCs w:val="16"/>
                            </w:rPr>
                            <w:fldChar w:fldCharType="end"/>
                          </w:r>
                        </w:p>
                      </w:txbxContent>
                    </wps:txbx>
                    <wps:bodyPr lIns="0" tIns="0" rIns="0" bIns="0">
                      <a:spAutoFit/>
                    </wps:bodyPr>
                  </wps:wsp>
                </a:graphicData>
              </a:graphic>
            </wp:anchor>
          </w:drawing>
        </mc:Choice>
        <mc:Fallback>
          <w:pict>
            <v:shapetype w14:anchorId="6054F1D6" id="_x0000_t202" coordsize="21600,21600" o:spt="202" path="m,l,21600r21600,l21600,xe">
              <v:stroke joinstyle="miter"/>
              <v:path gradientshapeok="t" o:connecttype="rect"/>
            </v:shapetype>
            <v:shape id="Shape 1328" o:spid="_x0000_s1085" type="#_x0000_t202" style="position:absolute;margin-left:183.5pt;margin-top:24.7pt;width:198.7pt;height:5.5pt;z-index:-251422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" filled="f" stroked="f">
              <v:textbox style="mso-fit-shape-to-text:t" inset="0,0,0,0">
                <w:txbxContent>
                  <w:p w14:paraId="01CEDB6D" w14:textId="77777777" w:rsidR="00D03C17" w:rsidRDefault="00D03C17">
                    <w:pPr>
                      <w:pStyle w:val="Headerorfooter0"/>
                      <w:tabs>
                        <w:tab w:val="right" w:pos="3974"/>
                      </w:tabs>
                      <w:rPr>
                        <w:sz w:val="16"/>
                        <w:szCs w:val="16"/>
                      </w:rPr>
                    </w:pPr>
                    <w:r>
                      <w:t>PARVOVIRUS B19</w:t>
                    </w:r>
                    <w:r>
                      <w:tab/>
                    </w:r>
                    <w:r>
                      <w:fldChar w:fldCharType="begin"/>
                    </w:r>
                    <w:r>
                      <w:instrText xml:space="preserve"> PAGE \* MERGEFORMAT </w:instrText>
                    </w:r>
                    <w:r>
                      <w:fldChar w:fldCharType="separate"/>
                    </w:r>
                    <w:r>
                      <w:rPr>
                        <w:sz w:val="16"/>
                        <w:szCs w:val="16"/>
                      </w:rPr>
                      <w:t>#</w:t>
                    </w:r>
                    <w:r>
                      <w:rPr>
                        <w:sz w:val="16"/>
                        <w:szCs w:val="1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94080" behindDoc="1" locked="0" layoutInCell="1" allowOverlap="1" wp14:anchorId="50057A7E" wp14:editId="7D392702">
              <wp:simplePos x="0" y="0"/>
              <wp:positionH relativeFrom="page">
                <wp:posOffset>516890</wp:posOffset>
              </wp:positionH>
              <wp:positionV relativeFrom="page">
                <wp:posOffset>421640</wp:posOffset>
              </wp:positionV>
              <wp:extent cx="4358640" cy="0"/>
              <wp:effectExtent l="0" t="0" r="0" b="0"/>
              <wp:wrapNone/>
              <wp:docPr id="1330" name="Shape 1330"/>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1D8F48C9" id="_x0000_t32" coordsize="21600,21600" o:spt="32" o:oned="t" path="m,l21600,21600e" filled="f">
              <v:path arrowok="t" fillok="f" o:connecttype="none"/>
              <o:lock v:ext="edit" shapetype="t"/>
            </v:shapetype>
            <v:shape id="Shape 1330" o:spid="_x0000_s1026" type="#_x0000_t32" style="position:absolute;margin-left:40.7pt;margin-top:33.2pt;width:343.2pt;height:0;z-index:-25162240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" strokeweight="1pt">
              <w10:wrap anchorx="page" anchory="page"/>
            </v:shape>
          </w:pict>
        </mc:Fallback>
      </mc:AlternateConten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5CD6C" w14:textId="77777777" w:rsidR="00D03C17" w:rsidRDefault="00D03C17">
    <w:pPr>
      <w:spacing w:line="1" w:lineRule="exact"/>
    </w:pPr>
    <w:r>
      <w:rPr>
        <w:noProof/>
      </w:rPr>
      <mc:AlternateContent>
        <mc:Choice Requires="wps">
          <w:drawing>
            <wp:anchor distT="0" distB="0" distL="0" distR="0" simplePos="0" relativeHeight="251892736" behindDoc="1" locked="0" layoutInCell="1" allowOverlap="1" wp14:anchorId="149A85DE" wp14:editId="070E5F28">
              <wp:simplePos x="0" y="0"/>
              <wp:positionH relativeFrom="page">
                <wp:posOffset>2330450</wp:posOffset>
              </wp:positionH>
              <wp:positionV relativeFrom="page">
                <wp:posOffset>313690</wp:posOffset>
              </wp:positionV>
              <wp:extent cx="2523490" cy="69850"/>
              <wp:effectExtent l="0" t="0" r="0" b="0"/>
              <wp:wrapNone/>
              <wp:docPr id="1325" name="Shape 1325"/>
              <wp:cNvGraphicFramePr/>
              <a:graphic xmlns:a="http://schemas.openxmlformats.org/drawingml/2006/main">
                <a:graphicData uri="http://schemas.microsoft.com/office/word/2010/wordprocessingShape">
                  <wps:wsp>
                    <wps:cNvSpPr txBox="1"/>
                    <wps:spPr>
                      <a:xfrm>
                        <a:off x="0" y="0"/>
                        <a:ext cx="2523490" cy="69850"/>
                      </a:xfrm>
                      <a:prstGeom prst="rect">
                        <a:avLst/>
                      </a:prstGeom>
                      <a:noFill/>
                    </wps:spPr>
                    <wps:txbx>
                      <w:txbxContent>
                        <w:p w14:paraId="4DF38C97" w14:textId="77777777" w:rsidR="00D03C17" w:rsidRDefault="00D03C17">
                          <w:pPr>
                            <w:pStyle w:val="Headerorfooter0"/>
                            <w:tabs>
                              <w:tab w:val="right" w:pos="3974"/>
                            </w:tabs>
                            <w:rPr>
                              <w:sz w:val="16"/>
                              <w:szCs w:val="16"/>
                            </w:rPr>
                          </w:pPr>
                          <w:r>
                            <w:t>PARVOVIRUS B19</w:t>
                          </w:r>
                          <w:r>
                            <w:tab/>
                          </w:r>
                          <w:r>
                            <w:fldChar w:fldCharType="begin"/>
                          </w:r>
                          <w:r>
                            <w:instrText xml:space="preserve"> PAGE \* MERGEFORMAT </w:instrText>
                          </w:r>
                          <w:r>
                            <w:fldChar w:fldCharType="separate"/>
                          </w:r>
                          <w:r>
                            <w:rPr>
                              <w:sz w:val="16"/>
                              <w:szCs w:val="16"/>
                            </w:rPr>
                            <w:t>#</w:t>
                          </w:r>
                          <w:r>
                            <w:rPr>
                              <w:sz w:val="16"/>
                              <w:szCs w:val="16"/>
                            </w:rPr>
                            <w:fldChar w:fldCharType="end"/>
                          </w:r>
                        </w:p>
                      </w:txbxContent>
                    </wps:txbx>
                    <wps:bodyPr lIns="0" tIns="0" rIns="0" bIns="0">
                      <a:spAutoFit/>
                    </wps:bodyPr>
                  </wps:wsp>
                </a:graphicData>
              </a:graphic>
            </wp:anchor>
          </w:drawing>
        </mc:Choice>
        <mc:Fallback>
          <w:pict>
            <v:shapetype w14:anchorId="149A85DE" id="_x0000_t202" coordsize="21600,21600" o:spt="202" path="m,l,21600r21600,l21600,xe">
              <v:stroke joinstyle="miter"/>
              <v:path gradientshapeok="t" o:connecttype="rect"/>
            </v:shapetype>
            <v:shape id="Shape 1325" o:spid="_x0000_s1086" type="#_x0000_t202" style="position:absolute;margin-left:183.5pt;margin-top:24.7pt;width:198.7pt;height:5.5pt;z-index:-251423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" filled="f" stroked="f">
              <v:textbox style="mso-fit-shape-to-text:t" inset="0,0,0,0">
                <w:txbxContent>
                  <w:p w14:paraId="4DF38C97" w14:textId="77777777" w:rsidR="00D03C17" w:rsidRDefault="00D03C17">
                    <w:pPr>
                      <w:pStyle w:val="Headerorfooter0"/>
                      <w:tabs>
                        <w:tab w:val="right" w:pos="3974"/>
                      </w:tabs>
                      <w:rPr>
                        <w:sz w:val="16"/>
                        <w:szCs w:val="16"/>
                      </w:rPr>
                    </w:pPr>
                    <w:r>
                      <w:t>PARVOVIRUS B19</w:t>
                    </w:r>
                    <w:r>
                      <w:tab/>
                    </w:r>
                    <w:r>
                      <w:fldChar w:fldCharType="begin"/>
                    </w:r>
                    <w:r>
                      <w:instrText xml:space="preserve"> PAGE \* MERGEFORMAT </w:instrText>
                    </w:r>
                    <w:r>
                      <w:fldChar w:fldCharType="separate"/>
                    </w:r>
                    <w:r>
                      <w:rPr>
                        <w:sz w:val="16"/>
                        <w:szCs w:val="16"/>
                      </w:rPr>
                      <w:t>#</w:t>
                    </w:r>
                    <w:r>
                      <w:rPr>
                        <w:sz w:val="16"/>
                        <w:szCs w:val="1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93056" behindDoc="1" locked="0" layoutInCell="1" allowOverlap="1" wp14:anchorId="4D653C46" wp14:editId="3FC632DB">
              <wp:simplePos x="0" y="0"/>
              <wp:positionH relativeFrom="page">
                <wp:posOffset>516890</wp:posOffset>
              </wp:positionH>
              <wp:positionV relativeFrom="page">
                <wp:posOffset>421640</wp:posOffset>
              </wp:positionV>
              <wp:extent cx="4358640" cy="0"/>
              <wp:effectExtent l="0" t="0" r="0" b="0"/>
              <wp:wrapNone/>
              <wp:docPr id="1327" name="Shape 1327"/>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590EF2BF" id="_x0000_t32" coordsize="21600,21600" o:spt="32" o:oned="t" path="m,l21600,21600e" filled="f">
              <v:path arrowok="t" fillok="f" o:connecttype="none"/>
              <o:lock v:ext="edit" shapetype="t"/>
            </v:shapetype>
            <v:shape id="Shape 1327" o:spid="_x0000_s1026" type="#_x0000_t32" style="position:absolute;margin-left:40.7pt;margin-top:33.2pt;width:343.2pt;height:0;z-index:-25162342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" strokeweight="1pt">
              <w10:wrap anchorx="page" anchory="page"/>
            </v:shape>
          </w:pict>
        </mc:Fallback>
      </mc:AlternateConten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E922B" w14:textId="77777777" w:rsidR="00D03C17" w:rsidRDefault="00D03C17">
    <w:pPr>
      <w:spacing w:line="1" w:lineRule="exact"/>
    </w:pPr>
    <w:r>
      <w:rPr>
        <w:noProof/>
      </w:rPr>
      <mc:AlternateContent>
        <mc:Choice Requires="wps">
          <w:drawing>
            <wp:anchor distT="0" distB="0" distL="0" distR="0" simplePos="0" relativeHeight="251895808" behindDoc="1" locked="0" layoutInCell="1" allowOverlap="1" wp14:anchorId="3199C4D7" wp14:editId="7321384E">
              <wp:simplePos x="0" y="0"/>
              <wp:positionH relativeFrom="page">
                <wp:posOffset>526415</wp:posOffset>
              </wp:positionH>
              <wp:positionV relativeFrom="page">
                <wp:posOffset>304165</wp:posOffset>
              </wp:positionV>
              <wp:extent cx="3115310" cy="79375"/>
              <wp:effectExtent l="0" t="0" r="0" b="0"/>
              <wp:wrapNone/>
              <wp:docPr id="1334" name="Shape 1334"/>
              <wp:cNvGraphicFramePr/>
              <a:graphic xmlns:a="http://schemas.openxmlformats.org/drawingml/2006/main">
                <a:graphicData uri="http://schemas.microsoft.com/office/word/2010/wordprocessingShape">
                  <wps:wsp>
                    <wps:cNvSpPr txBox="1"/>
                    <wps:spPr>
                      <a:xfrm>
                        <a:off x="0" y="0"/>
                        <a:ext cx="3115310" cy="79375"/>
                      </a:xfrm>
                      <a:prstGeom prst="rect">
                        <a:avLst/>
                      </a:prstGeom>
                      <a:noFill/>
                    </wps:spPr>
                    <wps:txbx>
                      <w:txbxContent>
                        <w:p w14:paraId="339EA69C" w14:textId="77777777" w:rsidR="00D03C17" w:rsidRDefault="00D03C17">
                          <w:pPr>
                            <w:pStyle w:val="Headerorfooter0"/>
                            <w:tabs>
                              <w:tab w:val="right" w:pos="4906"/>
                            </w:tabs>
                          </w:pPr>
                          <w:r>
                            <w:rPr>
                              <w:sz w:val="16"/>
                              <w:szCs w:val="16"/>
                            </w:rPr>
                            <w:t>500</w:t>
                          </w:r>
                          <w:r>
                            <w:rPr>
                              <w:sz w:val="16"/>
                              <w:szCs w:val="16"/>
                            </w:rPr>
                            <w:tab/>
                          </w:r>
                          <w:r>
                            <w:t>MYCOPLASMA PNEUMONIAE, INFECCIONES</w:t>
                          </w:r>
                        </w:p>
                      </w:txbxContent>
                    </wps:txbx>
                    <wps:bodyPr lIns="0" tIns="0" rIns="0" bIns="0">
                      <a:spAutoFit/>
                    </wps:bodyPr>
                  </wps:wsp>
                </a:graphicData>
              </a:graphic>
            </wp:anchor>
          </w:drawing>
        </mc:Choice>
        <mc:Fallback>
          <w:pict>
            <v:shapetype w14:anchorId="3199C4D7" id="_x0000_t202" coordsize="21600,21600" o:spt="202" path="m,l,21600r21600,l21600,xe">
              <v:stroke joinstyle="miter"/>
              <v:path gradientshapeok="t" o:connecttype="rect"/>
            </v:shapetype>
            <v:shape id="Shape 1334" o:spid="_x0000_s1087" type="#_x0000_t202" style="position:absolute;margin-left:41.45pt;margin-top:23.95pt;width:245.3pt;height:6.25pt;z-index:-251420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" filled="f" stroked="f">
              <v:textbox style="mso-fit-shape-to-text:t" inset="0,0,0,0">
                <w:txbxContent>
                  <w:p w14:paraId="339EA69C" w14:textId="77777777" w:rsidR="00D03C17" w:rsidRDefault="00D03C17">
                    <w:pPr>
                      <w:pStyle w:val="Headerorfooter0"/>
                      <w:tabs>
                        <w:tab w:val="right" w:pos="4906"/>
                      </w:tabs>
                    </w:pPr>
                    <w:r>
                      <w:rPr>
                        <w:sz w:val="16"/>
                        <w:szCs w:val="16"/>
                      </w:rPr>
                      <w:t>500</w:t>
                    </w:r>
                    <w:r>
                      <w:rPr>
                        <w:sz w:val="16"/>
                        <w:szCs w:val="16"/>
                      </w:rPr>
                      <w:tab/>
                    </w:r>
                    <w:r>
                      <w:t>MYCOPLASMA PNEUMONIAE, INFECCIONES</w:t>
                    </w:r>
                  </w:p>
                </w:txbxContent>
              </v:textbox>
              <w10:wrap anchorx="page" anchory="page"/>
            </v:shape>
          </w:pict>
        </mc:Fallback>
      </mc:AlternateContent>
    </w:r>
    <w:r>
      <w:rPr>
        <w:noProof/>
      </w:rPr>
      <mc:AlternateContent>
        <mc:Choice Requires="wps">
          <w:drawing>
            <wp:anchor distT="0" distB="0" distL="114300" distR="114300" simplePos="0" relativeHeight="251696128" behindDoc="1" locked="0" layoutInCell="1" allowOverlap="1" wp14:anchorId="5C79FE1F" wp14:editId="4F16D9C8">
              <wp:simplePos x="0" y="0"/>
              <wp:positionH relativeFrom="page">
                <wp:posOffset>511175</wp:posOffset>
              </wp:positionH>
              <wp:positionV relativeFrom="page">
                <wp:posOffset>412750</wp:posOffset>
              </wp:positionV>
              <wp:extent cx="4358640" cy="0"/>
              <wp:effectExtent l="0" t="0" r="0" b="0"/>
              <wp:wrapNone/>
              <wp:docPr id="1336" name="Shape 1336"/>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413BE8C2" id="_x0000_t32" coordsize="21600,21600" o:spt="32" o:oned="t" path="m,l21600,21600e" filled="f">
              <v:path arrowok="t" fillok="f" o:connecttype="none"/>
              <o:lock v:ext="edit" shapetype="t"/>
            </v:shapetype>
            <v:shape id="Shape 1336" o:spid="_x0000_s1026" type="#_x0000_t32" style="position:absolute;margin-left:40.25pt;margin-top:32.5pt;width:343.2pt;height:0;z-index:-25162035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" strokeweight="1pt">
              <w10:wrap anchorx="page" anchory="page"/>
            </v:shape>
          </w:pict>
        </mc:Fallback>
      </mc:AlternateConten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B99B5" w14:textId="77777777" w:rsidR="00D03C17" w:rsidRDefault="00D03C17">
    <w:pPr>
      <w:spacing w:line="1" w:lineRule="exact"/>
    </w:pPr>
    <w:r>
      <w:rPr>
        <w:noProof/>
      </w:rPr>
      <mc:AlternateContent>
        <mc:Choice Requires="wps">
          <w:drawing>
            <wp:anchor distT="0" distB="0" distL="0" distR="0" simplePos="0" relativeHeight="251894784" behindDoc="1" locked="0" layoutInCell="1" allowOverlap="1" wp14:anchorId="3AADA46D" wp14:editId="3289AA1D">
              <wp:simplePos x="0" y="0"/>
              <wp:positionH relativeFrom="page">
                <wp:posOffset>526415</wp:posOffset>
              </wp:positionH>
              <wp:positionV relativeFrom="page">
                <wp:posOffset>304165</wp:posOffset>
              </wp:positionV>
              <wp:extent cx="3115310" cy="79375"/>
              <wp:effectExtent l="0" t="0" r="0" b="0"/>
              <wp:wrapNone/>
              <wp:docPr id="1331" name="Shape 1331"/>
              <wp:cNvGraphicFramePr/>
              <a:graphic xmlns:a="http://schemas.openxmlformats.org/drawingml/2006/main">
                <a:graphicData uri="http://schemas.microsoft.com/office/word/2010/wordprocessingShape">
                  <wps:wsp>
                    <wps:cNvSpPr txBox="1"/>
                    <wps:spPr>
                      <a:xfrm>
                        <a:off x="0" y="0"/>
                        <a:ext cx="3115310" cy="79375"/>
                      </a:xfrm>
                      <a:prstGeom prst="rect">
                        <a:avLst/>
                      </a:prstGeom>
                      <a:noFill/>
                    </wps:spPr>
                    <wps:txbx>
                      <w:txbxContent>
                        <w:p w14:paraId="59AD9F24" w14:textId="77777777" w:rsidR="00D03C17" w:rsidRDefault="00D03C17">
                          <w:pPr>
                            <w:pStyle w:val="Headerorfooter0"/>
                            <w:tabs>
                              <w:tab w:val="right" w:pos="4906"/>
                            </w:tabs>
                          </w:pPr>
                          <w:r>
                            <w:rPr>
                              <w:sz w:val="16"/>
                              <w:szCs w:val="16"/>
                            </w:rPr>
                            <w:t>500</w:t>
                          </w:r>
                          <w:r>
                            <w:rPr>
                              <w:sz w:val="16"/>
                              <w:szCs w:val="16"/>
                            </w:rPr>
                            <w:tab/>
                          </w:r>
                          <w:r>
                            <w:t>MYCOPLASMA PNEUMONIAE, INFECCIONES</w:t>
                          </w:r>
                        </w:p>
                      </w:txbxContent>
                    </wps:txbx>
                    <wps:bodyPr lIns="0" tIns="0" rIns="0" bIns="0">
                      <a:spAutoFit/>
                    </wps:bodyPr>
                  </wps:wsp>
                </a:graphicData>
              </a:graphic>
            </wp:anchor>
          </w:drawing>
        </mc:Choice>
        <mc:Fallback>
          <w:pict>
            <v:shapetype w14:anchorId="3AADA46D" id="_x0000_t202" coordsize="21600,21600" o:spt="202" path="m,l,21600r21600,l21600,xe">
              <v:stroke joinstyle="miter"/>
              <v:path gradientshapeok="t" o:connecttype="rect"/>
            </v:shapetype>
            <v:shape id="Shape 1331" o:spid="_x0000_s1088" type="#_x0000_t202" style="position:absolute;margin-left:41.45pt;margin-top:23.95pt;width:245.3pt;height:6.25pt;z-index:-251421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" filled="f" stroked="f">
              <v:textbox style="mso-fit-shape-to-text:t" inset="0,0,0,0">
                <w:txbxContent>
                  <w:p w14:paraId="59AD9F24" w14:textId="77777777" w:rsidR="00D03C17" w:rsidRDefault="00D03C17">
                    <w:pPr>
                      <w:pStyle w:val="Headerorfooter0"/>
                      <w:tabs>
                        <w:tab w:val="right" w:pos="4906"/>
                      </w:tabs>
                    </w:pPr>
                    <w:r>
                      <w:rPr>
                        <w:sz w:val="16"/>
                        <w:szCs w:val="16"/>
                      </w:rPr>
                      <w:t>500</w:t>
                    </w:r>
                    <w:r>
                      <w:rPr>
                        <w:sz w:val="16"/>
                        <w:szCs w:val="16"/>
                      </w:rPr>
                      <w:tab/>
                    </w:r>
                    <w:r>
                      <w:t>MYCOPLASMA PNEUMONIAE, INFECCIONES</w:t>
                    </w:r>
                  </w:p>
                </w:txbxContent>
              </v:textbox>
              <w10:wrap anchorx="page" anchory="page"/>
            </v:shape>
          </w:pict>
        </mc:Fallback>
      </mc:AlternateContent>
    </w:r>
    <w:r>
      <w:rPr>
        <w:noProof/>
      </w:rPr>
      <mc:AlternateContent>
        <mc:Choice Requires="wps">
          <w:drawing>
            <wp:anchor distT="0" distB="0" distL="114300" distR="114300" simplePos="0" relativeHeight="251695104" behindDoc="1" locked="0" layoutInCell="1" allowOverlap="1" wp14:anchorId="664FDD12" wp14:editId="20E0E0C5">
              <wp:simplePos x="0" y="0"/>
              <wp:positionH relativeFrom="page">
                <wp:posOffset>511175</wp:posOffset>
              </wp:positionH>
              <wp:positionV relativeFrom="page">
                <wp:posOffset>412750</wp:posOffset>
              </wp:positionV>
              <wp:extent cx="4358640" cy="0"/>
              <wp:effectExtent l="0" t="0" r="0" b="0"/>
              <wp:wrapNone/>
              <wp:docPr id="1333" name="Shape 1333"/>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0EC39E15" id="_x0000_t32" coordsize="21600,21600" o:spt="32" o:oned="t" path="m,l21600,21600e" filled="f">
              <v:path arrowok="t" fillok="f" o:connecttype="none"/>
              <o:lock v:ext="edit" shapetype="t"/>
            </v:shapetype>
            <v:shape id="Shape 1333" o:spid="_x0000_s1026" type="#_x0000_t32" style="position:absolute;margin-left:40.25pt;margin-top:32.5pt;width:343.2pt;height:0;z-index:-25162137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" strokeweight="1pt">
              <w10:wrap anchorx="page" anchory="page"/>
            </v:shape>
          </w:pict>
        </mc:Fallback>
      </mc:AlternateConten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CD9B2" w14:textId="77777777" w:rsidR="00D03C17" w:rsidRDefault="00D03C17">
    <w:pPr>
      <w:spacing w:line="1" w:lineRule="exact"/>
    </w:pPr>
    <w:r>
      <w:rPr>
        <w:noProof/>
      </w:rPr>
      <mc:AlternateContent>
        <mc:Choice Requires="wps">
          <w:drawing>
            <wp:anchor distT="0" distB="0" distL="0" distR="0" simplePos="0" relativeHeight="251896832" behindDoc="1" locked="0" layoutInCell="1" allowOverlap="1" wp14:anchorId="6E1BA840" wp14:editId="3612926A">
              <wp:simplePos x="0" y="0"/>
              <wp:positionH relativeFrom="page">
                <wp:posOffset>1780540</wp:posOffset>
              </wp:positionH>
              <wp:positionV relativeFrom="page">
                <wp:posOffset>304165</wp:posOffset>
              </wp:positionV>
              <wp:extent cx="3066415" cy="79375"/>
              <wp:effectExtent l="0" t="0" r="0" b="0"/>
              <wp:wrapNone/>
              <wp:docPr id="1337" name="Shape 1337"/>
              <wp:cNvGraphicFramePr/>
              <a:graphic xmlns:a="http://schemas.openxmlformats.org/drawingml/2006/main">
                <a:graphicData uri="http://schemas.microsoft.com/office/word/2010/wordprocessingShape">
                  <wps:wsp>
                    <wps:cNvSpPr txBox="1"/>
                    <wps:spPr>
                      <a:xfrm>
                        <a:off x="0" y="0"/>
                        <a:ext cx="3066415" cy="79375"/>
                      </a:xfrm>
                      <a:prstGeom prst="rect">
                        <a:avLst/>
                      </a:prstGeom>
                      <a:noFill/>
                    </wps:spPr>
                    <wps:txbx>
                      <w:txbxContent>
                        <w:p w14:paraId="5FEFD813" w14:textId="77777777" w:rsidR="00D03C17" w:rsidRDefault="00D03C17">
                          <w:pPr>
                            <w:pStyle w:val="Headerorfooter0"/>
                            <w:tabs>
                              <w:tab w:val="right" w:pos="4829"/>
                            </w:tabs>
                            <w:rPr>
                              <w:sz w:val="16"/>
                              <w:szCs w:val="16"/>
                            </w:rPr>
                          </w:pPr>
                          <w:r>
                            <w:t>MORAXELLA CATARRHALIS, INFECCIONES</w:t>
                          </w:r>
                          <w:r>
                            <w:tab/>
                          </w:r>
                          <w:r>
                            <w:rPr>
                              <w:sz w:val="16"/>
                              <w:szCs w:val="16"/>
                            </w:rPr>
                            <w:t>499</w:t>
                          </w:r>
                        </w:p>
                      </w:txbxContent>
                    </wps:txbx>
                    <wps:bodyPr lIns="0" tIns="0" rIns="0" bIns="0">
                      <a:spAutoFit/>
                    </wps:bodyPr>
                  </wps:wsp>
                </a:graphicData>
              </a:graphic>
            </wp:anchor>
          </w:drawing>
        </mc:Choice>
        <mc:Fallback>
          <w:pict>
            <v:shapetype w14:anchorId="6E1BA840" id="_x0000_t202" coordsize="21600,21600" o:spt="202" path="m,l,21600r21600,l21600,xe">
              <v:stroke joinstyle="miter"/>
              <v:path gradientshapeok="t" o:connecttype="rect"/>
            </v:shapetype>
            <v:shape id="Shape 1337" o:spid="_x0000_s1089" type="#_x0000_t202" style="position:absolute;margin-left:140.2pt;margin-top:23.95pt;width:241.45pt;height:6.25pt;z-index:-251419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" filled="f" stroked="f">
              <v:textbox style="mso-fit-shape-to-text:t" inset="0,0,0,0">
                <w:txbxContent>
                  <w:p w14:paraId="5FEFD813" w14:textId="77777777" w:rsidR="00D03C17" w:rsidRDefault="00D03C17">
                    <w:pPr>
                      <w:pStyle w:val="Headerorfooter0"/>
                      <w:tabs>
                        <w:tab w:val="right" w:pos="4829"/>
                      </w:tabs>
                      <w:rPr>
                        <w:sz w:val="16"/>
                        <w:szCs w:val="16"/>
                      </w:rPr>
                    </w:pPr>
                    <w:r>
                      <w:t>MORAXELLA CATARRHALIS, INFECCIONES</w:t>
                    </w:r>
                    <w:r>
                      <w:tab/>
                    </w:r>
                    <w:r>
                      <w:rPr>
                        <w:sz w:val="16"/>
                        <w:szCs w:val="16"/>
                      </w:rPr>
                      <w:t>499</w:t>
                    </w:r>
                  </w:p>
                </w:txbxContent>
              </v:textbox>
              <w10:wrap anchorx="page" anchory="page"/>
            </v:shape>
          </w:pict>
        </mc:Fallback>
      </mc:AlternateContent>
    </w:r>
    <w:r>
      <w:rPr>
        <w:noProof/>
      </w:rPr>
      <mc:AlternateContent>
        <mc:Choice Requires="wps">
          <w:drawing>
            <wp:anchor distT="0" distB="0" distL="114300" distR="114300" simplePos="0" relativeHeight="251697152" behindDoc="1" locked="0" layoutInCell="1" allowOverlap="1" wp14:anchorId="0187CD65" wp14:editId="51DF49D9">
              <wp:simplePos x="0" y="0"/>
              <wp:positionH relativeFrom="page">
                <wp:posOffset>509270</wp:posOffset>
              </wp:positionH>
              <wp:positionV relativeFrom="page">
                <wp:posOffset>412750</wp:posOffset>
              </wp:positionV>
              <wp:extent cx="4358640" cy="0"/>
              <wp:effectExtent l="0" t="0" r="0" b="0"/>
              <wp:wrapNone/>
              <wp:docPr id="1339" name="Shape 1339"/>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5AFA53F8" id="_x0000_t32" coordsize="21600,21600" o:spt="32" o:oned="t" path="m,l21600,21600e" filled="f">
              <v:path arrowok="t" fillok="f" o:connecttype="none"/>
              <o:lock v:ext="edit" shapetype="t"/>
            </v:shapetype>
            <v:shape id="Shape 1339" o:spid="_x0000_s1026" type="#_x0000_t32" style="position:absolute;margin-left:40.1pt;margin-top:32.5pt;width:343.2pt;height:0;z-index:-25161932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" strokeweight="1pt">
              <w10:wrap anchorx="page" anchory="page"/>
            </v:shape>
          </w:pict>
        </mc:Fallback>
      </mc:AlternateConten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E5448" w14:textId="77777777" w:rsidR="00D03C17" w:rsidRDefault="00D03C17">
    <w:pPr>
      <w:spacing w:line="1" w:lineRule="exact"/>
    </w:pPr>
    <w:r>
      <w:rPr>
        <w:noProof/>
      </w:rPr>
      <mc:AlternateContent>
        <mc:Choice Requires="wps">
          <w:drawing>
            <wp:anchor distT="0" distB="0" distL="0" distR="0" simplePos="0" relativeHeight="251898880" behindDoc="1" locked="0" layoutInCell="1" allowOverlap="1" wp14:anchorId="7E20DF79" wp14:editId="4E2A21DD">
              <wp:simplePos x="0" y="0"/>
              <wp:positionH relativeFrom="page">
                <wp:posOffset>526415</wp:posOffset>
              </wp:positionH>
              <wp:positionV relativeFrom="page">
                <wp:posOffset>304165</wp:posOffset>
              </wp:positionV>
              <wp:extent cx="2816225" cy="79375"/>
              <wp:effectExtent l="0" t="0" r="0" b="0"/>
              <wp:wrapNone/>
              <wp:docPr id="1343" name="Shape 1343"/>
              <wp:cNvGraphicFramePr/>
              <a:graphic xmlns:a="http://schemas.openxmlformats.org/drawingml/2006/main">
                <a:graphicData uri="http://schemas.microsoft.com/office/word/2010/wordprocessingShape">
                  <wps:wsp>
                    <wps:cNvSpPr txBox="1"/>
                    <wps:spPr>
                      <a:xfrm>
                        <a:off x="0" y="0"/>
                        <a:ext cx="2816225" cy="79375"/>
                      </a:xfrm>
                      <a:prstGeom prst="rect">
                        <a:avLst/>
                      </a:prstGeom>
                      <a:noFill/>
                    </wps:spPr>
                    <wps:txbx>
                      <w:txbxContent>
                        <w:p w14:paraId="545072D4" w14:textId="77777777" w:rsidR="00D03C17" w:rsidRDefault="00D03C17">
                          <w:pPr>
                            <w:pStyle w:val="Headerorfooter0"/>
                            <w:tabs>
                              <w:tab w:val="right" w:pos="4435"/>
                            </w:tabs>
                          </w:pPr>
                          <w:r>
                            <w:rPr>
                              <w:sz w:val="16"/>
                              <w:szCs w:val="16"/>
                            </w:rPr>
                            <w:t>502</w:t>
                          </w:r>
                          <w:r>
                            <w:rPr>
                              <w:sz w:val="16"/>
                              <w:szCs w:val="16"/>
                            </w:rPr>
                            <w:tab/>
                          </w:r>
                          <w:r>
                            <w:t>NEUMOCOCOS, INFECCIONES</w:t>
                          </w:r>
                        </w:p>
                      </w:txbxContent>
                    </wps:txbx>
                    <wps:bodyPr lIns="0" tIns="0" rIns="0" bIns="0">
                      <a:spAutoFit/>
                    </wps:bodyPr>
                  </wps:wsp>
                </a:graphicData>
              </a:graphic>
            </wp:anchor>
          </w:drawing>
        </mc:Choice>
        <mc:Fallback>
          <w:pict>
            <v:shapetype w14:anchorId="7E20DF79" id="_x0000_t202" coordsize="21600,21600" o:spt="202" path="m,l,21600r21600,l21600,xe">
              <v:stroke joinstyle="miter"/>
              <v:path gradientshapeok="t" o:connecttype="rect"/>
            </v:shapetype>
            <v:shape id="Shape 1343" o:spid="_x0000_s1090" type="#_x0000_t202" style="position:absolute;margin-left:41.45pt;margin-top:23.95pt;width:221.75pt;height:6.25pt;z-index:-251417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" filled="f" stroked="f">
              <v:textbox style="mso-fit-shape-to-text:t" inset="0,0,0,0">
                <w:txbxContent>
                  <w:p w14:paraId="545072D4" w14:textId="77777777" w:rsidR="00D03C17" w:rsidRDefault="00D03C17">
                    <w:pPr>
                      <w:pStyle w:val="Headerorfooter0"/>
                      <w:tabs>
                        <w:tab w:val="right" w:pos="4435"/>
                      </w:tabs>
                    </w:pPr>
                    <w:r>
                      <w:rPr>
                        <w:sz w:val="16"/>
                        <w:szCs w:val="16"/>
                      </w:rPr>
                      <w:t>502</w:t>
                    </w:r>
                    <w:r>
                      <w:rPr>
                        <w:sz w:val="16"/>
                        <w:szCs w:val="16"/>
                      </w:rPr>
                      <w:tab/>
                    </w:r>
                    <w:r>
                      <w:t>NEUMOCOCOS, INFECCIONES</w:t>
                    </w:r>
                  </w:p>
                </w:txbxContent>
              </v:textbox>
              <w10:wrap anchorx="page" anchory="page"/>
            </v:shape>
          </w:pict>
        </mc:Fallback>
      </mc:AlternateContent>
    </w:r>
    <w:r>
      <w:rPr>
        <w:noProof/>
      </w:rPr>
      <mc:AlternateContent>
        <mc:Choice Requires="wps">
          <w:drawing>
            <wp:anchor distT="0" distB="0" distL="114300" distR="114300" simplePos="0" relativeHeight="251699200" behindDoc="1" locked="0" layoutInCell="1" allowOverlap="1" wp14:anchorId="4161ED55" wp14:editId="64DAABBF">
              <wp:simplePos x="0" y="0"/>
              <wp:positionH relativeFrom="page">
                <wp:posOffset>511175</wp:posOffset>
              </wp:positionH>
              <wp:positionV relativeFrom="page">
                <wp:posOffset>412750</wp:posOffset>
              </wp:positionV>
              <wp:extent cx="4358640" cy="0"/>
              <wp:effectExtent l="0" t="0" r="0" b="0"/>
              <wp:wrapNone/>
              <wp:docPr id="1345" name="Shape 1345"/>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08657DA0" id="_x0000_t32" coordsize="21600,21600" o:spt="32" o:oned="t" path="m,l21600,21600e" filled="f">
              <v:path arrowok="t" fillok="f" o:connecttype="none"/>
              <o:lock v:ext="edit" shapetype="t"/>
            </v:shapetype>
            <v:shape id="Shape 1345" o:spid="_x0000_s1026" type="#_x0000_t32" style="position:absolute;margin-left:40.25pt;margin-top:32.5pt;width:343.2pt;height:0;z-index:-25161728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" strokeweight="1pt">
              <w10:wrap anchorx="page" anchory="page"/>
            </v:shape>
          </w:pict>
        </mc:Fallback>
      </mc:AlternateConten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293F7" w14:textId="77777777" w:rsidR="00D03C17" w:rsidRDefault="00D03C17">
    <w:pPr>
      <w:spacing w:line="1" w:lineRule="exact"/>
    </w:pPr>
    <w:r>
      <w:rPr>
        <w:noProof/>
      </w:rPr>
      <mc:AlternateContent>
        <mc:Choice Requires="wps">
          <w:drawing>
            <wp:anchor distT="0" distB="0" distL="0" distR="0" simplePos="0" relativeHeight="251897856" behindDoc="1" locked="0" layoutInCell="1" allowOverlap="1" wp14:anchorId="33FB9E5F" wp14:editId="56F77023">
              <wp:simplePos x="0" y="0"/>
              <wp:positionH relativeFrom="page">
                <wp:posOffset>526415</wp:posOffset>
              </wp:positionH>
              <wp:positionV relativeFrom="page">
                <wp:posOffset>304165</wp:posOffset>
              </wp:positionV>
              <wp:extent cx="2816225" cy="79375"/>
              <wp:effectExtent l="0" t="0" r="0" b="0"/>
              <wp:wrapNone/>
              <wp:docPr id="1340" name="Shape 1340"/>
              <wp:cNvGraphicFramePr/>
              <a:graphic xmlns:a="http://schemas.openxmlformats.org/drawingml/2006/main">
                <a:graphicData uri="http://schemas.microsoft.com/office/word/2010/wordprocessingShape">
                  <wps:wsp>
                    <wps:cNvSpPr txBox="1"/>
                    <wps:spPr>
                      <a:xfrm>
                        <a:off x="0" y="0"/>
                        <a:ext cx="2816225" cy="79375"/>
                      </a:xfrm>
                      <a:prstGeom prst="rect">
                        <a:avLst/>
                      </a:prstGeom>
                      <a:noFill/>
                    </wps:spPr>
                    <wps:txbx>
                      <w:txbxContent>
                        <w:p w14:paraId="421029DD" w14:textId="77777777" w:rsidR="00D03C17" w:rsidRDefault="00D03C17">
                          <w:pPr>
                            <w:pStyle w:val="Headerorfooter0"/>
                            <w:tabs>
                              <w:tab w:val="right" w:pos="4435"/>
                            </w:tabs>
                          </w:pPr>
                          <w:r>
                            <w:rPr>
                              <w:sz w:val="16"/>
                              <w:szCs w:val="16"/>
                            </w:rPr>
                            <w:t>502</w:t>
                          </w:r>
                          <w:r>
                            <w:rPr>
                              <w:sz w:val="16"/>
                              <w:szCs w:val="16"/>
                            </w:rPr>
                            <w:tab/>
                          </w:r>
                          <w:r>
                            <w:t>NEUMOCOCOS, INFECCIONES</w:t>
                          </w:r>
                        </w:p>
                      </w:txbxContent>
                    </wps:txbx>
                    <wps:bodyPr lIns="0" tIns="0" rIns="0" bIns="0">
                      <a:spAutoFit/>
                    </wps:bodyPr>
                  </wps:wsp>
                </a:graphicData>
              </a:graphic>
            </wp:anchor>
          </w:drawing>
        </mc:Choice>
        <mc:Fallback>
          <w:pict>
            <v:shapetype w14:anchorId="33FB9E5F" id="_x0000_t202" coordsize="21600,21600" o:spt="202" path="m,l,21600r21600,l21600,xe">
              <v:stroke joinstyle="miter"/>
              <v:path gradientshapeok="t" o:connecttype="rect"/>
            </v:shapetype>
            <v:shape id="Shape 1340" o:spid="_x0000_s1091" type="#_x0000_t202" style="position:absolute;margin-left:41.45pt;margin-top:23.95pt;width:221.75pt;height:6.25pt;z-index:-251418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" filled="f" stroked="f">
              <v:textbox style="mso-fit-shape-to-text:t" inset="0,0,0,0">
                <w:txbxContent>
                  <w:p w14:paraId="421029DD" w14:textId="77777777" w:rsidR="00D03C17" w:rsidRDefault="00D03C17">
                    <w:pPr>
                      <w:pStyle w:val="Headerorfooter0"/>
                      <w:tabs>
                        <w:tab w:val="right" w:pos="4435"/>
                      </w:tabs>
                    </w:pPr>
                    <w:r>
                      <w:rPr>
                        <w:sz w:val="16"/>
                        <w:szCs w:val="16"/>
                      </w:rPr>
                      <w:t>502</w:t>
                    </w:r>
                    <w:r>
                      <w:rPr>
                        <w:sz w:val="16"/>
                        <w:szCs w:val="16"/>
                      </w:rPr>
                      <w:tab/>
                    </w:r>
                    <w:r>
                      <w:t>NEUMOCOCOS, INFECCIONES</w:t>
                    </w:r>
                  </w:p>
                </w:txbxContent>
              </v:textbox>
              <w10:wrap anchorx="page" anchory="page"/>
            </v:shape>
          </w:pict>
        </mc:Fallback>
      </mc:AlternateContent>
    </w:r>
    <w:r>
      <w:rPr>
        <w:noProof/>
      </w:rPr>
      <mc:AlternateContent>
        <mc:Choice Requires="wps">
          <w:drawing>
            <wp:anchor distT="0" distB="0" distL="114300" distR="114300" simplePos="0" relativeHeight="251698176" behindDoc="1" locked="0" layoutInCell="1" allowOverlap="1" wp14:anchorId="6D95CF72" wp14:editId="2744355D">
              <wp:simplePos x="0" y="0"/>
              <wp:positionH relativeFrom="page">
                <wp:posOffset>511175</wp:posOffset>
              </wp:positionH>
              <wp:positionV relativeFrom="page">
                <wp:posOffset>412750</wp:posOffset>
              </wp:positionV>
              <wp:extent cx="4358640" cy="0"/>
              <wp:effectExtent l="0" t="0" r="0" b="0"/>
              <wp:wrapNone/>
              <wp:docPr id="1342" name="Shape 1342"/>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1E78914A" id="_x0000_t32" coordsize="21600,21600" o:spt="32" o:oned="t" path="m,l21600,21600e" filled="f">
              <v:path arrowok="t" fillok="f" o:connecttype="none"/>
              <o:lock v:ext="edit" shapetype="t"/>
            </v:shapetype>
            <v:shape id="Shape 1342" o:spid="_x0000_s1026" type="#_x0000_t32" style="position:absolute;margin-left:40.25pt;margin-top:32.5pt;width:343.2pt;height:0;z-index:-25161830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" strokeweight="1pt">
              <w10:wrap anchorx="page" anchory="page"/>
            </v:shape>
          </w:pict>
        </mc:Fallback>
      </mc:AlternateConten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94FE1" w14:textId="77777777" w:rsidR="00D03C17" w:rsidRDefault="00D03C17">
    <w:pPr>
      <w:spacing w:line="1" w:lineRule="exact"/>
    </w:pPr>
    <w:r>
      <w:rPr>
        <w:noProof/>
      </w:rPr>
      <mc:AlternateContent>
        <mc:Choice Requires="wps">
          <w:drawing>
            <wp:anchor distT="0" distB="0" distL="0" distR="0" simplePos="0" relativeHeight="251899904" behindDoc="1" locked="0" layoutInCell="1" allowOverlap="1" wp14:anchorId="7EBFE874" wp14:editId="2345A8C6">
              <wp:simplePos x="0" y="0"/>
              <wp:positionH relativeFrom="page">
                <wp:posOffset>1739265</wp:posOffset>
              </wp:positionH>
              <wp:positionV relativeFrom="page">
                <wp:posOffset>304165</wp:posOffset>
              </wp:positionV>
              <wp:extent cx="3093720" cy="79375"/>
              <wp:effectExtent l="0" t="0" r="0" b="0"/>
              <wp:wrapNone/>
              <wp:docPr id="1346" name="Shape 1346"/>
              <wp:cNvGraphicFramePr/>
              <a:graphic xmlns:a="http://schemas.openxmlformats.org/drawingml/2006/main">
                <a:graphicData uri="http://schemas.microsoft.com/office/word/2010/wordprocessingShape">
                  <wps:wsp>
                    <wps:cNvSpPr txBox="1"/>
                    <wps:spPr>
                      <a:xfrm>
                        <a:off x="0" y="0"/>
                        <a:ext cx="3093720" cy="79375"/>
                      </a:xfrm>
                      <a:prstGeom prst="rect">
                        <a:avLst/>
                      </a:prstGeom>
                      <a:noFill/>
                    </wps:spPr>
                    <wps:txbx>
                      <w:txbxContent>
                        <w:p w14:paraId="331C5431" w14:textId="77777777" w:rsidR="00D03C17" w:rsidRDefault="00D03C17">
                          <w:pPr>
                            <w:pStyle w:val="Headerorfooter0"/>
                            <w:tabs>
                              <w:tab w:val="right" w:pos="4872"/>
                            </w:tabs>
                            <w:rPr>
                              <w:sz w:val="16"/>
                              <w:szCs w:val="16"/>
                            </w:rPr>
                          </w:pPr>
                          <w:r>
                            <w:t>MYCOPLASMA PNEUMONIAE, INFECCIONES</w:t>
                          </w:r>
                          <w:r>
                            <w:tab/>
                          </w:r>
                          <w:r>
                            <w:rPr>
                              <w:sz w:val="16"/>
                              <w:szCs w:val="16"/>
                            </w:rPr>
                            <w:t>501</w:t>
                          </w:r>
                        </w:p>
                      </w:txbxContent>
                    </wps:txbx>
                    <wps:bodyPr lIns="0" tIns="0" rIns="0" bIns="0">
                      <a:spAutoFit/>
                    </wps:bodyPr>
                  </wps:wsp>
                </a:graphicData>
              </a:graphic>
            </wp:anchor>
          </w:drawing>
        </mc:Choice>
        <mc:Fallback>
          <w:pict>
            <v:shapetype w14:anchorId="7EBFE874" id="_x0000_t202" coordsize="21600,21600" o:spt="202" path="m,l,21600r21600,l21600,xe">
              <v:stroke joinstyle="miter"/>
              <v:path gradientshapeok="t" o:connecttype="rect"/>
            </v:shapetype>
            <v:shape id="Shape 1346" o:spid="_x0000_s1092" type="#_x0000_t202" style="position:absolute;margin-left:136.95pt;margin-top:23.95pt;width:243.6pt;height:6.25pt;z-index:-251416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" filled="f" stroked="f">
              <v:textbox style="mso-fit-shape-to-text:t" inset="0,0,0,0">
                <w:txbxContent>
                  <w:p w14:paraId="331C5431" w14:textId="77777777" w:rsidR="00D03C17" w:rsidRDefault="00D03C17">
                    <w:pPr>
                      <w:pStyle w:val="Headerorfooter0"/>
                      <w:tabs>
                        <w:tab w:val="right" w:pos="4872"/>
                      </w:tabs>
                      <w:rPr>
                        <w:sz w:val="16"/>
                        <w:szCs w:val="16"/>
                      </w:rPr>
                    </w:pPr>
                    <w:r>
                      <w:t>MYCOPLASMA PNEUMONIAE, INFECCIONES</w:t>
                    </w:r>
                    <w:r>
                      <w:tab/>
                    </w:r>
                    <w:r>
                      <w:rPr>
                        <w:sz w:val="16"/>
                        <w:szCs w:val="16"/>
                      </w:rPr>
                      <w:t>501</w:t>
                    </w:r>
                  </w:p>
                </w:txbxContent>
              </v:textbox>
              <w10:wrap anchorx="page" anchory="page"/>
            </v:shape>
          </w:pict>
        </mc:Fallback>
      </mc:AlternateContent>
    </w:r>
    <w:r>
      <w:rPr>
        <w:noProof/>
      </w:rPr>
      <mc:AlternateContent>
        <mc:Choice Requires="wps">
          <w:drawing>
            <wp:anchor distT="0" distB="0" distL="114300" distR="114300" simplePos="0" relativeHeight="251700224" behindDoc="1" locked="0" layoutInCell="1" allowOverlap="1" wp14:anchorId="42686682" wp14:editId="3A315401">
              <wp:simplePos x="0" y="0"/>
              <wp:positionH relativeFrom="page">
                <wp:posOffset>511175</wp:posOffset>
              </wp:positionH>
              <wp:positionV relativeFrom="page">
                <wp:posOffset>412750</wp:posOffset>
              </wp:positionV>
              <wp:extent cx="4358640" cy="0"/>
              <wp:effectExtent l="0" t="0" r="0" b="0"/>
              <wp:wrapNone/>
              <wp:docPr id="1348" name="Shape 1348"/>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1BDE87D8" id="_x0000_t32" coordsize="21600,21600" o:spt="32" o:oned="t" path="m,l21600,21600e" filled="f">
              <v:path arrowok="t" fillok="f" o:connecttype="none"/>
              <o:lock v:ext="edit" shapetype="t"/>
            </v:shapetype>
            <v:shape id="Shape 1348" o:spid="_x0000_s1026" type="#_x0000_t32" style="position:absolute;margin-left:40.25pt;margin-top:32.5pt;width:343.2pt;height:0;z-index:-25161625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" strokeweight="1pt">
              <w10:wrap anchorx="page" anchory="page"/>
            </v:shape>
          </w:pict>
        </mc:Fallback>
      </mc:AlternateConten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70100" w14:textId="77777777" w:rsidR="00D03C17" w:rsidRDefault="00D03C17">
    <w:pPr>
      <w:spacing w:line="1" w:lineRule="exact"/>
    </w:pPr>
    <w:r>
      <w:rPr>
        <w:noProof/>
      </w:rPr>
      <mc:AlternateContent>
        <mc:Choice Requires="wps">
          <w:drawing>
            <wp:anchor distT="0" distB="0" distL="0" distR="0" simplePos="0" relativeHeight="251901952" behindDoc="1" locked="0" layoutInCell="1" allowOverlap="1" wp14:anchorId="11708ED8" wp14:editId="2624BE33">
              <wp:simplePos x="0" y="0"/>
              <wp:positionH relativeFrom="page">
                <wp:posOffset>2327910</wp:posOffset>
              </wp:positionH>
              <wp:positionV relativeFrom="page">
                <wp:posOffset>313690</wp:posOffset>
              </wp:positionV>
              <wp:extent cx="2520950" cy="69850"/>
              <wp:effectExtent l="0" t="0" r="0" b="0"/>
              <wp:wrapNone/>
              <wp:docPr id="1352" name="Shape 1352"/>
              <wp:cNvGraphicFramePr/>
              <a:graphic xmlns:a="http://schemas.openxmlformats.org/drawingml/2006/main">
                <a:graphicData uri="http://schemas.microsoft.com/office/word/2010/wordprocessingShape">
                  <wps:wsp>
                    <wps:cNvSpPr txBox="1"/>
                    <wps:spPr>
                      <a:xfrm>
                        <a:off x="0" y="0"/>
                        <a:ext cx="2520950" cy="69850"/>
                      </a:xfrm>
                      <a:prstGeom prst="rect">
                        <a:avLst/>
                      </a:prstGeom>
                      <a:noFill/>
                    </wps:spPr>
                    <wps:txbx>
                      <w:txbxContent>
                        <w:p w14:paraId="27B8751E" w14:textId="77777777" w:rsidR="00D03C17" w:rsidRDefault="00D03C17">
                          <w:pPr>
                            <w:pStyle w:val="Headerorfooter0"/>
                            <w:tabs>
                              <w:tab w:val="right" w:pos="3970"/>
                            </w:tabs>
                            <w:rPr>
                              <w:sz w:val="16"/>
                              <w:szCs w:val="16"/>
                            </w:rPr>
                          </w:pPr>
                          <w:r>
                            <w:t>ONCOCERCOSIS</w:t>
                          </w:r>
                          <w:r>
                            <w:tab/>
                          </w:r>
                          <w:r>
                            <w:rPr>
                              <w:sz w:val="16"/>
                              <w:szCs w:val="16"/>
                            </w:rPr>
                            <w:t>513</w:t>
                          </w:r>
                        </w:p>
                      </w:txbxContent>
                    </wps:txbx>
                    <wps:bodyPr lIns="0" tIns="0" rIns="0" bIns="0">
                      <a:spAutoFit/>
                    </wps:bodyPr>
                  </wps:wsp>
                </a:graphicData>
              </a:graphic>
            </wp:anchor>
          </w:drawing>
        </mc:Choice>
        <mc:Fallback>
          <w:pict>
            <v:shapetype w14:anchorId="11708ED8" id="_x0000_t202" coordsize="21600,21600" o:spt="202" path="m,l,21600r21600,l21600,xe">
              <v:stroke joinstyle="miter"/>
              <v:path gradientshapeok="t" o:connecttype="rect"/>
            </v:shapetype>
            <v:shape id="Shape 1352" o:spid="_x0000_s1093" type="#_x0000_t202" style="position:absolute;margin-left:183.3pt;margin-top:24.7pt;width:198.5pt;height:5.5pt;z-index:-251414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" filled="f" stroked="f">
              <v:textbox style="mso-fit-shape-to-text:t" inset="0,0,0,0">
                <w:txbxContent>
                  <w:p w14:paraId="27B8751E" w14:textId="77777777" w:rsidR="00D03C17" w:rsidRDefault="00D03C17">
                    <w:pPr>
                      <w:pStyle w:val="Headerorfooter0"/>
                      <w:tabs>
                        <w:tab w:val="right" w:pos="3970"/>
                      </w:tabs>
                      <w:rPr>
                        <w:sz w:val="16"/>
                        <w:szCs w:val="16"/>
                      </w:rPr>
                    </w:pPr>
                    <w:r>
                      <w:t>ONCOCERCOSIS</w:t>
                    </w:r>
                    <w:r>
                      <w:tab/>
                    </w:r>
                    <w:r>
                      <w:rPr>
                        <w:sz w:val="16"/>
                        <w:szCs w:val="16"/>
                      </w:rPr>
                      <w:t>513</w:t>
                    </w:r>
                  </w:p>
                </w:txbxContent>
              </v:textbox>
              <w10:wrap anchorx="page" anchory="page"/>
            </v:shape>
          </w:pict>
        </mc:Fallback>
      </mc:AlternateContent>
    </w:r>
    <w:r>
      <w:rPr>
        <w:noProof/>
      </w:rPr>
      <mc:AlternateContent>
        <mc:Choice Requires="wps">
          <w:drawing>
            <wp:anchor distT="0" distB="0" distL="114300" distR="114300" simplePos="0" relativeHeight="251702272" behindDoc="1" locked="0" layoutInCell="1" allowOverlap="1" wp14:anchorId="6AA17A2D" wp14:editId="4FD8ED68">
              <wp:simplePos x="0" y="0"/>
              <wp:positionH relativeFrom="page">
                <wp:posOffset>511175</wp:posOffset>
              </wp:positionH>
              <wp:positionV relativeFrom="page">
                <wp:posOffset>421640</wp:posOffset>
              </wp:positionV>
              <wp:extent cx="4358640" cy="0"/>
              <wp:effectExtent l="0" t="0" r="0" b="0"/>
              <wp:wrapNone/>
              <wp:docPr id="1354" name="Shape 1354"/>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71F9C387" id="_x0000_t32" coordsize="21600,21600" o:spt="32" o:oned="t" path="m,l21600,21600e" filled="f">
              <v:path arrowok="t" fillok="f" o:connecttype="none"/>
              <o:lock v:ext="edit" shapetype="t"/>
            </v:shapetype>
            <v:shape id="Shape 1354" o:spid="_x0000_s1026" type="#_x0000_t32" style="position:absolute;margin-left:40.25pt;margin-top:33.2pt;width:343.2pt;height:0;z-index:-25161420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" strokeweight="1pt">
              <w10:wrap anchorx="page" anchory="page"/>
            </v:shape>
          </w:pict>
        </mc:Fallback>
      </mc:AlternateConten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BB73D" w14:textId="77777777" w:rsidR="00D03C17" w:rsidRDefault="00D03C17">
    <w:pPr>
      <w:spacing w:line="1" w:lineRule="exact"/>
    </w:pPr>
    <w:r>
      <w:rPr>
        <w:noProof/>
      </w:rPr>
      <mc:AlternateContent>
        <mc:Choice Requires="wps">
          <w:drawing>
            <wp:anchor distT="0" distB="0" distL="0" distR="0" simplePos="0" relativeHeight="251900928" behindDoc="1" locked="0" layoutInCell="1" allowOverlap="1" wp14:anchorId="50189F8C" wp14:editId="5BADA5DC">
              <wp:simplePos x="0" y="0"/>
              <wp:positionH relativeFrom="page">
                <wp:posOffset>2327910</wp:posOffset>
              </wp:positionH>
              <wp:positionV relativeFrom="page">
                <wp:posOffset>313690</wp:posOffset>
              </wp:positionV>
              <wp:extent cx="2520950" cy="69850"/>
              <wp:effectExtent l="0" t="0" r="0" b="0"/>
              <wp:wrapNone/>
              <wp:docPr id="1349" name="Shape 1349"/>
              <wp:cNvGraphicFramePr/>
              <a:graphic xmlns:a="http://schemas.openxmlformats.org/drawingml/2006/main">
                <a:graphicData uri="http://schemas.microsoft.com/office/word/2010/wordprocessingShape">
                  <wps:wsp>
                    <wps:cNvSpPr txBox="1"/>
                    <wps:spPr>
                      <a:xfrm>
                        <a:off x="0" y="0"/>
                        <a:ext cx="2520950" cy="69850"/>
                      </a:xfrm>
                      <a:prstGeom prst="rect">
                        <a:avLst/>
                      </a:prstGeom>
                      <a:noFill/>
                    </wps:spPr>
                    <wps:txbx>
                      <w:txbxContent>
                        <w:p w14:paraId="27E9D0D1" w14:textId="77777777" w:rsidR="00D03C17" w:rsidRDefault="00D03C17">
                          <w:pPr>
                            <w:pStyle w:val="Headerorfooter0"/>
                            <w:tabs>
                              <w:tab w:val="right" w:pos="3970"/>
                            </w:tabs>
                            <w:rPr>
                              <w:sz w:val="16"/>
                              <w:szCs w:val="16"/>
                            </w:rPr>
                          </w:pPr>
                          <w:r>
                            <w:t>ONCOCERCOSIS</w:t>
                          </w:r>
                          <w:r>
                            <w:tab/>
                          </w:r>
                          <w:r>
                            <w:rPr>
                              <w:sz w:val="16"/>
                              <w:szCs w:val="16"/>
                            </w:rPr>
                            <w:t>513</w:t>
                          </w:r>
                        </w:p>
                      </w:txbxContent>
                    </wps:txbx>
                    <wps:bodyPr lIns="0" tIns="0" rIns="0" bIns="0">
                      <a:spAutoFit/>
                    </wps:bodyPr>
                  </wps:wsp>
                </a:graphicData>
              </a:graphic>
            </wp:anchor>
          </w:drawing>
        </mc:Choice>
        <mc:Fallback>
          <w:pict>
            <v:shapetype w14:anchorId="50189F8C" id="_x0000_t202" coordsize="21600,21600" o:spt="202" path="m,l,21600r21600,l21600,xe">
              <v:stroke joinstyle="miter"/>
              <v:path gradientshapeok="t" o:connecttype="rect"/>
            </v:shapetype>
            <v:shape id="Shape 1349" o:spid="_x0000_s1094" type="#_x0000_t202" style="position:absolute;margin-left:183.3pt;margin-top:24.7pt;width:198.5pt;height:5.5pt;z-index:-251415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" filled="f" stroked="f">
              <v:textbox style="mso-fit-shape-to-text:t" inset="0,0,0,0">
                <w:txbxContent>
                  <w:p w14:paraId="27E9D0D1" w14:textId="77777777" w:rsidR="00D03C17" w:rsidRDefault="00D03C17">
                    <w:pPr>
                      <w:pStyle w:val="Headerorfooter0"/>
                      <w:tabs>
                        <w:tab w:val="right" w:pos="3970"/>
                      </w:tabs>
                      <w:rPr>
                        <w:sz w:val="16"/>
                        <w:szCs w:val="16"/>
                      </w:rPr>
                    </w:pPr>
                    <w:r>
                      <w:t>ONCOCERCOSIS</w:t>
                    </w:r>
                    <w:r>
                      <w:tab/>
                    </w:r>
                    <w:r>
                      <w:rPr>
                        <w:sz w:val="16"/>
                        <w:szCs w:val="16"/>
                      </w:rPr>
                      <w:t>513</w:t>
                    </w:r>
                  </w:p>
                </w:txbxContent>
              </v:textbox>
              <w10:wrap anchorx="page" anchory="page"/>
            </v:shape>
          </w:pict>
        </mc:Fallback>
      </mc:AlternateContent>
    </w:r>
    <w:r>
      <w:rPr>
        <w:noProof/>
      </w:rPr>
      <mc:AlternateContent>
        <mc:Choice Requires="wps">
          <w:drawing>
            <wp:anchor distT="0" distB="0" distL="114300" distR="114300" simplePos="0" relativeHeight="251701248" behindDoc="1" locked="0" layoutInCell="1" allowOverlap="1" wp14:anchorId="2FC0C742" wp14:editId="11A8FCC1">
              <wp:simplePos x="0" y="0"/>
              <wp:positionH relativeFrom="page">
                <wp:posOffset>511175</wp:posOffset>
              </wp:positionH>
              <wp:positionV relativeFrom="page">
                <wp:posOffset>421640</wp:posOffset>
              </wp:positionV>
              <wp:extent cx="4358640" cy="0"/>
              <wp:effectExtent l="0" t="0" r="0" b="0"/>
              <wp:wrapNone/>
              <wp:docPr id="1351" name="Shape 1351"/>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2E18A5F5" id="_x0000_t32" coordsize="21600,21600" o:spt="32" o:oned="t" path="m,l21600,21600e" filled="f">
              <v:path arrowok="t" fillok="f" o:connecttype="none"/>
              <o:lock v:ext="edit" shapetype="t"/>
            </v:shapetype>
            <v:shape id="Shape 1351" o:spid="_x0000_s1026" type="#_x0000_t32" style="position:absolute;margin-left:40.25pt;margin-top:33.2pt;width:343.2pt;height:0;z-index:-25161523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" strokeweight="1pt">
              <w10:wrap anchorx="page" anchory="page"/>
            </v:shape>
          </w:pict>
        </mc:Fallback>
      </mc:AlternateConten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4622D" w14:textId="77777777" w:rsidR="00D03C17" w:rsidRDefault="00D03C17">
    <w:pPr>
      <w:spacing w:line="1" w:lineRule="exact"/>
    </w:pPr>
    <w:r>
      <w:rPr>
        <w:noProof/>
      </w:rPr>
      <mc:AlternateContent>
        <mc:Choice Requires="wps">
          <w:drawing>
            <wp:anchor distT="0" distB="0" distL="0" distR="0" simplePos="0" relativeHeight="251902976" behindDoc="1" locked="0" layoutInCell="1" allowOverlap="1" wp14:anchorId="1AF5406C" wp14:editId="4DB52D93">
              <wp:simplePos x="0" y="0"/>
              <wp:positionH relativeFrom="page">
                <wp:posOffset>526415</wp:posOffset>
              </wp:positionH>
              <wp:positionV relativeFrom="page">
                <wp:posOffset>313690</wp:posOffset>
              </wp:positionV>
              <wp:extent cx="2468880" cy="69850"/>
              <wp:effectExtent l="0" t="0" r="0" b="0"/>
              <wp:wrapNone/>
              <wp:docPr id="1355" name="Shape 1355"/>
              <wp:cNvGraphicFramePr/>
              <a:graphic xmlns:a="http://schemas.openxmlformats.org/drawingml/2006/main">
                <a:graphicData uri="http://schemas.microsoft.com/office/word/2010/wordprocessingShape">
                  <wps:wsp>
                    <wps:cNvSpPr txBox="1"/>
                    <wps:spPr>
                      <a:xfrm>
                        <a:off x="0" y="0"/>
                        <a:ext cx="2468880" cy="69850"/>
                      </a:xfrm>
                      <a:prstGeom prst="rect">
                        <a:avLst/>
                      </a:prstGeom>
                      <a:noFill/>
                    </wps:spPr>
                    <wps:txbx>
                      <w:txbxContent>
                        <w:p w14:paraId="2866BD4E" w14:textId="77777777" w:rsidR="00D03C17" w:rsidRDefault="00D03C17">
                          <w:pPr>
                            <w:pStyle w:val="Headerorfooter0"/>
                            <w:tabs>
                              <w:tab w:val="right" w:pos="3888"/>
                            </w:tabs>
                          </w:pPr>
                          <w:r>
                            <w:rPr>
                              <w:sz w:val="16"/>
                              <w:szCs w:val="16"/>
                            </w:rPr>
                            <w:t>512</w:t>
                          </w:r>
                          <w:r>
                            <w:rPr>
                              <w:sz w:val="16"/>
                              <w:szCs w:val="16"/>
                            </w:rPr>
                            <w:tab/>
                          </w:r>
                          <w:r>
                            <w:t>NOCARDIOSIS</w:t>
                          </w:r>
                        </w:p>
                      </w:txbxContent>
                    </wps:txbx>
                    <wps:bodyPr lIns="0" tIns="0" rIns="0" bIns="0">
                      <a:spAutoFit/>
                    </wps:bodyPr>
                  </wps:wsp>
                </a:graphicData>
              </a:graphic>
            </wp:anchor>
          </w:drawing>
        </mc:Choice>
        <mc:Fallback>
          <w:pict>
            <v:shapetype w14:anchorId="1AF5406C" id="_x0000_t202" coordsize="21600,21600" o:spt="202" path="m,l,21600r21600,l21600,xe">
              <v:stroke joinstyle="miter"/>
              <v:path gradientshapeok="t" o:connecttype="rect"/>
            </v:shapetype>
            <v:shape id="Shape 1355" o:spid="_x0000_s1095" type="#_x0000_t202" style="position:absolute;margin-left:41.45pt;margin-top:24.7pt;width:194.4pt;height:5.5pt;z-index:-251413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" filled="f" stroked="f">
              <v:textbox style="mso-fit-shape-to-text:t" inset="0,0,0,0">
                <w:txbxContent>
                  <w:p w14:paraId="2866BD4E" w14:textId="77777777" w:rsidR="00D03C17" w:rsidRDefault="00D03C17">
                    <w:pPr>
                      <w:pStyle w:val="Headerorfooter0"/>
                      <w:tabs>
                        <w:tab w:val="right" w:pos="3888"/>
                      </w:tabs>
                    </w:pPr>
                    <w:r>
                      <w:rPr>
                        <w:sz w:val="16"/>
                        <w:szCs w:val="16"/>
                      </w:rPr>
                      <w:t>512</w:t>
                    </w:r>
                    <w:r>
                      <w:rPr>
                        <w:sz w:val="16"/>
                        <w:szCs w:val="16"/>
                      </w:rPr>
                      <w:tab/>
                    </w:r>
                    <w:r>
                      <w:t>NOCARDIOSIS</w:t>
                    </w:r>
                  </w:p>
                </w:txbxContent>
              </v:textbox>
              <w10:wrap anchorx="page" anchory="page"/>
            </v:shape>
          </w:pict>
        </mc:Fallback>
      </mc:AlternateContent>
    </w:r>
    <w:r>
      <w:rPr>
        <w:noProof/>
      </w:rPr>
      <mc:AlternateContent>
        <mc:Choice Requires="wps">
          <w:drawing>
            <wp:anchor distT="0" distB="0" distL="114300" distR="114300" simplePos="0" relativeHeight="251703296" behindDoc="1" locked="0" layoutInCell="1" allowOverlap="1" wp14:anchorId="3AA23F0A" wp14:editId="7D5925EA">
              <wp:simplePos x="0" y="0"/>
              <wp:positionH relativeFrom="page">
                <wp:posOffset>511175</wp:posOffset>
              </wp:positionH>
              <wp:positionV relativeFrom="page">
                <wp:posOffset>421640</wp:posOffset>
              </wp:positionV>
              <wp:extent cx="4358640" cy="0"/>
              <wp:effectExtent l="0" t="0" r="0" b="0"/>
              <wp:wrapNone/>
              <wp:docPr id="1357" name="Shape 1357"/>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1540B526" id="_x0000_t32" coordsize="21600,21600" o:spt="32" o:oned="t" path="m,l21600,21600e" filled="f">
              <v:path arrowok="t" fillok="f" o:connecttype="none"/>
              <o:lock v:ext="edit" shapetype="t"/>
            </v:shapetype>
            <v:shape id="Shape 1357" o:spid="_x0000_s1026" type="#_x0000_t32" style="position:absolute;margin-left:40.25pt;margin-top:33.2pt;width:343.2pt;height:0;z-index:-25161318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" strokeweight="1pt">
              <w10:wrap anchorx="page" anchory="page"/>
            </v:shape>
          </w:pict>
        </mc:Fallback>
      </mc:AlternateConten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C5EDD" w14:textId="77777777" w:rsidR="00D03C17" w:rsidRDefault="00D03C17">
    <w:pPr>
      <w:spacing w:line="1" w:lineRule="exact"/>
    </w:pPr>
    <w:r>
      <w:rPr>
        <w:noProof/>
      </w:rPr>
      <mc:AlternateContent>
        <mc:Choice Requires="wps">
          <w:drawing>
            <wp:anchor distT="0" distB="0" distL="0" distR="0" simplePos="0" relativeHeight="251905024" behindDoc="1" locked="0" layoutInCell="1" allowOverlap="1" wp14:anchorId="6010868E" wp14:editId="7506DBDC">
              <wp:simplePos x="0" y="0"/>
              <wp:positionH relativeFrom="page">
                <wp:posOffset>526415</wp:posOffset>
              </wp:positionH>
              <wp:positionV relativeFrom="page">
                <wp:posOffset>313690</wp:posOffset>
              </wp:positionV>
              <wp:extent cx="2416810" cy="69850"/>
              <wp:effectExtent l="0" t="0" r="0" b="0"/>
              <wp:wrapNone/>
              <wp:docPr id="1361" name="Shape 1361"/>
              <wp:cNvGraphicFramePr/>
              <a:graphic xmlns:a="http://schemas.openxmlformats.org/drawingml/2006/main">
                <a:graphicData uri="http://schemas.microsoft.com/office/word/2010/wordprocessingShape">
                  <wps:wsp>
                    <wps:cNvSpPr txBox="1"/>
                    <wps:spPr>
                      <a:xfrm>
                        <a:off x="0" y="0"/>
                        <a:ext cx="2416810" cy="69850"/>
                      </a:xfrm>
                      <a:prstGeom prst="rect">
                        <a:avLst/>
                      </a:prstGeom>
                      <a:noFill/>
                    </wps:spPr>
                    <wps:txbx>
                      <w:txbxContent>
                        <w:p w14:paraId="2CC1361E" w14:textId="77777777" w:rsidR="00D03C17" w:rsidRDefault="00D03C17">
                          <w:pPr>
                            <w:pStyle w:val="Headerorfooter0"/>
                            <w:tabs>
                              <w:tab w:val="right" w:pos="3806"/>
                            </w:tabs>
                          </w:pPr>
                          <w:r>
                            <w:rPr>
                              <w:sz w:val="16"/>
                              <w:szCs w:val="16"/>
                            </w:rPr>
                            <w:t>514</w:t>
                          </w:r>
                          <w:r>
                            <w:rPr>
                              <w:sz w:val="16"/>
                              <w:szCs w:val="16"/>
                            </w:rPr>
                            <w:tab/>
                          </w:r>
                          <w:r>
                            <w:t>PALUDISMO</w:t>
                          </w:r>
                        </w:p>
                      </w:txbxContent>
                    </wps:txbx>
                    <wps:bodyPr lIns="0" tIns="0" rIns="0" bIns="0">
                      <a:spAutoFit/>
                    </wps:bodyPr>
                  </wps:wsp>
                </a:graphicData>
              </a:graphic>
            </wp:anchor>
          </w:drawing>
        </mc:Choice>
        <mc:Fallback>
          <w:pict>
            <v:shapetype w14:anchorId="6010868E" id="_x0000_t202" coordsize="21600,21600" o:spt="202" path="m,l,21600r21600,l21600,xe">
              <v:stroke joinstyle="miter"/>
              <v:path gradientshapeok="t" o:connecttype="rect"/>
            </v:shapetype>
            <v:shape id="Shape 1361" o:spid="_x0000_s1096" type="#_x0000_t202" style="position:absolute;margin-left:41.45pt;margin-top:24.7pt;width:190.3pt;height:5.5pt;z-index:-251411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" filled="f" stroked="f">
              <v:textbox style="mso-fit-shape-to-text:t" inset="0,0,0,0">
                <w:txbxContent>
                  <w:p w14:paraId="2CC1361E" w14:textId="77777777" w:rsidR="00D03C17" w:rsidRDefault="00D03C17">
                    <w:pPr>
                      <w:pStyle w:val="Headerorfooter0"/>
                      <w:tabs>
                        <w:tab w:val="right" w:pos="3806"/>
                      </w:tabs>
                    </w:pPr>
                    <w:r>
                      <w:rPr>
                        <w:sz w:val="16"/>
                        <w:szCs w:val="16"/>
                      </w:rPr>
                      <w:t>514</w:t>
                    </w:r>
                    <w:r>
                      <w:rPr>
                        <w:sz w:val="16"/>
                        <w:szCs w:val="16"/>
                      </w:rPr>
                      <w:tab/>
                    </w:r>
                    <w:r>
                      <w:t>PALUDISMO</w:t>
                    </w:r>
                  </w:p>
                </w:txbxContent>
              </v:textbox>
              <w10:wrap anchorx="page" anchory="page"/>
            </v:shape>
          </w:pict>
        </mc:Fallback>
      </mc:AlternateContent>
    </w:r>
    <w:r>
      <w:rPr>
        <w:noProof/>
      </w:rPr>
      <mc:AlternateContent>
        <mc:Choice Requires="wps">
          <w:drawing>
            <wp:anchor distT="0" distB="0" distL="114300" distR="114300" simplePos="0" relativeHeight="251705344" behindDoc="1" locked="0" layoutInCell="1" allowOverlap="1" wp14:anchorId="232D84CE" wp14:editId="244C8C4F">
              <wp:simplePos x="0" y="0"/>
              <wp:positionH relativeFrom="page">
                <wp:posOffset>511175</wp:posOffset>
              </wp:positionH>
              <wp:positionV relativeFrom="page">
                <wp:posOffset>421640</wp:posOffset>
              </wp:positionV>
              <wp:extent cx="4358640" cy="0"/>
              <wp:effectExtent l="0" t="0" r="0" b="0"/>
              <wp:wrapNone/>
              <wp:docPr id="1363" name="Shape 1363"/>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1F654403" id="_x0000_t32" coordsize="21600,21600" o:spt="32" o:oned="t" path="m,l21600,21600e" filled="f">
              <v:path arrowok="t" fillok="f" o:connecttype="none"/>
              <o:lock v:ext="edit" shapetype="t"/>
            </v:shapetype>
            <v:shape id="Shape 1363" o:spid="_x0000_s1026" type="#_x0000_t32" style="position:absolute;margin-left:40.25pt;margin-top:33.2pt;width:343.2pt;height:0;z-index:-25161113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" strokeweight="1pt">
              <w10:wrap anchorx="page" anchory="page"/>
            </v:shape>
          </w:pict>
        </mc:Fallback>
      </mc:AlternateConten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52D80" w14:textId="77777777" w:rsidR="00D03C17" w:rsidRDefault="00D03C17">
    <w:pPr>
      <w:spacing w:line="1" w:lineRule="exact"/>
    </w:pPr>
    <w:r>
      <w:rPr>
        <w:noProof/>
      </w:rPr>
      <mc:AlternateContent>
        <mc:Choice Requires="wps">
          <w:drawing>
            <wp:anchor distT="0" distB="0" distL="0" distR="0" simplePos="0" relativeHeight="251904000" behindDoc="1" locked="0" layoutInCell="1" allowOverlap="1" wp14:anchorId="27AF7264" wp14:editId="10C428F1">
              <wp:simplePos x="0" y="0"/>
              <wp:positionH relativeFrom="page">
                <wp:posOffset>526415</wp:posOffset>
              </wp:positionH>
              <wp:positionV relativeFrom="page">
                <wp:posOffset>313690</wp:posOffset>
              </wp:positionV>
              <wp:extent cx="2416810" cy="69850"/>
              <wp:effectExtent l="0" t="0" r="0" b="0"/>
              <wp:wrapNone/>
              <wp:docPr id="1358" name="Shape 1358"/>
              <wp:cNvGraphicFramePr/>
              <a:graphic xmlns:a="http://schemas.openxmlformats.org/drawingml/2006/main">
                <a:graphicData uri="http://schemas.microsoft.com/office/word/2010/wordprocessingShape">
                  <wps:wsp>
                    <wps:cNvSpPr txBox="1"/>
                    <wps:spPr>
                      <a:xfrm>
                        <a:off x="0" y="0"/>
                        <a:ext cx="2416810" cy="69850"/>
                      </a:xfrm>
                      <a:prstGeom prst="rect">
                        <a:avLst/>
                      </a:prstGeom>
                      <a:noFill/>
                    </wps:spPr>
                    <wps:txbx>
                      <w:txbxContent>
                        <w:p w14:paraId="11B394E7" w14:textId="77777777" w:rsidR="00D03C17" w:rsidRDefault="00D03C17">
                          <w:pPr>
                            <w:pStyle w:val="Headerorfooter0"/>
                            <w:tabs>
                              <w:tab w:val="right" w:pos="3806"/>
                            </w:tabs>
                          </w:pPr>
                          <w:r>
                            <w:rPr>
                              <w:sz w:val="16"/>
                              <w:szCs w:val="16"/>
                            </w:rPr>
                            <w:t>514</w:t>
                          </w:r>
                          <w:r>
                            <w:rPr>
                              <w:sz w:val="16"/>
                              <w:szCs w:val="16"/>
                            </w:rPr>
                            <w:tab/>
                          </w:r>
                          <w:r>
                            <w:t>PALUDISMO</w:t>
                          </w:r>
                        </w:p>
                      </w:txbxContent>
                    </wps:txbx>
                    <wps:bodyPr lIns="0" tIns="0" rIns="0" bIns="0">
                      <a:spAutoFit/>
                    </wps:bodyPr>
                  </wps:wsp>
                </a:graphicData>
              </a:graphic>
            </wp:anchor>
          </w:drawing>
        </mc:Choice>
        <mc:Fallback>
          <w:pict>
            <v:shapetype w14:anchorId="27AF7264" id="_x0000_t202" coordsize="21600,21600" o:spt="202" path="m,l,21600r21600,l21600,xe">
              <v:stroke joinstyle="miter"/>
              <v:path gradientshapeok="t" o:connecttype="rect"/>
            </v:shapetype>
            <v:shape id="Shape 1358" o:spid="_x0000_s1097" type="#_x0000_t202" style="position:absolute;margin-left:41.45pt;margin-top:24.7pt;width:190.3pt;height:5.5pt;z-index:-251412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" filled="f" stroked="f">
              <v:textbox style="mso-fit-shape-to-text:t" inset="0,0,0,0">
                <w:txbxContent>
                  <w:p w14:paraId="11B394E7" w14:textId="77777777" w:rsidR="00D03C17" w:rsidRDefault="00D03C17">
                    <w:pPr>
                      <w:pStyle w:val="Headerorfooter0"/>
                      <w:tabs>
                        <w:tab w:val="right" w:pos="3806"/>
                      </w:tabs>
                    </w:pPr>
                    <w:r>
                      <w:rPr>
                        <w:sz w:val="16"/>
                        <w:szCs w:val="16"/>
                      </w:rPr>
                      <w:t>514</w:t>
                    </w:r>
                    <w:r>
                      <w:rPr>
                        <w:sz w:val="16"/>
                        <w:szCs w:val="16"/>
                      </w:rPr>
                      <w:tab/>
                    </w:r>
                    <w:r>
                      <w:t>PALUDISMO</w:t>
                    </w:r>
                  </w:p>
                </w:txbxContent>
              </v:textbox>
              <w10:wrap anchorx="page" anchory="page"/>
            </v:shape>
          </w:pict>
        </mc:Fallback>
      </mc:AlternateContent>
    </w:r>
    <w:r>
      <w:rPr>
        <w:noProof/>
      </w:rPr>
      <mc:AlternateContent>
        <mc:Choice Requires="wps">
          <w:drawing>
            <wp:anchor distT="0" distB="0" distL="114300" distR="114300" simplePos="0" relativeHeight="251704320" behindDoc="1" locked="0" layoutInCell="1" allowOverlap="1" wp14:anchorId="50636B62" wp14:editId="111B7388">
              <wp:simplePos x="0" y="0"/>
              <wp:positionH relativeFrom="page">
                <wp:posOffset>511175</wp:posOffset>
              </wp:positionH>
              <wp:positionV relativeFrom="page">
                <wp:posOffset>421640</wp:posOffset>
              </wp:positionV>
              <wp:extent cx="4358640" cy="0"/>
              <wp:effectExtent l="0" t="0" r="0" b="0"/>
              <wp:wrapNone/>
              <wp:docPr id="1360" name="Shape 1360"/>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1A6597F5" id="_x0000_t32" coordsize="21600,21600" o:spt="32" o:oned="t" path="m,l21600,21600e" filled="f">
              <v:path arrowok="t" fillok="f" o:connecttype="none"/>
              <o:lock v:ext="edit" shapetype="t"/>
            </v:shapetype>
            <v:shape id="Shape 1360" o:spid="_x0000_s1026" type="#_x0000_t32" style="position:absolute;margin-left:40.25pt;margin-top:33.2pt;width:343.2pt;height:0;z-index:-25161216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" strokeweight="1pt">
              <w10:wrap anchorx="page" anchory="page"/>
            </v:shape>
          </w:pict>
        </mc:Fallback>
      </mc:AlternateContent>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E8538" w14:textId="77777777" w:rsidR="00D03C17" w:rsidRDefault="00D03C17">
    <w:pPr>
      <w:spacing w:line="1" w:lineRule="exact"/>
    </w:pPr>
    <w:r>
      <w:rPr>
        <w:noProof/>
      </w:rPr>
      <mc:AlternateContent>
        <mc:Choice Requires="wps">
          <w:drawing>
            <wp:anchor distT="0" distB="0" distL="0" distR="0" simplePos="0" relativeHeight="251907072" behindDoc="1" locked="0" layoutInCell="1" allowOverlap="1" wp14:anchorId="652BF595" wp14:editId="6279326A">
              <wp:simplePos x="0" y="0"/>
              <wp:positionH relativeFrom="page">
                <wp:posOffset>535305</wp:posOffset>
              </wp:positionH>
              <wp:positionV relativeFrom="page">
                <wp:posOffset>304165</wp:posOffset>
              </wp:positionV>
              <wp:extent cx="2749550" cy="79375"/>
              <wp:effectExtent l="0" t="0" r="0" b="0"/>
              <wp:wrapNone/>
              <wp:docPr id="1367" name="Shape 1367"/>
              <wp:cNvGraphicFramePr/>
              <a:graphic xmlns:a="http://schemas.openxmlformats.org/drawingml/2006/main">
                <a:graphicData uri="http://schemas.microsoft.com/office/word/2010/wordprocessingShape">
                  <wps:wsp>
                    <wps:cNvSpPr txBox="1"/>
                    <wps:spPr>
                      <a:xfrm>
                        <a:off x="0" y="0"/>
                        <a:ext cx="2749550" cy="79375"/>
                      </a:xfrm>
                      <a:prstGeom prst="rect">
                        <a:avLst/>
                      </a:prstGeom>
                      <a:noFill/>
                    </wps:spPr>
                    <wps:txbx>
                      <w:txbxContent>
                        <w:p w14:paraId="67873602" w14:textId="77777777" w:rsidR="00D03C17" w:rsidRDefault="00D03C17">
                          <w:pPr>
                            <w:pStyle w:val="Headerorfooter0"/>
                            <w:tabs>
                              <w:tab w:val="right" w:pos="4330"/>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PAPILOMA HUMANO, VIRUS</w:t>
                          </w:r>
                        </w:p>
                      </w:txbxContent>
                    </wps:txbx>
                    <wps:bodyPr lIns="0" tIns="0" rIns="0" bIns="0">
                      <a:spAutoFit/>
                    </wps:bodyPr>
                  </wps:wsp>
                </a:graphicData>
              </a:graphic>
            </wp:anchor>
          </w:drawing>
        </mc:Choice>
        <mc:Fallback>
          <w:pict>
            <v:shapetype w14:anchorId="652BF595" id="_x0000_t202" coordsize="21600,21600" o:spt="202" path="m,l,21600r21600,l21600,xe">
              <v:stroke joinstyle="miter"/>
              <v:path gradientshapeok="t" o:connecttype="rect"/>
            </v:shapetype>
            <v:shape id="Shape 1367" o:spid="_x0000_s1098" type="#_x0000_t202" style="position:absolute;margin-left:42.15pt;margin-top:23.95pt;width:216.5pt;height:6.25pt;z-index:-251409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" filled="f" stroked="f">
              <v:textbox style="mso-fit-shape-to-text:t" inset="0,0,0,0">
                <w:txbxContent>
                  <w:p w14:paraId="67873602" w14:textId="77777777" w:rsidR="00D03C17" w:rsidRDefault="00D03C17">
                    <w:pPr>
                      <w:pStyle w:val="Headerorfooter0"/>
                      <w:tabs>
                        <w:tab w:val="right" w:pos="4330"/>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PAPILOMA HUMANO, VIRUS</w:t>
                    </w:r>
                  </w:p>
                </w:txbxContent>
              </v:textbox>
              <w10:wrap anchorx="page" anchory="page"/>
            </v:shape>
          </w:pict>
        </mc:Fallback>
      </mc:AlternateContent>
    </w:r>
    <w:r>
      <w:rPr>
        <w:noProof/>
      </w:rPr>
      <mc:AlternateContent>
        <mc:Choice Requires="wps">
          <w:drawing>
            <wp:anchor distT="0" distB="0" distL="114300" distR="114300" simplePos="0" relativeHeight="251707392" behindDoc="1" locked="0" layoutInCell="1" allowOverlap="1" wp14:anchorId="5E8FEBD1" wp14:editId="52568C90">
              <wp:simplePos x="0" y="0"/>
              <wp:positionH relativeFrom="page">
                <wp:posOffset>520065</wp:posOffset>
              </wp:positionH>
              <wp:positionV relativeFrom="page">
                <wp:posOffset>412750</wp:posOffset>
              </wp:positionV>
              <wp:extent cx="4358640" cy="0"/>
              <wp:effectExtent l="0" t="0" r="0" b="0"/>
              <wp:wrapNone/>
              <wp:docPr id="1369" name="Shape 1369"/>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593FA26F" id="_x0000_t32" coordsize="21600,21600" o:spt="32" o:oned="t" path="m,l21600,21600e" filled="f">
              <v:path arrowok="t" fillok="f" o:connecttype="none"/>
              <o:lock v:ext="edit" shapetype="t"/>
            </v:shapetype>
            <v:shape id="Shape 1369" o:spid="_x0000_s1026" type="#_x0000_t32" style="position:absolute;margin-left:40.95pt;margin-top:32.5pt;width:343.2pt;height:0;z-index:-25160908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" strokeweight="1pt">
              <w10:wrap anchorx="page" anchory="page"/>
            </v:shape>
          </w:pict>
        </mc:Fallback>
      </mc:AlternateContent>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E660C" w14:textId="77777777" w:rsidR="00D03C17" w:rsidRDefault="00D03C17">
    <w:pPr>
      <w:spacing w:line="1" w:lineRule="exact"/>
    </w:pPr>
    <w:r>
      <w:rPr>
        <w:noProof/>
      </w:rPr>
      <mc:AlternateContent>
        <mc:Choice Requires="wps">
          <w:drawing>
            <wp:anchor distT="0" distB="0" distL="0" distR="0" simplePos="0" relativeHeight="251906048" behindDoc="1" locked="0" layoutInCell="1" allowOverlap="1" wp14:anchorId="5D5B4FC5" wp14:editId="13102225">
              <wp:simplePos x="0" y="0"/>
              <wp:positionH relativeFrom="page">
                <wp:posOffset>2100580</wp:posOffset>
              </wp:positionH>
              <wp:positionV relativeFrom="page">
                <wp:posOffset>304165</wp:posOffset>
              </wp:positionV>
              <wp:extent cx="2727960" cy="79375"/>
              <wp:effectExtent l="0" t="0" r="0" b="0"/>
              <wp:wrapNone/>
              <wp:docPr id="1364" name="Shape 1364"/>
              <wp:cNvGraphicFramePr/>
              <a:graphic xmlns:a="http://schemas.openxmlformats.org/drawingml/2006/main">
                <a:graphicData uri="http://schemas.microsoft.com/office/word/2010/wordprocessingShape">
                  <wps:wsp>
                    <wps:cNvSpPr txBox="1"/>
                    <wps:spPr>
                      <a:xfrm>
                        <a:off x="0" y="0"/>
                        <a:ext cx="2727960" cy="79375"/>
                      </a:xfrm>
                      <a:prstGeom prst="rect">
                        <a:avLst/>
                      </a:prstGeom>
                      <a:noFill/>
                    </wps:spPr>
                    <wps:txbx>
                      <w:txbxContent>
                        <w:p w14:paraId="4B99FD8F" w14:textId="77777777" w:rsidR="00D03C17" w:rsidRDefault="00D03C17">
                          <w:pPr>
                            <w:pStyle w:val="Headerorfooter0"/>
                            <w:tabs>
                              <w:tab w:val="right" w:pos="4296"/>
                            </w:tabs>
                            <w:rPr>
                              <w:sz w:val="16"/>
                              <w:szCs w:val="16"/>
                            </w:rPr>
                          </w:pPr>
                          <w:r>
                            <w:t>PAPILOMA HUMANO, VIRUS</w:t>
                          </w:r>
                          <w:r>
                            <w:tab/>
                          </w:r>
                          <w:r>
                            <w:fldChar w:fldCharType="begin"/>
                          </w:r>
                          <w:r>
                            <w:instrText xml:space="preserve"> PAGE \* MERGEFORMAT </w:instrText>
                          </w:r>
                          <w:r>
                            <w:fldChar w:fldCharType="separate"/>
                          </w:r>
                          <w:r>
                            <w:rPr>
                              <w:sz w:val="16"/>
                              <w:szCs w:val="16"/>
                            </w:rPr>
                            <w:t>#</w:t>
                          </w:r>
                          <w:r>
                            <w:rPr>
                              <w:sz w:val="16"/>
                              <w:szCs w:val="16"/>
                            </w:rPr>
                            <w:fldChar w:fldCharType="end"/>
                          </w:r>
                        </w:p>
                      </w:txbxContent>
                    </wps:txbx>
                    <wps:bodyPr lIns="0" tIns="0" rIns="0" bIns="0">
                      <a:spAutoFit/>
                    </wps:bodyPr>
                  </wps:wsp>
                </a:graphicData>
              </a:graphic>
            </wp:anchor>
          </w:drawing>
        </mc:Choice>
        <mc:Fallback>
          <w:pict>
            <v:shapetype w14:anchorId="5D5B4FC5" id="_x0000_t202" coordsize="21600,21600" o:spt="202" path="m,l,21600r21600,l21600,xe">
              <v:stroke joinstyle="miter"/>
              <v:path gradientshapeok="t" o:connecttype="rect"/>
            </v:shapetype>
            <v:shape id="Shape 1364" o:spid="_x0000_s1099" type="#_x0000_t202" style="position:absolute;margin-left:165.4pt;margin-top:23.95pt;width:214.8pt;height:6.25pt;z-index:-251410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" filled="f" stroked="f">
              <v:textbox style="mso-fit-shape-to-text:t" inset="0,0,0,0">
                <w:txbxContent>
                  <w:p w14:paraId="4B99FD8F" w14:textId="77777777" w:rsidR="00D03C17" w:rsidRDefault="00D03C17">
                    <w:pPr>
                      <w:pStyle w:val="Headerorfooter0"/>
                      <w:tabs>
                        <w:tab w:val="right" w:pos="4296"/>
                      </w:tabs>
                      <w:rPr>
                        <w:sz w:val="16"/>
                        <w:szCs w:val="16"/>
                      </w:rPr>
                    </w:pPr>
                    <w:r>
                      <w:t>PAPILOMA HUMANO, VIRUS</w:t>
                    </w:r>
                    <w:r>
                      <w:tab/>
                    </w:r>
                    <w:r>
                      <w:fldChar w:fldCharType="begin"/>
                    </w:r>
                    <w:r>
                      <w:instrText xml:space="preserve"> PAGE \* MERGEFORMAT </w:instrText>
                    </w:r>
                    <w:r>
                      <w:fldChar w:fldCharType="separate"/>
                    </w:r>
                    <w:r>
                      <w:rPr>
                        <w:sz w:val="16"/>
                        <w:szCs w:val="16"/>
                      </w:rPr>
                      <w:t>#</w:t>
                    </w:r>
                    <w:r>
                      <w:rPr>
                        <w:sz w:val="16"/>
                        <w:szCs w:val="1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706368" behindDoc="1" locked="0" layoutInCell="1" allowOverlap="1" wp14:anchorId="6CFA964B" wp14:editId="6464A591">
              <wp:simplePos x="0" y="0"/>
              <wp:positionH relativeFrom="page">
                <wp:posOffset>506730</wp:posOffset>
              </wp:positionH>
              <wp:positionV relativeFrom="page">
                <wp:posOffset>412750</wp:posOffset>
              </wp:positionV>
              <wp:extent cx="4358640" cy="0"/>
              <wp:effectExtent l="0" t="0" r="0" b="0"/>
              <wp:wrapNone/>
              <wp:docPr id="1366" name="Shape 1366"/>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5792E5A2" id="_x0000_t32" coordsize="21600,21600" o:spt="32" o:oned="t" path="m,l21600,21600e" filled="f">
              <v:path arrowok="t" fillok="f" o:connecttype="none"/>
              <o:lock v:ext="edit" shapetype="t"/>
            </v:shapetype>
            <v:shape id="Shape 1366" o:spid="_x0000_s1026" type="#_x0000_t32" style="position:absolute;margin-left:39.9pt;margin-top:32.5pt;width:343.2pt;height:0;z-index:-25161011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" strokeweight="1pt">
              <w10:wrap anchorx="page" anchory="page"/>
            </v:shape>
          </w:pict>
        </mc:Fallback>
      </mc:AlternateContent>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0167E" w14:textId="77777777" w:rsidR="00D03C17" w:rsidRDefault="00D03C17">
    <w:pPr>
      <w:spacing w:line="1" w:lineRule="exact"/>
    </w:pPr>
    <w:r>
      <w:rPr>
        <w:noProof/>
      </w:rPr>
      <mc:AlternateContent>
        <mc:Choice Requires="wps">
          <w:drawing>
            <wp:anchor distT="0" distB="0" distL="0" distR="0" simplePos="0" relativeHeight="251909120" behindDoc="1" locked="0" layoutInCell="1" allowOverlap="1" wp14:anchorId="0430A24B" wp14:editId="58CEB8F6">
              <wp:simplePos x="0" y="0"/>
              <wp:positionH relativeFrom="page">
                <wp:posOffset>2112645</wp:posOffset>
              </wp:positionH>
              <wp:positionV relativeFrom="page">
                <wp:posOffset>313690</wp:posOffset>
              </wp:positionV>
              <wp:extent cx="2755265" cy="69850"/>
              <wp:effectExtent l="0" t="0" r="0" b="0"/>
              <wp:wrapNone/>
              <wp:docPr id="1373" name="Shape 1373"/>
              <wp:cNvGraphicFramePr/>
              <a:graphic xmlns:a="http://schemas.openxmlformats.org/drawingml/2006/main">
                <a:graphicData uri="http://schemas.microsoft.com/office/word/2010/wordprocessingShape">
                  <wps:wsp>
                    <wps:cNvSpPr txBox="1"/>
                    <wps:spPr>
                      <a:xfrm>
                        <a:off x="0" y="0"/>
                        <a:ext cx="2755265" cy="69850"/>
                      </a:xfrm>
                      <a:prstGeom prst="rect">
                        <a:avLst/>
                      </a:prstGeom>
                      <a:noFill/>
                    </wps:spPr>
                    <wps:txbx>
                      <w:txbxContent>
                        <w:p w14:paraId="5C60A0FA" w14:textId="77777777" w:rsidR="00D03C17" w:rsidRDefault="00D03C17">
                          <w:pPr>
                            <w:pStyle w:val="Headerorfooter0"/>
                            <w:tabs>
                              <w:tab w:val="right" w:pos="4339"/>
                            </w:tabs>
                            <w:rPr>
                              <w:sz w:val="16"/>
                              <w:szCs w:val="16"/>
                            </w:rPr>
                          </w:pPr>
                          <w:r>
                            <w:t>PARACOCCIDIOIDOMICOSIS</w:t>
                          </w:r>
                          <w:r>
                            <w:tab/>
                          </w:r>
                          <w:r>
                            <w:fldChar w:fldCharType="begin"/>
                          </w:r>
                          <w:r>
                            <w:instrText xml:space="preserve"> PAGE \* MERGEFORMAT </w:instrText>
                          </w:r>
                          <w:r>
                            <w:fldChar w:fldCharType="separate"/>
                          </w:r>
                          <w:r>
                            <w:rPr>
                              <w:sz w:val="16"/>
                              <w:szCs w:val="16"/>
                            </w:rPr>
                            <w:t>#</w:t>
                          </w:r>
                          <w:r>
                            <w:rPr>
                              <w:sz w:val="16"/>
                              <w:szCs w:val="16"/>
                            </w:rPr>
                            <w:fldChar w:fldCharType="end"/>
                          </w:r>
                        </w:p>
                      </w:txbxContent>
                    </wps:txbx>
                    <wps:bodyPr lIns="0" tIns="0" rIns="0" bIns="0">
                      <a:spAutoFit/>
                    </wps:bodyPr>
                  </wps:wsp>
                </a:graphicData>
              </a:graphic>
            </wp:anchor>
          </w:drawing>
        </mc:Choice>
        <mc:Fallback>
          <w:pict>
            <v:shapetype w14:anchorId="0430A24B" id="_x0000_t202" coordsize="21600,21600" o:spt="202" path="m,l,21600r21600,l21600,xe">
              <v:stroke joinstyle="miter"/>
              <v:path gradientshapeok="t" o:connecttype="rect"/>
            </v:shapetype>
            <v:shape id="Shape 1373" o:spid="_x0000_s1100" type="#_x0000_t202" style="position:absolute;margin-left:166.35pt;margin-top:24.7pt;width:216.95pt;height:5.5pt;z-index:-251407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" filled="f" stroked="f">
              <v:textbox style="mso-fit-shape-to-text:t" inset="0,0,0,0">
                <w:txbxContent>
                  <w:p w14:paraId="5C60A0FA" w14:textId="77777777" w:rsidR="00D03C17" w:rsidRDefault="00D03C17">
                    <w:pPr>
                      <w:pStyle w:val="Headerorfooter0"/>
                      <w:tabs>
                        <w:tab w:val="right" w:pos="4339"/>
                      </w:tabs>
                      <w:rPr>
                        <w:sz w:val="16"/>
                        <w:szCs w:val="16"/>
                      </w:rPr>
                    </w:pPr>
                    <w:r>
                      <w:t>PARACOCCIDIOIDOMICOSIS</w:t>
                    </w:r>
                    <w:r>
                      <w:tab/>
                    </w:r>
                    <w:r>
                      <w:fldChar w:fldCharType="begin"/>
                    </w:r>
                    <w:r>
                      <w:instrText xml:space="preserve"> PAGE \* MERGEFORMAT </w:instrText>
                    </w:r>
                    <w:r>
                      <w:fldChar w:fldCharType="separate"/>
                    </w:r>
                    <w:r>
                      <w:rPr>
                        <w:sz w:val="16"/>
                        <w:szCs w:val="16"/>
                      </w:rPr>
                      <w:t>#</w:t>
                    </w:r>
                    <w:r>
                      <w:rPr>
                        <w:sz w:val="16"/>
                        <w:szCs w:val="1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709440" behindDoc="1" locked="0" layoutInCell="1" allowOverlap="1" wp14:anchorId="0D9AAB88" wp14:editId="01B3450B">
              <wp:simplePos x="0" y="0"/>
              <wp:positionH relativeFrom="page">
                <wp:posOffset>530860</wp:posOffset>
              </wp:positionH>
              <wp:positionV relativeFrom="page">
                <wp:posOffset>421640</wp:posOffset>
              </wp:positionV>
              <wp:extent cx="4358640" cy="0"/>
              <wp:effectExtent l="0" t="0" r="0" b="0"/>
              <wp:wrapNone/>
              <wp:docPr id="1375" name="Shape 1375"/>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4E50E6FB" id="_x0000_t32" coordsize="21600,21600" o:spt="32" o:oned="t" path="m,l21600,21600e" filled="f">
              <v:path arrowok="t" fillok="f" o:connecttype="none"/>
              <o:lock v:ext="edit" shapetype="t"/>
            </v:shapetype>
            <v:shape id="Shape 1375" o:spid="_x0000_s1026" type="#_x0000_t32" style="position:absolute;margin-left:41.8pt;margin-top:33.2pt;width:343.2pt;height:0;z-index:-25160704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" strokeweight="1pt">
              <w10:wrap anchorx="page" anchory="page"/>
            </v:shape>
          </w:pict>
        </mc:Fallback>
      </mc:AlternateContent>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9EE27" w14:textId="77777777" w:rsidR="00D03C17" w:rsidRDefault="00D03C17">
    <w:pPr>
      <w:spacing w:line="1" w:lineRule="exact"/>
    </w:pPr>
    <w:r>
      <w:rPr>
        <w:noProof/>
      </w:rPr>
      <mc:AlternateContent>
        <mc:Choice Requires="wps">
          <w:drawing>
            <wp:anchor distT="0" distB="0" distL="0" distR="0" simplePos="0" relativeHeight="251908096" behindDoc="1" locked="0" layoutInCell="1" allowOverlap="1" wp14:anchorId="556C7928" wp14:editId="3D70DC49">
              <wp:simplePos x="0" y="0"/>
              <wp:positionH relativeFrom="page">
                <wp:posOffset>2112645</wp:posOffset>
              </wp:positionH>
              <wp:positionV relativeFrom="page">
                <wp:posOffset>313690</wp:posOffset>
              </wp:positionV>
              <wp:extent cx="2755265" cy="69850"/>
              <wp:effectExtent l="0" t="0" r="0" b="0"/>
              <wp:wrapNone/>
              <wp:docPr id="1370" name="Shape 1370"/>
              <wp:cNvGraphicFramePr/>
              <a:graphic xmlns:a="http://schemas.openxmlformats.org/drawingml/2006/main">
                <a:graphicData uri="http://schemas.microsoft.com/office/word/2010/wordprocessingShape">
                  <wps:wsp>
                    <wps:cNvSpPr txBox="1"/>
                    <wps:spPr>
                      <a:xfrm>
                        <a:off x="0" y="0"/>
                        <a:ext cx="2755265" cy="69850"/>
                      </a:xfrm>
                      <a:prstGeom prst="rect">
                        <a:avLst/>
                      </a:prstGeom>
                      <a:noFill/>
                    </wps:spPr>
                    <wps:txbx>
                      <w:txbxContent>
                        <w:p w14:paraId="31F498F3" w14:textId="77777777" w:rsidR="00D03C17" w:rsidRDefault="00D03C17">
                          <w:pPr>
                            <w:pStyle w:val="Headerorfooter0"/>
                            <w:tabs>
                              <w:tab w:val="right" w:pos="4339"/>
                            </w:tabs>
                            <w:rPr>
                              <w:sz w:val="16"/>
                              <w:szCs w:val="16"/>
                            </w:rPr>
                          </w:pPr>
                          <w:r>
                            <w:t>PARACOCCIDIOIDOMICOSIS</w:t>
                          </w:r>
                          <w:r>
                            <w:tab/>
                          </w:r>
                          <w:r>
                            <w:fldChar w:fldCharType="begin"/>
                          </w:r>
                          <w:r>
                            <w:instrText xml:space="preserve"> PAGE \* MERGEFORMAT </w:instrText>
                          </w:r>
                          <w:r>
                            <w:fldChar w:fldCharType="separate"/>
                          </w:r>
                          <w:r>
                            <w:rPr>
                              <w:sz w:val="16"/>
                              <w:szCs w:val="16"/>
                            </w:rPr>
                            <w:t>#</w:t>
                          </w:r>
                          <w:r>
                            <w:rPr>
                              <w:sz w:val="16"/>
                              <w:szCs w:val="16"/>
                            </w:rPr>
                            <w:fldChar w:fldCharType="end"/>
                          </w:r>
                        </w:p>
                      </w:txbxContent>
                    </wps:txbx>
                    <wps:bodyPr lIns="0" tIns="0" rIns="0" bIns="0">
                      <a:spAutoFit/>
                    </wps:bodyPr>
                  </wps:wsp>
                </a:graphicData>
              </a:graphic>
            </wp:anchor>
          </w:drawing>
        </mc:Choice>
        <mc:Fallback>
          <w:pict>
            <v:shapetype w14:anchorId="556C7928" id="_x0000_t202" coordsize="21600,21600" o:spt="202" path="m,l,21600r21600,l21600,xe">
              <v:stroke joinstyle="miter"/>
              <v:path gradientshapeok="t" o:connecttype="rect"/>
            </v:shapetype>
            <v:shape id="Shape 1370" o:spid="_x0000_s1101" type="#_x0000_t202" style="position:absolute;margin-left:166.35pt;margin-top:24.7pt;width:216.95pt;height:5.5pt;z-index:-251408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" filled="f" stroked="f">
              <v:textbox style="mso-fit-shape-to-text:t" inset="0,0,0,0">
                <w:txbxContent>
                  <w:p w14:paraId="31F498F3" w14:textId="77777777" w:rsidR="00D03C17" w:rsidRDefault="00D03C17">
                    <w:pPr>
                      <w:pStyle w:val="Headerorfooter0"/>
                      <w:tabs>
                        <w:tab w:val="right" w:pos="4339"/>
                      </w:tabs>
                      <w:rPr>
                        <w:sz w:val="16"/>
                        <w:szCs w:val="16"/>
                      </w:rPr>
                    </w:pPr>
                    <w:r>
                      <w:t>PARACOCCIDIOIDOMICOSIS</w:t>
                    </w:r>
                    <w:r>
                      <w:tab/>
                    </w:r>
                    <w:r>
                      <w:fldChar w:fldCharType="begin"/>
                    </w:r>
                    <w:r>
                      <w:instrText xml:space="preserve"> PAGE \* MERGEFORMAT </w:instrText>
                    </w:r>
                    <w:r>
                      <w:fldChar w:fldCharType="separate"/>
                    </w:r>
                    <w:r>
                      <w:rPr>
                        <w:sz w:val="16"/>
                        <w:szCs w:val="16"/>
                      </w:rPr>
                      <w:t>#</w:t>
                    </w:r>
                    <w:r>
                      <w:rPr>
                        <w:sz w:val="16"/>
                        <w:szCs w:val="1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708416" behindDoc="1" locked="0" layoutInCell="1" allowOverlap="1" wp14:anchorId="2DBFA474" wp14:editId="2C14B801">
              <wp:simplePos x="0" y="0"/>
              <wp:positionH relativeFrom="page">
                <wp:posOffset>530860</wp:posOffset>
              </wp:positionH>
              <wp:positionV relativeFrom="page">
                <wp:posOffset>421640</wp:posOffset>
              </wp:positionV>
              <wp:extent cx="4358640" cy="0"/>
              <wp:effectExtent l="0" t="0" r="0" b="0"/>
              <wp:wrapNone/>
              <wp:docPr id="1372" name="Shape 1372"/>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5B1148B2" id="_x0000_t32" coordsize="21600,21600" o:spt="32" o:oned="t" path="m,l21600,21600e" filled="f">
              <v:path arrowok="t" fillok="f" o:connecttype="none"/>
              <o:lock v:ext="edit" shapetype="t"/>
            </v:shapetype>
            <v:shape id="Shape 1372" o:spid="_x0000_s1026" type="#_x0000_t32" style="position:absolute;margin-left:41.8pt;margin-top:33.2pt;width:343.2pt;height:0;z-index:-25160806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" strokeweight="1pt">
              <w10:wrap anchorx="page" anchory="page"/>
            </v:shape>
          </w:pict>
        </mc:Fallback>
      </mc:AlternateContent>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51591" w14:textId="77777777" w:rsidR="00D03C17" w:rsidRDefault="00D03C17">
    <w:pPr>
      <w:spacing w:line="1" w:lineRule="exact"/>
    </w:pPr>
    <w:r>
      <w:rPr>
        <w:noProof/>
      </w:rPr>
      <mc:AlternateContent>
        <mc:Choice Requires="wps">
          <w:drawing>
            <wp:anchor distT="0" distB="0" distL="0" distR="0" simplePos="0" relativeHeight="251911168" behindDoc="1" locked="0" layoutInCell="1" allowOverlap="1" wp14:anchorId="31E3CB3E" wp14:editId="0AF8CAF0">
              <wp:simplePos x="0" y="0"/>
              <wp:positionH relativeFrom="page">
                <wp:posOffset>524510</wp:posOffset>
              </wp:positionH>
              <wp:positionV relativeFrom="page">
                <wp:posOffset>313690</wp:posOffset>
              </wp:positionV>
              <wp:extent cx="2538730" cy="69850"/>
              <wp:effectExtent l="0" t="0" r="0" b="0"/>
              <wp:wrapNone/>
              <wp:docPr id="1379" name="Shape 1379"/>
              <wp:cNvGraphicFramePr/>
              <a:graphic xmlns:a="http://schemas.openxmlformats.org/drawingml/2006/main">
                <a:graphicData uri="http://schemas.microsoft.com/office/word/2010/wordprocessingShape">
                  <wps:wsp>
                    <wps:cNvSpPr txBox="1"/>
                    <wps:spPr>
                      <a:xfrm>
                        <a:off x="0" y="0"/>
                        <a:ext cx="2538730" cy="69850"/>
                      </a:xfrm>
                      <a:prstGeom prst="rect">
                        <a:avLst/>
                      </a:prstGeom>
                      <a:noFill/>
                    </wps:spPr>
                    <wps:txbx>
                      <w:txbxContent>
                        <w:p w14:paraId="7CC927D1" w14:textId="77777777" w:rsidR="00D03C17" w:rsidRDefault="00D03C17">
                          <w:pPr>
                            <w:pStyle w:val="Headerorfooter0"/>
                            <w:tabs>
                              <w:tab w:val="right" w:pos="3998"/>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PARAGONIMIASIS</w:t>
                          </w:r>
                        </w:p>
                      </w:txbxContent>
                    </wps:txbx>
                    <wps:bodyPr lIns="0" tIns="0" rIns="0" bIns="0">
                      <a:spAutoFit/>
                    </wps:bodyPr>
                  </wps:wsp>
                </a:graphicData>
              </a:graphic>
            </wp:anchor>
          </w:drawing>
        </mc:Choice>
        <mc:Fallback>
          <w:pict>
            <v:shapetype w14:anchorId="31E3CB3E" id="_x0000_t202" coordsize="21600,21600" o:spt="202" path="m,l,21600r21600,l21600,xe">
              <v:stroke joinstyle="miter"/>
              <v:path gradientshapeok="t" o:connecttype="rect"/>
            </v:shapetype>
            <v:shape id="Shape 1379" o:spid="_x0000_s1102" type="#_x0000_t202" style="position:absolute;margin-left:41.3pt;margin-top:24.7pt;width:199.9pt;height:5.5pt;z-index:-251405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" filled="f" stroked="f">
              <v:textbox style="mso-fit-shape-to-text:t" inset="0,0,0,0">
                <w:txbxContent>
                  <w:p w14:paraId="7CC927D1" w14:textId="77777777" w:rsidR="00D03C17" w:rsidRDefault="00D03C17">
                    <w:pPr>
                      <w:pStyle w:val="Headerorfooter0"/>
                      <w:tabs>
                        <w:tab w:val="right" w:pos="3998"/>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PARAGONIMIASIS</w:t>
                    </w:r>
                  </w:p>
                </w:txbxContent>
              </v:textbox>
              <w10:wrap anchorx="page" anchory="page"/>
            </v:shape>
          </w:pict>
        </mc:Fallback>
      </mc:AlternateContent>
    </w:r>
    <w:r>
      <w:rPr>
        <w:noProof/>
      </w:rPr>
      <mc:AlternateContent>
        <mc:Choice Requires="wps">
          <w:drawing>
            <wp:anchor distT="0" distB="0" distL="114300" distR="114300" simplePos="0" relativeHeight="251711488" behindDoc="1" locked="0" layoutInCell="1" allowOverlap="1" wp14:anchorId="058E229F" wp14:editId="38D2E18A">
              <wp:simplePos x="0" y="0"/>
              <wp:positionH relativeFrom="page">
                <wp:posOffset>509270</wp:posOffset>
              </wp:positionH>
              <wp:positionV relativeFrom="page">
                <wp:posOffset>421640</wp:posOffset>
              </wp:positionV>
              <wp:extent cx="4358640" cy="0"/>
              <wp:effectExtent l="0" t="0" r="0" b="0"/>
              <wp:wrapNone/>
              <wp:docPr id="1381" name="Shape 1381"/>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0352002D" id="_x0000_t32" coordsize="21600,21600" o:spt="32" o:oned="t" path="m,l21600,21600e" filled="f">
              <v:path arrowok="t" fillok="f" o:connecttype="none"/>
              <o:lock v:ext="edit" shapetype="t"/>
            </v:shapetype>
            <v:shape id="Shape 1381" o:spid="_x0000_s1026" type="#_x0000_t32" style="position:absolute;margin-left:40.1pt;margin-top:33.2pt;width:343.2pt;height:0;z-index:-25160499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" strokeweight="1pt">
              <w10:wrap anchorx="page" anchory="page"/>
            </v:shape>
          </w:pict>
        </mc:Fallback>
      </mc:AlternateContent>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8BD7C" w14:textId="77777777" w:rsidR="00D03C17" w:rsidRDefault="00D03C17">
    <w:pPr>
      <w:spacing w:line="1" w:lineRule="exact"/>
    </w:pPr>
    <w:r>
      <w:rPr>
        <w:noProof/>
      </w:rPr>
      <mc:AlternateContent>
        <mc:Choice Requires="wps">
          <w:drawing>
            <wp:anchor distT="0" distB="0" distL="0" distR="0" simplePos="0" relativeHeight="251910144" behindDoc="1" locked="0" layoutInCell="1" allowOverlap="1" wp14:anchorId="0D233251" wp14:editId="1A4E1655">
              <wp:simplePos x="0" y="0"/>
              <wp:positionH relativeFrom="page">
                <wp:posOffset>524510</wp:posOffset>
              </wp:positionH>
              <wp:positionV relativeFrom="page">
                <wp:posOffset>313690</wp:posOffset>
              </wp:positionV>
              <wp:extent cx="2538730" cy="69850"/>
              <wp:effectExtent l="0" t="0" r="0" b="0"/>
              <wp:wrapNone/>
              <wp:docPr id="1376" name="Shape 1376"/>
              <wp:cNvGraphicFramePr/>
              <a:graphic xmlns:a="http://schemas.openxmlformats.org/drawingml/2006/main">
                <a:graphicData uri="http://schemas.microsoft.com/office/word/2010/wordprocessingShape">
                  <wps:wsp>
                    <wps:cNvSpPr txBox="1"/>
                    <wps:spPr>
                      <a:xfrm>
                        <a:off x="0" y="0"/>
                        <a:ext cx="2538730" cy="69850"/>
                      </a:xfrm>
                      <a:prstGeom prst="rect">
                        <a:avLst/>
                      </a:prstGeom>
                      <a:noFill/>
                    </wps:spPr>
                    <wps:txbx>
                      <w:txbxContent>
                        <w:p w14:paraId="23EF82B4" w14:textId="77777777" w:rsidR="00D03C17" w:rsidRDefault="00D03C17">
                          <w:pPr>
                            <w:pStyle w:val="Headerorfooter0"/>
                            <w:tabs>
                              <w:tab w:val="right" w:pos="3998"/>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PARAGONIMIASIS</w:t>
                          </w:r>
                        </w:p>
                      </w:txbxContent>
                    </wps:txbx>
                    <wps:bodyPr lIns="0" tIns="0" rIns="0" bIns="0">
                      <a:spAutoFit/>
                    </wps:bodyPr>
                  </wps:wsp>
                </a:graphicData>
              </a:graphic>
            </wp:anchor>
          </w:drawing>
        </mc:Choice>
        <mc:Fallback>
          <w:pict>
            <v:shapetype w14:anchorId="0D233251" id="_x0000_t202" coordsize="21600,21600" o:spt="202" path="m,l,21600r21600,l21600,xe">
              <v:stroke joinstyle="miter"/>
              <v:path gradientshapeok="t" o:connecttype="rect"/>
            </v:shapetype>
            <v:shape id="Shape 1376" o:spid="_x0000_s1103" type="#_x0000_t202" style="position:absolute;margin-left:41.3pt;margin-top:24.7pt;width:199.9pt;height:5.5pt;z-index:-251406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" filled="f" stroked="f">
              <v:textbox style="mso-fit-shape-to-text:t" inset="0,0,0,0">
                <w:txbxContent>
                  <w:p w14:paraId="23EF82B4" w14:textId="77777777" w:rsidR="00D03C17" w:rsidRDefault="00D03C17">
                    <w:pPr>
                      <w:pStyle w:val="Headerorfooter0"/>
                      <w:tabs>
                        <w:tab w:val="right" w:pos="3998"/>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PARAGONIMIASIS</w:t>
                    </w:r>
                  </w:p>
                </w:txbxContent>
              </v:textbox>
              <w10:wrap anchorx="page" anchory="page"/>
            </v:shape>
          </w:pict>
        </mc:Fallback>
      </mc:AlternateContent>
    </w:r>
    <w:r>
      <w:rPr>
        <w:noProof/>
      </w:rPr>
      <mc:AlternateContent>
        <mc:Choice Requires="wps">
          <w:drawing>
            <wp:anchor distT="0" distB="0" distL="114300" distR="114300" simplePos="0" relativeHeight="251710464" behindDoc="1" locked="0" layoutInCell="1" allowOverlap="1" wp14:anchorId="40BB8A9A" wp14:editId="75C119F9">
              <wp:simplePos x="0" y="0"/>
              <wp:positionH relativeFrom="page">
                <wp:posOffset>509270</wp:posOffset>
              </wp:positionH>
              <wp:positionV relativeFrom="page">
                <wp:posOffset>421640</wp:posOffset>
              </wp:positionV>
              <wp:extent cx="4358640" cy="0"/>
              <wp:effectExtent l="0" t="0" r="0" b="0"/>
              <wp:wrapNone/>
              <wp:docPr id="1378" name="Shape 1378"/>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4D79A400" id="_x0000_t32" coordsize="21600,21600" o:spt="32" o:oned="t" path="m,l21600,21600e" filled="f">
              <v:path arrowok="t" fillok="f" o:connecttype="none"/>
              <o:lock v:ext="edit" shapetype="t"/>
            </v:shapetype>
            <v:shape id="Shape 1378" o:spid="_x0000_s1026" type="#_x0000_t32" style="position:absolute;margin-left:40.1pt;margin-top:33.2pt;width:343.2pt;height:0;z-index:-25160601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" strokeweight="1pt">
              <w10:wrap anchorx="page" anchory="page"/>
            </v:shape>
          </w:pict>
        </mc:Fallback>
      </mc:AlternateConten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FF3EF" w14:textId="77777777" w:rsidR="00D03C17" w:rsidRDefault="00D03C17">
    <w:pPr>
      <w:spacing w:line="1" w:lineRule="exact"/>
    </w:pPr>
    <w:r>
      <w:rPr>
        <w:noProof/>
      </w:rPr>
      <mc:AlternateContent>
        <mc:Choice Requires="wps">
          <w:drawing>
            <wp:anchor distT="0" distB="0" distL="0" distR="0" simplePos="0" relativeHeight="251912192" behindDoc="1" locked="0" layoutInCell="1" allowOverlap="1" wp14:anchorId="0C0E521B" wp14:editId="1C7097F9">
              <wp:simplePos x="0" y="0"/>
              <wp:positionH relativeFrom="page">
                <wp:posOffset>2112645</wp:posOffset>
              </wp:positionH>
              <wp:positionV relativeFrom="page">
                <wp:posOffset>313690</wp:posOffset>
              </wp:positionV>
              <wp:extent cx="2755265" cy="69850"/>
              <wp:effectExtent l="0" t="0" r="0" b="0"/>
              <wp:wrapNone/>
              <wp:docPr id="1382" name="Shape 1382"/>
              <wp:cNvGraphicFramePr/>
              <a:graphic xmlns:a="http://schemas.openxmlformats.org/drawingml/2006/main">
                <a:graphicData uri="http://schemas.microsoft.com/office/word/2010/wordprocessingShape">
                  <wps:wsp>
                    <wps:cNvSpPr txBox="1"/>
                    <wps:spPr>
                      <a:xfrm>
                        <a:off x="0" y="0"/>
                        <a:ext cx="2755265" cy="69850"/>
                      </a:xfrm>
                      <a:prstGeom prst="rect">
                        <a:avLst/>
                      </a:prstGeom>
                      <a:noFill/>
                    </wps:spPr>
                    <wps:txbx>
                      <w:txbxContent>
                        <w:p w14:paraId="684594DB" w14:textId="77777777" w:rsidR="00D03C17" w:rsidRDefault="00D03C17">
                          <w:pPr>
                            <w:pStyle w:val="Headerorfooter0"/>
                            <w:tabs>
                              <w:tab w:val="right" w:pos="4339"/>
                            </w:tabs>
                            <w:rPr>
                              <w:sz w:val="16"/>
                              <w:szCs w:val="16"/>
                            </w:rPr>
                          </w:pPr>
                          <w:r>
                            <w:t>PARACOCCIDIOIDOMICOSIS</w:t>
                          </w:r>
                          <w:r>
                            <w:tab/>
                          </w:r>
                          <w:r>
                            <w:fldChar w:fldCharType="begin"/>
                          </w:r>
                          <w:r>
                            <w:instrText xml:space="preserve"> PAGE \* MERGEFORMAT </w:instrText>
                          </w:r>
                          <w:r>
                            <w:fldChar w:fldCharType="separate"/>
                          </w:r>
                          <w:r>
                            <w:rPr>
                              <w:sz w:val="16"/>
                              <w:szCs w:val="16"/>
                            </w:rPr>
                            <w:t>#</w:t>
                          </w:r>
                          <w:r>
                            <w:rPr>
                              <w:sz w:val="16"/>
                              <w:szCs w:val="16"/>
                            </w:rPr>
                            <w:fldChar w:fldCharType="end"/>
                          </w:r>
                        </w:p>
                      </w:txbxContent>
                    </wps:txbx>
                    <wps:bodyPr lIns="0" tIns="0" rIns="0" bIns="0">
                      <a:spAutoFit/>
                    </wps:bodyPr>
                  </wps:wsp>
                </a:graphicData>
              </a:graphic>
            </wp:anchor>
          </w:drawing>
        </mc:Choice>
        <mc:Fallback>
          <w:pict>
            <v:shapetype w14:anchorId="0C0E521B" id="_x0000_t202" coordsize="21600,21600" o:spt="202" path="m,l,21600r21600,l21600,xe">
              <v:stroke joinstyle="miter"/>
              <v:path gradientshapeok="t" o:connecttype="rect"/>
            </v:shapetype>
            <v:shape id="Shape 1382" o:spid="_x0000_s1104" type="#_x0000_t202" style="position:absolute;margin-left:166.35pt;margin-top:24.7pt;width:216.95pt;height:5.5pt;z-index:-251404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" filled="f" stroked="f">
              <v:textbox style="mso-fit-shape-to-text:t" inset="0,0,0,0">
                <w:txbxContent>
                  <w:p w14:paraId="684594DB" w14:textId="77777777" w:rsidR="00D03C17" w:rsidRDefault="00D03C17">
                    <w:pPr>
                      <w:pStyle w:val="Headerorfooter0"/>
                      <w:tabs>
                        <w:tab w:val="right" w:pos="4339"/>
                      </w:tabs>
                      <w:rPr>
                        <w:sz w:val="16"/>
                        <w:szCs w:val="16"/>
                      </w:rPr>
                    </w:pPr>
                    <w:r>
                      <w:t>PARACOCCIDIOIDOMICOSIS</w:t>
                    </w:r>
                    <w:r>
                      <w:tab/>
                    </w:r>
                    <w:r>
                      <w:fldChar w:fldCharType="begin"/>
                    </w:r>
                    <w:r>
                      <w:instrText xml:space="preserve"> PAGE \* MERGEFORMAT </w:instrText>
                    </w:r>
                    <w:r>
                      <w:fldChar w:fldCharType="separate"/>
                    </w:r>
                    <w:r>
                      <w:rPr>
                        <w:sz w:val="16"/>
                        <w:szCs w:val="16"/>
                      </w:rPr>
                      <w:t>#</w:t>
                    </w:r>
                    <w:r>
                      <w:rPr>
                        <w:sz w:val="16"/>
                        <w:szCs w:val="1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712512" behindDoc="1" locked="0" layoutInCell="1" allowOverlap="1" wp14:anchorId="2682EDD8" wp14:editId="07EB4EC4">
              <wp:simplePos x="0" y="0"/>
              <wp:positionH relativeFrom="page">
                <wp:posOffset>530860</wp:posOffset>
              </wp:positionH>
              <wp:positionV relativeFrom="page">
                <wp:posOffset>421640</wp:posOffset>
              </wp:positionV>
              <wp:extent cx="4358640" cy="0"/>
              <wp:effectExtent l="0" t="0" r="0" b="0"/>
              <wp:wrapNone/>
              <wp:docPr id="1384" name="Shape 1384"/>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39FC0BE5" id="_x0000_t32" coordsize="21600,21600" o:spt="32" o:oned="t" path="m,l21600,21600e" filled="f">
              <v:path arrowok="t" fillok="f" o:connecttype="none"/>
              <o:lock v:ext="edit" shapetype="t"/>
            </v:shapetype>
            <v:shape id="Shape 1384" o:spid="_x0000_s1026" type="#_x0000_t32" style="position:absolute;margin-left:41.8pt;margin-top:33.2pt;width:343.2pt;height:0;z-index:-25160396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" strokeweight="1pt">
              <w10:wrap anchorx="page" anchory="page"/>
            </v:shape>
          </w:pict>
        </mc:Fallback>
      </mc:AlternateContent>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50CE1" w14:textId="77777777" w:rsidR="00D03C17" w:rsidRDefault="00D03C17">
    <w:pPr>
      <w:spacing w:line="1" w:lineRule="exact"/>
    </w:pPr>
    <w:r>
      <w:rPr>
        <w:noProof/>
      </w:rPr>
      <mc:AlternateContent>
        <mc:Choice Requires="wps">
          <w:drawing>
            <wp:anchor distT="0" distB="0" distL="0" distR="0" simplePos="0" relativeHeight="251914240" behindDoc="1" locked="0" layoutInCell="1" allowOverlap="1" wp14:anchorId="693959C4" wp14:editId="5835A69E">
              <wp:simplePos x="0" y="0"/>
              <wp:positionH relativeFrom="page">
                <wp:posOffset>1849120</wp:posOffset>
              </wp:positionH>
              <wp:positionV relativeFrom="page">
                <wp:posOffset>304165</wp:posOffset>
              </wp:positionV>
              <wp:extent cx="3002280" cy="79375"/>
              <wp:effectExtent l="0" t="0" r="0" b="0"/>
              <wp:wrapNone/>
              <wp:docPr id="1388" name="Shape 1388"/>
              <wp:cNvGraphicFramePr/>
              <a:graphic xmlns:a="http://schemas.openxmlformats.org/drawingml/2006/main">
                <a:graphicData uri="http://schemas.microsoft.com/office/word/2010/wordprocessingShape">
                  <wps:wsp>
                    <wps:cNvSpPr txBox="1"/>
                    <wps:spPr>
                      <a:xfrm>
                        <a:off x="0" y="0"/>
                        <a:ext cx="3002280" cy="79375"/>
                      </a:xfrm>
                      <a:prstGeom prst="rect">
                        <a:avLst/>
                      </a:prstGeom>
                      <a:noFill/>
                    </wps:spPr>
                    <wps:txbx>
                      <w:txbxContent>
                        <w:p w14:paraId="6E392859" w14:textId="77777777" w:rsidR="00D03C17" w:rsidRDefault="00D03C17">
                          <w:pPr>
                            <w:pStyle w:val="Headerorfooter0"/>
                            <w:tabs>
                              <w:tab w:val="right" w:pos="4728"/>
                            </w:tabs>
                            <w:rPr>
                              <w:sz w:val="16"/>
                              <w:szCs w:val="16"/>
                            </w:rPr>
                          </w:pPr>
                          <w:r>
                            <w:t>PARAINFLUENZA, VIRUS, INFECCIONES</w:t>
                          </w:r>
                          <w:r>
                            <w:tab/>
                          </w:r>
                          <w:r>
                            <w:rPr>
                              <w:sz w:val="16"/>
                              <w:szCs w:val="16"/>
                            </w:rPr>
                            <w:t>525</w:t>
                          </w:r>
                        </w:p>
                      </w:txbxContent>
                    </wps:txbx>
                    <wps:bodyPr lIns="0" tIns="0" rIns="0" bIns="0">
                      <a:spAutoFit/>
                    </wps:bodyPr>
                  </wps:wsp>
                </a:graphicData>
              </a:graphic>
            </wp:anchor>
          </w:drawing>
        </mc:Choice>
        <mc:Fallback>
          <w:pict>
            <v:shapetype w14:anchorId="693959C4" id="_x0000_t202" coordsize="21600,21600" o:spt="202" path="m,l,21600r21600,l21600,xe">
              <v:stroke joinstyle="miter"/>
              <v:path gradientshapeok="t" o:connecttype="rect"/>
            </v:shapetype>
            <v:shape id="Shape 1388" o:spid="_x0000_s1105" type="#_x0000_t202" style="position:absolute;margin-left:145.6pt;margin-top:23.95pt;width:236.4pt;height:6.25pt;z-index:-251402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" filled="f" stroked="f">
              <v:textbox style="mso-fit-shape-to-text:t" inset="0,0,0,0">
                <w:txbxContent>
                  <w:p w14:paraId="6E392859" w14:textId="77777777" w:rsidR="00D03C17" w:rsidRDefault="00D03C17">
                    <w:pPr>
                      <w:pStyle w:val="Headerorfooter0"/>
                      <w:tabs>
                        <w:tab w:val="right" w:pos="4728"/>
                      </w:tabs>
                      <w:rPr>
                        <w:sz w:val="16"/>
                        <w:szCs w:val="16"/>
                      </w:rPr>
                    </w:pPr>
                    <w:r>
                      <w:t>PARAINFLUENZA, VIRUS, INFECCIONES</w:t>
                    </w:r>
                    <w:r>
                      <w:tab/>
                    </w:r>
                    <w:r>
                      <w:rPr>
                        <w:sz w:val="16"/>
                        <w:szCs w:val="16"/>
                      </w:rPr>
                      <w:t>525</w:t>
                    </w:r>
                  </w:p>
                </w:txbxContent>
              </v:textbox>
              <w10:wrap anchorx="page" anchory="page"/>
            </v:shape>
          </w:pict>
        </mc:Fallback>
      </mc:AlternateContent>
    </w:r>
    <w:r>
      <w:rPr>
        <w:noProof/>
      </w:rPr>
      <mc:AlternateContent>
        <mc:Choice Requires="wps">
          <w:drawing>
            <wp:anchor distT="0" distB="0" distL="114300" distR="114300" simplePos="0" relativeHeight="251714560" behindDoc="1" locked="0" layoutInCell="1" allowOverlap="1" wp14:anchorId="1D45E340" wp14:editId="1D2BDEA7">
              <wp:simplePos x="0" y="0"/>
              <wp:positionH relativeFrom="page">
                <wp:posOffset>514350</wp:posOffset>
              </wp:positionH>
              <wp:positionV relativeFrom="page">
                <wp:posOffset>412750</wp:posOffset>
              </wp:positionV>
              <wp:extent cx="4358640" cy="0"/>
              <wp:effectExtent l="0" t="0" r="0" b="0"/>
              <wp:wrapNone/>
              <wp:docPr id="1390" name="Shape 1390"/>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44241BEE" id="_x0000_t32" coordsize="21600,21600" o:spt="32" o:oned="t" path="m,l21600,21600e" filled="f">
              <v:path arrowok="t" fillok="f" o:connecttype="none"/>
              <o:lock v:ext="edit" shapetype="t"/>
            </v:shapetype>
            <v:shape id="Shape 1390" o:spid="_x0000_s1026" type="#_x0000_t32" style="position:absolute;margin-left:40.5pt;margin-top:32.5pt;width:343.2pt;height:0;z-index:-25160192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" strokeweight="1pt">
              <w10:wrap anchorx="page" anchory="page"/>
            </v:shape>
          </w:pict>
        </mc:Fallback>
      </mc:AlternateContent>
    </w: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A527D" w14:textId="77777777" w:rsidR="00D03C17" w:rsidRDefault="00D03C17">
    <w:pPr>
      <w:spacing w:line="1" w:lineRule="exact"/>
    </w:pPr>
    <w:r>
      <w:rPr>
        <w:noProof/>
      </w:rPr>
      <mc:AlternateContent>
        <mc:Choice Requires="wps">
          <w:drawing>
            <wp:anchor distT="0" distB="0" distL="0" distR="0" simplePos="0" relativeHeight="251913216" behindDoc="1" locked="0" layoutInCell="1" allowOverlap="1" wp14:anchorId="37095C53" wp14:editId="7D27A3B5">
              <wp:simplePos x="0" y="0"/>
              <wp:positionH relativeFrom="page">
                <wp:posOffset>1849120</wp:posOffset>
              </wp:positionH>
              <wp:positionV relativeFrom="page">
                <wp:posOffset>304165</wp:posOffset>
              </wp:positionV>
              <wp:extent cx="3002280" cy="79375"/>
              <wp:effectExtent l="0" t="0" r="0" b="0"/>
              <wp:wrapNone/>
              <wp:docPr id="1385" name="Shape 1385"/>
              <wp:cNvGraphicFramePr/>
              <a:graphic xmlns:a="http://schemas.openxmlformats.org/drawingml/2006/main">
                <a:graphicData uri="http://schemas.microsoft.com/office/word/2010/wordprocessingShape">
                  <wps:wsp>
                    <wps:cNvSpPr txBox="1"/>
                    <wps:spPr>
                      <a:xfrm>
                        <a:off x="0" y="0"/>
                        <a:ext cx="3002280" cy="79375"/>
                      </a:xfrm>
                      <a:prstGeom prst="rect">
                        <a:avLst/>
                      </a:prstGeom>
                      <a:noFill/>
                    </wps:spPr>
                    <wps:txbx>
                      <w:txbxContent>
                        <w:p w14:paraId="718BA357" w14:textId="77777777" w:rsidR="00D03C17" w:rsidRDefault="00D03C17">
                          <w:pPr>
                            <w:pStyle w:val="Headerorfooter0"/>
                            <w:tabs>
                              <w:tab w:val="right" w:pos="4728"/>
                            </w:tabs>
                            <w:rPr>
                              <w:sz w:val="16"/>
                              <w:szCs w:val="16"/>
                            </w:rPr>
                          </w:pPr>
                          <w:r>
                            <w:t>PARAINFLUENZA, VIRUS, INFECCIONES</w:t>
                          </w:r>
                          <w:r>
                            <w:tab/>
                          </w:r>
                          <w:r>
                            <w:rPr>
                              <w:sz w:val="16"/>
                              <w:szCs w:val="16"/>
                            </w:rPr>
                            <w:t>525</w:t>
                          </w:r>
                        </w:p>
                      </w:txbxContent>
                    </wps:txbx>
                    <wps:bodyPr lIns="0" tIns="0" rIns="0" bIns="0">
                      <a:spAutoFit/>
                    </wps:bodyPr>
                  </wps:wsp>
                </a:graphicData>
              </a:graphic>
            </wp:anchor>
          </w:drawing>
        </mc:Choice>
        <mc:Fallback>
          <w:pict>
            <v:shapetype w14:anchorId="37095C53" id="_x0000_t202" coordsize="21600,21600" o:spt="202" path="m,l,21600r21600,l21600,xe">
              <v:stroke joinstyle="miter"/>
              <v:path gradientshapeok="t" o:connecttype="rect"/>
            </v:shapetype>
            <v:shape id="Shape 1385" o:spid="_x0000_s1106" type="#_x0000_t202" style="position:absolute;margin-left:145.6pt;margin-top:23.95pt;width:236.4pt;height:6.25pt;z-index:-251403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" filled="f" stroked="f">
              <v:textbox style="mso-fit-shape-to-text:t" inset="0,0,0,0">
                <w:txbxContent>
                  <w:p w14:paraId="718BA357" w14:textId="77777777" w:rsidR="00D03C17" w:rsidRDefault="00D03C17">
                    <w:pPr>
                      <w:pStyle w:val="Headerorfooter0"/>
                      <w:tabs>
                        <w:tab w:val="right" w:pos="4728"/>
                      </w:tabs>
                      <w:rPr>
                        <w:sz w:val="16"/>
                        <w:szCs w:val="16"/>
                      </w:rPr>
                    </w:pPr>
                    <w:r>
                      <w:t>PARAINFLUENZA, VIRUS, INFECCIONES</w:t>
                    </w:r>
                    <w:r>
                      <w:tab/>
                    </w:r>
                    <w:r>
                      <w:rPr>
                        <w:sz w:val="16"/>
                        <w:szCs w:val="16"/>
                      </w:rPr>
                      <w:t>525</w:t>
                    </w:r>
                  </w:p>
                </w:txbxContent>
              </v:textbox>
              <w10:wrap anchorx="page" anchory="page"/>
            </v:shape>
          </w:pict>
        </mc:Fallback>
      </mc:AlternateContent>
    </w:r>
    <w:r>
      <w:rPr>
        <w:noProof/>
      </w:rPr>
      <mc:AlternateContent>
        <mc:Choice Requires="wps">
          <w:drawing>
            <wp:anchor distT="0" distB="0" distL="114300" distR="114300" simplePos="0" relativeHeight="251713536" behindDoc="1" locked="0" layoutInCell="1" allowOverlap="1" wp14:anchorId="74C0427F" wp14:editId="0EC40A23">
              <wp:simplePos x="0" y="0"/>
              <wp:positionH relativeFrom="page">
                <wp:posOffset>514350</wp:posOffset>
              </wp:positionH>
              <wp:positionV relativeFrom="page">
                <wp:posOffset>412750</wp:posOffset>
              </wp:positionV>
              <wp:extent cx="4358640" cy="0"/>
              <wp:effectExtent l="0" t="0" r="0" b="0"/>
              <wp:wrapNone/>
              <wp:docPr id="1387" name="Shape 1387"/>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233A4953" id="_x0000_t32" coordsize="21600,21600" o:spt="32" o:oned="t" path="m,l21600,21600e" filled="f">
              <v:path arrowok="t" fillok="f" o:connecttype="none"/>
              <o:lock v:ext="edit" shapetype="t"/>
            </v:shapetype>
            <v:shape id="Shape 1387" o:spid="_x0000_s1026" type="#_x0000_t32" style="position:absolute;margin-left:40.5pt;margin-top:32.5pt;width:343.2pt;height:0;z-index:-25160294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" strokeweight="1pt">
              <w10:wrap anchorx="page" anchory="page"/>
            </v:shape>
          </w:pict>
        </mc:Fallback>
      </mc:AlternateContent>
    </w: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C76A5" w14:textId="77777777" w:rsidR="00D03C17" w:rsidRDefault="00D03C17">
    <w:pPr>
      <w:spacing w:line="1" w:lineRule="exact"/>
    </w:pPr>
    <w:r>
      <w:rPr>
        <w:noProof/>
      </w:rPr>
      <mc:AlternateContent>
        <mc:Choice Requires="wps">
          <w:drawing>
            <wp:anchor distT="0" distB="0" distL="0" distR="0" simplePos="0" relativeHeight="251915264" behindDoc="1" locked="0" layoutInCell="1" allowOverlap="1" wp14:anchorId="11C587E8" wp14:editId="61FB82AE">
              <wp:simplePos x="0" y="0"/>
              <wp:positionH relativeFrom="page">
                <wp:posOffset>524510</wp:posOffset>
              </wp:positionH>
              <wp:positionV relativeFrom="page">
                <wp:posOffset>313690</wp:posOffset>
              </wp:positionV>
              <wp:extent cx="2538730" cy="69850"/>
              <wp:effectExtent l="0" t="0" r="0" b="0"/>
              <wp:wrapNone/>
              <wp:docPr id="1391" name="Shape 1391"/>
              <wp:cNvGraphicFramePr/>
              <a:graphic xmlns:a="http://schemas.openxmlformats.org/drawingml/2006/main">
                <a:graphicData uri="http://schemas.microsoft.com/office/word/2010/wordprocessingShape">
                  <wps:wsp>
                    <wps:cNvSpPr txBox="1"/>
                    <wps:spPr>
                      <a:xfrm>
                        <a:off x="0" y="0"/>
                        <a:ext cx="2538730" cy="69850"/>
                      </a:xfrm>
                      <a:prstGeom prst="rect">
                        <a:avLst/>
                      </a:prstGeom>
                      <a:noFill/>
                    </wps:spPr>
                    <wps:txbx>
                      <w:txbxContent>
                        <w:p w14:paraId="28E05A54" w14:textId="77777777" w:rsidR="00D03C17" w:rsidRDefault="00D03C17">
                          <w:pPr>
                            <w:pStyle w:val="Headerorfooter0"/>
                            <w:tabs>
                              <w:tab w:val="right" w:pos="3998"/>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PARAGONIMIASIS</w:t>
                          </w:r>
                        </w:p>
                      </w:txbxContent>
                    </wps:txbx>
                    <wps:bodyPr lIns="0" tIns="0" rIns="0" bIns="0">
                      <a:spAutoFit/>
                    </wps:bodyPr>
                  </wps:wsp>
                </a:graphicData>
              </a:graphic>
            </wp:anchor>
          </w:drawing>
        </mc:Choice>
        <mc:Fallback>
          <w:pict>
            <v:shapetype w14:anchorId="11C587E8" id="_x0000_t202" coordsize="21600,21600" o:spt="202" path="m,l,21600r21600,l21600,xe">
              <v:stroke joinstyle="miter"/>
              <v:path gradientshapeok="t" o:connecttype="rect"/>
            </v:shapetype>
            <v:shape id="Shape 1391" o:spid="_x0000_s1107" type="#_x0000_t202" style="position:absolute;margin-left:41.3pt;margin-top:24.7pt;width:199.9pt;height:5.5pt;z-index:-251401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" filled="f" stroked="f">
              <v:textbox style="mso-fit-shape-to-text:t" inset="0,0,0,0">
                <w:txbxContent>
                  <w:p w14:paraId="28E05A54" w14:textId="77777777" w:rsidR="00D03C17" w:rsidRDefault="00D03C17">
                    <w:pPr>
                      <w:pStyle w:val="Headerorfooter0"/>
                      <w:tabs>
                        <w:tab w:val="right" w:pos="3998"/>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PARAGONIMIASIS</w:t>
                    </w:r>
                  </w:p>
                </w:txbxContent>
              </v:textbox>
              <w10:wrap anchorx="page" anchory="page"/>
            </v:shape>
          </w:pict>
        </mc:Fallback>
      </mc:AlternateContent>
    </w:r>
    <w:r>
      <w:rPr>
        <w:noProof/>
      </w:rPr>
      <mc:AlternateContent>
        <mc:Choice Requires="wps">
          <w:drawing>
            <wp:anchor distT="0" distB="0" distL="114300" distR="114300" simplePos="0" relativeHeight="251715584" behindDoc="1" locked="0" layoutInCell="1" allowOverlap="1" wp14:anchorId="08D13E48" wp14:editId="5E4F074D">
              <wp:simplePos x="0" y="0"/>
              <wp:positionH relativeFrom="page">
                <wp:posOffset>509270</wp:posOffset>
              </wp:positionH>
              <wp:positionV relativeFrom="page">
                <wp:posOffset>421640</wp:posOffset>
              </wp:positionV>
              <wp:extent cx="4358640" cy="0"/>
              <wp:effectExtent l="0" t="0" r="0" b="0"/>
              <wp:wrapNone/>
              <wp:docPr id="1393" name="Shape 1393"/>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4D8E48E1" id="_x0000_t32" coordsize="21600,21600" o:spt="32" o:oned="t" path="m,l21600,21600e" filled="f">
              <v:path arrowok="t" fillok="f" o:connecttype="none"/>
              <o:lock v:ext="edit" shapetype="t"/>
            </v:shapetype>
            <v:shape id="Shape 1393" o:spid="_x0000_s1026" type="#_x0000_t32" style="position:absolute;margin-left:40.1pt;margin-top:33.2pt;width:343.2pt;height:0;z-index:-25160089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" strokeweight="1pt">
              <w10:wrap anchorx="page" anchory="page"/>
            </v:shape>
          </w:pict>
        </mc:Fallback>
      </mc:AlternateContent>
    </w: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48962" w14:textId="77777777" w:rsidR="00D03C17" w:rsidRDefault="00D03C17">
    <w:pPr>
      <w:spacing w:line="1" w:lineRule="exact"/>
    </w:pPr>
    <w:r>
      <w:rPr>
        <w:noProof/>
      </w:rPr>
      <mc:AlternateContent>
        <mc:Choice Requires="wps">
          <w:drawing>
            <wp:anchor distT="0" distB="0" distL="0" distR="0" simplePos="0" relativeHeight="251917312" behindDoc="1" locked="0" layoutInCell="1" allowOverlap="1" wp14:anchorId="18D80930" wp14:editId="32E545B6">
              <wp:simplePos x="0" y="0"/>
              <wp:positionH relativeFrom="page">
                <wp:posOffset>534035</wp:posOffset>
              </wp:positionH>
              <wp:positionV relativeFrom="page">
                <wp:posOffset>304165</wp:posOffset>
              </wp:positionV>
              <wp:extent cx="3008630" cy="79375"/>
              <wp:effectExtent l="0" t="0" r="0" b="0"/>
              <wp:wrapNone/>
              <wp:docPr id="1397" name="Shape 1397"/>
              <wp:cNvGraphicFramePr/>
              <a:graphic xmlns:a="http://schemas.openxmlformats.org/drawingml/2006/main">
                <a:graphicData uri="http://schemas.microsoft.com/office/word/2010/wordprocessingShape">
                  <wps:wsp>
                    <wps:cNvSpPr txBox="1"/>
                    <wps:spPr>
                      <a:xfrm>
                        <a:off x="0" y="0"/>
                        <a:ext cx="3008630" cy="79375"/>
                      </a:xfrm>
                      <a:prstGeom prst="rect">
                        <a:avLst/>
                      </a:prstGeom>
                      <a:noFill/>
                    </wps:spPr>
                    <wps:txbx>
                      <w:txbxContent>
                        <w:p w14:paraId="18B68412" w14:textId="77777777" w:rsidR="00D03C17" w:rsidRDefault="00D03C17">
                          <w:pPr>
                            <w:pStyle w:val="Headerorfooter0"/>
                            <w:tabs>
                              <w:tab w:val="right" w:pos="4738"/>
                            </w:tabs>
                          </w:pPr>
                          <w:r>
                            <w:rPr>
                              <w:sz w:val="16"/>
                              <w:szCs w:val="16"/>
                            </w:rPr>
                            <w:t>526</w:t>
                          </w:r>
                          <w:r>
                            <w:rPr>
                              <w:sz w:val="16"/>
                              <w:szCs w:val="16"/>
                            </w:rPr>
                            <w:tab/>
                          </w:r>
                          <w:r>
                            <w:t>PARAINFLUENZA, VIRUS, INFECCIONES</w:t>
                          </w:r>
                        </w:p>
                      </w:txbxContent>
                    </wps:txbx>
                    <wps:bodyPr lIns="0" tIns="0" rIns="0" bIns="0">
                      <a:spAutoFit/>
                    </wps:bodyPr>
                  </wps:wsp>
                </a:graphicData>
              </a:graphic>
            </wp:anchor>
          </w:drawing>
        </mc:Choice>
        <mc:Fallback>
          <w:pict>
            <v:shapetype w14:anchorId="18D80930" id="_x0000_t202" coordsize="21600,21600" o:spt="202" path="m,l,21600r21600,l21600,xe">
              <v:stroke joinstyle="miter"/>
              <v:path gradientshapeok="t" o:connecttype="rect"/>
            </v:shapetype>
            <v:shape id="Shape 1397" o:spid="_x0000_s1108" type="#_x0000_t202" style="position:absolute;margin-left:42.05pt;margin-top:23.95pt;width:236.9pt;height:6.25pt;z-index:-251399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" filled="f" stroked="f">
              <v:textbox style="mso-fit-shape-to-text:t" inset="0,0,0,0">
                <w:txbxContent>
                  <w:p w14:paraId="18B68412" w14:textId="77777777" w:rsidR="00D03C17" w:rsidRDefault="00D03C17">
                    <w:pPr>
                      <w:pStyle w:val="Headerorfooter0"/>
                      <w:tabs>
                        <w:tab w:val="right" w:pos="4738"/>
                      </w:tabs>
                    </w:pPr>
                    <w:r>
                      <w:rPr>
                        <w:sz w:val="16"/>
                        <w:szCs w:val="16"/>
                      </w:rPr>
                      <w:t>526</w:t>
                    </w:r>
                    <w:r>
                      <w:rPr>
                        <w:sz w:val="16"/>
                        <w:szCs w:val="16"/>
                      </w:rPr>
                      <w:tab/>
                    </w:r>
                    <w:r>
                      <w:t>PARAINFLUENZA, VIRUS, INFECCIONES</w:t>
                    </w:r>
                  </w:p>
                </w:txbxContent>
              </v:textbox>
              <w10:wrap anchorx="page" anchory="page"/>
            </v:shape>
          </w:pict>
        </mc:Fallback>
      </mc:AlternateContent>
    </w:r>
    <w:r>
      <w:rPr>
        <w:noProof/>
      </w:rPr>
      <mc:AlternateContent>
        <mc:Choice Requires="wps">
          <w:drawing>
            <wp:anchor distT="0" distB="0" distL="114300" distR="114300" simplePos="0" relativeHeight="251717632" behindDoc="1" locked="0" layoutInCell="1" allowOverlap="1" wp14:anchorId="20B037B4" wp14:editId="2355AD0A">
              <wp:simplePos x="0" y="0"/>
              <wp:positionH relativeFrom="page">
                <wp:posOffset>518795</wp:posOffset>
              </wp:positionH>
              <wp:positionV relativeFrom="page">
                <wp:posOffset>412750</wp:posOffset>
              </wp:positionV>
              <wp:extent cx="4358640" cy="0"/>
              <wp:effectExtent l="0" t="0" r="0" b="0"/>
              <wp:wrapNone/>
              <wp:docPr id="1399" name="Shape 1399"/>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791D526D" id="_x0000_t32" coordsize="21600,21600" o:spt="32" o:oned="t" path="m,l21600,21600e" filled="f">
              <v:path arrowok="t" fillok="f" o:connecttype="none"/>
              <o:lock v:ext="edit" shapetype="t"/>
            </v:shapetype>
            <v:shape id="Shape 1399" o:spid="_x0000_s1026" type="#_x0000_t32" style="position:absolute;margin-left:40.85pt;margin-top:32.5pt;width:343.2pt;height:0;z-index:-25159884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" strokeweight="1pt">
              <w10:wrap anchorx="page" anchory="page"/>
            </v:shape>
          </w:pict>
        </mc:Fallback>
      </mc:AlternateContent>
    </w: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46AB2" w14:textId="77777777" w:rsidR="00D03C17" w:rsidRDefault="00D03C17">
    <w:pPr>
      <w:spacing w:line="1" w:lineRule="exact"/>
    </w:pPr>
    <w:r>
      <w:rPr>
        <w:noProof/>
      </w:rPr>
      <mc:AlternateContent>
        <mc:Choice Requires="wps">
          <w:drawing>
            <wp:anchor distT="0" distB="0" distL="0" distR="0" simplePos="0" relativeHeight="251916288" behindDoc="1" locked="0" layoutInCell="1" allowOverlap="1" wp14:anchorId="28DC1866" wp14:editId="1EA0CAA3">
              <wp:simplePos x="0" y="0"/>
              <wp:positionH relativeFrom="page">
                <wp:posOffset>534035</wp:posOffset>
              </wp:positionH>
              <wp:positionV relativeFrom="page">
                <wp:posOffset>304165</wp:posOffset>
              </wp:positionV>
              <wp:extent cx="3008630" cy="79375"/>
              <wp:effectExtent l="0" t="0" r="0" b="0"/>
              <wp:wrapNone/>
              <wp:docPr id="1394" name="Shape 1394"/>
              <wp:cNvGraphicFramePr/>
              <a:graphic xmlns:a="http://schemas.openxmlformats.org/drawingml/2006/main">
                <a:graphicData uri="http://schemas.microsoft.com/office/word/2010/wordprocessingShape">
                  <wps:wsp>
                    <wps:cNvSpPr txBox="1"/>
                    <wps:spPr>
                      <a:xfrm>
                        <a:off x="0" y="0"/>
                        <a:ext cx="3008630" cy="79375"/>
                      </a:xfrm>
                      <a:prstGeom prst="rect">
                        <a:avLst/>
                      </a:prstGeom>
                      <a:noFill/>
                    </wps:spPr>
                    <wps:txbx>
                      <w:txbxContent>
                        <w:p w14:paraId="5FA44DEB" w14:textId="77777777" w:rsidR="00D03C17" w:rsidRDefault="00D03C17">
                          <w:pPr>
                            <w:pStyle w:val="Headerorfooter0"/>
                            <w:tabs>
                              <w:tab w:val="right" w:pos="4738"/>
                            </w:tabs>
                          </w:pPr>
                          <w:r>
                            <w:rPr>
                              <w:sz w:val="16"/>
                              <w:szCs w:val="16"/>
                            </w:rPr>
                            <w:t>526</w:t>
                          </w:r>
                          <w:r>
                            <w:rPr>
                              <w:sz w:val="16"/>
                              <w:szCs w:val="16"/>
                            </w:rPr>
                            <w:tab/>
                          </w:r>
                          <w:r>
                            <w:t>PARAINFLUENZA, VIRUS, INFECCIONES</w:t>
                          </w:r>
                        </w:p>
                      </w:txbxContent>
                    </wps:txbx>
                    <wps:bodyPr lIns="0" tIns="0" rIns="0" bIns="0">
                      <a:spAutoFit/>
                    </wps:bodyPr>
                  </wps:wsp>
                </a:graphicData>
              </a:graphic>
            </wp:anchor>
          </w:drawing>
        </mc:Choice>
        <mc:Fallback>
          <w:pict>
            <v:shapetype w14:anchorId="28DC1866" id="_x0000_t202" coordsize="21600,21600" o:spt="202" path="m,l,21600r21600,l21600,xe">
              <v:stroke joinstyle="miter"/>
              <v:path gradientshapeok="t" o:connecttype="rect"/>
            </v:shapetype>
            <v:shape id="Shape 1394" o:spid="_x0000_s1109" type="#_x0000_t202" style="position:absolute;margin-left:42.05pt;margin-top:23.95pt;width:236.9pt;height:6.25pt;z-index:-251400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" filled="f" stroked="f">
              <v:textbox style="mso-fit-shape-to-text:t" inset="0,0,0,0">
                <w:txbxContent>
                  <w:p w14:paraId="5FA44DEB" w14:textId="77777777" w:rsidR="00D03C17" w:rsidRDefault="00D03C17">
                    <w:pPr>
                      <w:pStyle w:val="Headerorfooter0"/>
                      <w:tabs>
                        <w:tab w:val="right" w:pos="4738"/>
                      </w:tabs>
                    </w:pPr>
                    <w:r>
                      <w:rPr>
                        <w:sz w:val="16"/>
                        <w:szCs w:val="16"/>
                      </w:rPr>
                      <w:t>526</w:t>
                    </w:r>
                    <w:r>
                      <w:rPr>
                        <w:sz w:val="16"/>
                        <w:szCs w:val="16"/>
                      </w:rPr>
                      <w:tab/>
                    </w:r>
                    <w:r>
                      <w:t>PARAINFLUENZA, VIRUS, INFECCIONES</w:t>
                    </w:r>
                  </w:p>
                </w:txbxContent>
              </v:textbox>
              <w10:wrap anchorx="page" anchory="page"/>
            </v:shape>
          </w:pict>
        </mc:Fallback>
      </mc:AlternateContent>
    </w:r>
    <w:r>
      <w:rPr>
        <w:noProof/>
      </w:rPr>
      <mc:AlternateContent>
        <mc:Choice Requires="wps">
          <w:drawing>
            <wp:anchor distT="0" distB="0" distL="114300" distR="114300" simplePos="0" relativeHeight="251716608" behindDoc="1" locked="0" layoutInCell="1" allowOverlap="1" wp14:anchorId="198A90EE" wp14:editId="73E6B966">
              <wp:simplePos x="0" y="0"/>
              <wp:positionH relativeFrom="page">
                <wp:posOffset>518795</wp:posOffset>
              </wp:positionH>
              <wp:positionV relativeFrom="page">
                <wp:posOffset>412750</wp:posOffset>
              </wp:positionV>
              <wp:extent cx="4358640" cy="0"/>
              <wp:effectExtent l="0" t="0" r="0" b="0"/>
              <wp:wrapNone/>
              <wp:docPr id="1396" name="Shape 1396"/>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757A76E6" id="_x0000_t32" coordsize="21600,21600" o:spt="32" o:oned="t" path="m,l21600,21600e" filled="f">
              <v:path arrowok="t" fillok="f" o:connecttype="none"/>
              <o:lock v:ext="edit" shapetype="t"/>
            </v:shapetype>
            <v:shape id="Shape 1396" o:spid="_x0000_s1026" type="#_x0000_t32" style="position:absolute;margin-left:40.85pt;margin-top:32.5pt;width:343.2pt;height:0;z-index:-25159987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" strokeweight="1pt">
              <w10:wrap anchorx="page" anchory="page"/>
            </v:shape>
          </w:pict>
        </mc:Fallback>
      </mc:AlternateContent>
    </w: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32D65" w14:textId="77777777" w:rsidR="00D03C17" w:rsidRDefault="00D03C17">
    <w:pPr>
      <w:spacing w:line="1" w:lineRule="exact"/>
    </w:pPr>
    <w:r>
      <w:rPr>
        <w:noProof/>
      </w:rPr>
      <mc:AlternateContent>
        <mc:Choice Requires="wps">
          <w:drawing>
            <wp:anchor distT="0" distB="0" distL="0" distR="0" simplePos="0" relativeHeight="251919360" behindDoc="1" locked="0" layoutInCell="1" allowOverlap="1" wp14:anchorId="75636E12" wp14:editId="028297A9">
              <wp:simplePos x="0" y="0"/>
              <wp:positionH relativeFrom="page">
                <wp:posOffset>523240</wp:posOffset>
              </wp:positionH>
              <wp:positionV relativeFrom="page">
                <wp:posOffset>313690</wp:posOffset>
              </wp:positionV>
              <wp:extent cx="2447290" cy="69850"/>
              <wp:effectExtent l="0" t="0" r="0" b="0"/>
              <wp:wrapNone/>
              <wp:docPr id="1403" name="Shape 1403"/>
              <wp:cNvGraphicFramePr/>
              <a:graphic xmlns:a="http://schemas.openxmlformats.org/drawingml/2006/main">
                <a:graphicData uri="http://schemas.microsoft.com/office/word/2010/wordprocessingShape">
                  <wps:wsp>
                    <wps:cNvSpPr txBox="1"/>
                    <wps:spPr>
                      <a:xfrm>
                        <a:off x="0" y="0"/>
                        <a:ext cx="2447290" cy="69850"/>
                      </a:xfrm>
                      <a:prstGeom prst="rect">
                        <a:avLst/>
                      </a:prstGeom>
                      <a:noFill/>
                    </wps:spPr>
                    <wps:txbx>
                      <w:txbxContent>
                        <w:p w14:paraId="7A6577AF" w14:textId="77777777" w:rsidR="00D03C17" w:rsidRDefault="00D03C17">
                          <w:pPr>
                            <w:pStyle w:val="Headerorfooter0"/>
                            <w:tabs>
                              <w:tab w:val="right" w:pos="3854"/>
                            </w:tabs>
                          </w:pPr>
                          <w:r>
                            <w:rPr>
                              <w:sz w:val="16"/>
                              <w:szCs w:val="16"/>
                            </w:rPr>
                            <w:t>528</w:t>
                          </w:r>
                          <w:r>
                            <w:rPr>
                              <w:sz w:val="16"/>
                              <w:szCs w:val="16"/>
                            </w:rPr>
                            <w:tab/>
                          </w:r>
                          <w:r>
                            <w:t>PARASITOSIS</w:t>
                          </w:r>
                        </w:p>
                      </w:txbxContent>
                    </wps:txbx>
                    <wps:bodyPr lIns="0" tIns="0" rIns="0" bIns="0">
                      <a:spAutoFit/>
                    </wps:bodyPr>
                  </wps:wsp>
                </a:graphicData>
              </a:graphic>
            </wp:anchor>
          </w:drawing>
        </mc:Choice>
        <mc:Fallback>
          <w:pict>
            <v:shapetype w14:anchorId="75636E12" id="_x0000_t202" coordsize="21600,21600" o:spt="202" path="m,l,21600r21600,l21600,xe">
              <v:stroke joinstyle="miter"/>
              <v:path gradientshapeok="t" o:connecttype="rect"/>
            </v:shapetype>
            <v:shape id="Shape 1403" o:spid="_x0000_s1110" type="#_x0000_t202" style="position:absolute;margin-left:41.2pt;margin-top:24.7pt;width:192.7pt;height:5.5pt;z-index:-251397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" filled="f" stroked="f">
              <v:textbox style="mso-fit-shape-to-text:t" inset="0,0,0,0">
                <w:txbxContent>
                  <w:p w14:paraId="7A6577AF" w14:textId="77777777" w:rsidR="00D03C17" w:rsidRDefault="00D03C17">
                    <w:pPr>
                      <w:pStyle w:val="Headerorfooter0"/>
                      <w:tabs>
                        <w:tab w:val="right" w:pos="3854"/>
                      </w:tabs>
                    </w:pPr>
                    <w:r>
                      <w:rPr>
                        <w:sz w:val="16"/>
                        <w:szCs w:val="16"/>
                      </w:rPr>
                      <w:t>528</w:t>
                    </w:r>
                    <w:r>
                      <w:rPr>
                        <w:sz w:val="16"/>
                        <w:szCs w:val="16"/>
                      </w:rPr>
                      <w:tab/>
                    </w:r>
                    <w:r>
                      <w:t>PARASITOSIS</w:t>
                    </w:r>
                  </w:p>
                </w:txbxContent>
              </v:textbox>
              <w10:wrap anchorx="page" anchory="page"/>
            </v:shape>
          </w:pict>
        </mc:Fallback>
      </mc:AlternateContent>
    </w:r>
    <w:r>
      <w:rPr>
        <w:noProof/>
      </w:rPr>
      <mc:AlternateContent>
        <mc:Choice Requires="wps">
          <w:drawing>
            <wp:anchor distT="0" distB="0" distL="114300" distR="114300" simplePos="0" relativeHeight="251719680" behindDoc="1" locked="0" layoutInCell="1" allowOverlap="1" wp14:anchorId="6700F041" wp14:editId="2A0DE0DB">
              <wp:simplePos x="0" y="0"/>
              <wp:positionH relativeFrom="page">
                <wp:posOffset>508000</wp:posOffset>
              </wp:positionH>
              <wp:positionV relativeFrom="page">
                <wp:posOffset>421640</wp:posOffset>
              </wp:positionV>
              <wp:extent cx="4358640" cy="0"/>
              <wp:effectExtent l="0" t="0" r="0" b="0"/>
              <wp:wrapNone/>
              <wp:docPr id="1405" name="Shape 1405"/>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06030239" id="_x0000_t32" coordsize="21600,21600" o:spt="32" o:oned="t" path="m,l21600,21600e" filled="f">
              <v:path arrowok="t" fillok="f" o:connecttype="none"/>
              <o:lock v:ext="edit" shapetype="t"/>
            </v:shapetype>
            <v:shape id="Shape 1405" o:spid="_x0000_s1026" type="#_x0000_t32" style="position:absolute;margin-left:40pt;margin-top:33.2pt;width:343.2pt;height:0;z-index:-25159680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" strokeweight="1pt">
              <w10:wrap anchorx="page" anchory="page"/>
            </v:shape>
          </w:pict>
        </mc:Fallback>
      </mc:AlternateContent>
    </w: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35245" w14:textId="77777777" w:rsidR="00D03C17" w:rsidRDefault="00D03C17">
    <w:pPr>
      <w:spacing w:line="1" w:lineRule="exact"/>
    </w:pPr>
    <w:r>
      <w:rPr>
        <w:noProof/>
      </w:rPr>
      <mc:AlternateContent>
        <mc:Choice Requires="wps">
          <w:drawing>
            <wp:anchor distT="0" distB="0" distL="0" distR="0" simplePos="0" relativeHeight="251918336" behindDoc="1" locked="0" layoutInCell="1" allowOverlap="1" wp14:anchorId="717809F9" wp14:editId="25237C30">
              <wp:simplePos x="0" y="0"/>
              <wp:positionH relativeFrom="page">
                <wp:posOffset>523240</wp:posOffset>
              </wp:positionH>
              <wp:positionV relativeFrom="page">
                <wp:posOffset>313690</wp:posOffset>
              </wp:positionV>
              <wp:extent cx="2447290" cy="69850"/>
              <wp:effectExtent l="0" t="0" r="0" b="0"/>
              <wp:wrapNone/>
              <wp:docPr id="1400" name="Shape 1400"/>
              <wp:cNvGraphicFramePr/>
              <a:graphic xmlns:a="http://schemas.openxmlformats.org/drawingml/2006/main">
                <a:graphicData uri="http://schemas.microsoft.com/office/word/2010/wordprocessingShape">
                  <wps:wsp>
                    <wps:cNvSpPr txBox="1"/>
                    <wps:spPr>
                      <a:xfrm>
                        <a:off x="0" y="0"/>
                        <a:ext cx="2447290" cy="69850"/>
                      </a:xfrm>
                      <a:prstGeom prst="rect">
                        <a:avLst/>
                      </a:prstGeom>
                      <a:noFill/>
                    </wps:spPr>
                    <wps:txbx>
                      <w:txbxContent>
                        <w:p w14:paraId="17209F90" w14:textId="77777777" w:rsidR="00D03C17" w:rsidRDefault="00D03C17">
                          <w:pPr>
                            <w:pStyle w:val="Headerorfooter0"/>
                            <w:tabs>
                              <w:tab w:val="right" w:pos="3854"/>
                            </w:tabs>
                          </w:pPr>
                          <w:r>
                            <w:rPr>
                              <w:sz w:val="16"/>
                              <w:szCs w:val="16"/>
                            </w:rPr>
                            <w:t>528</w:t>
                          </w:r>
                          <w:r>
                            <w:rPr>
                              <w:sz w:val="16"/>
                              <w:szCs w:val="16"/>
                            </w:rPr>
                            <w:tab/>
                          </w:r>
                          <w:r>
                            <w:t>PARASITOSIS</w:t>
                          </w:r>
                        </w:p>
                      </w:txbxContent>
                    </wps:txbx>
                    <wps:bodyPr lIns="0" tIns="0" rIns="0" bIns="0">
                      <a:spAutoFit/>
                    </wps:bodyPr>
                  </wps:wsp>
                </a:graphicData>
              </a:graphic>
            </wp:anchor>
          </w:drawing>
        </mc:Choice>
        <mc:Fallback>
          <w:pict>
            <v:shapetype w14:anchorId="717809F9" id="_x0000_t202" coordsize="21600,21600" o:spt="202" path="m,l,21600r21600,l21600,xe">
              <v:stroke joinstyle="miter"/>
              <v:path gradientshapeok="t" o:connecttype="rect"/>
            </v:shapetype>
            <v:shape id="Shape 1400" o:spid="_x0000_s1111" type="#_x0000_t202" style="position:absolute;margin-left:41.2pt;margin-top:24.7pt;width:192.7pt;height:5.5pt;z-index:-251398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" filled="f" stroked="f">
              <v:textbox style="mso-fit-shape-to-text:t" inset="0,0,0,0">
                <w:txbxContent>
                  <w:p w14:paraId="17209F90" w14:textId="77777777" w:rsidR="00D03C17" w:rsidRDefault="00D03C17">
                    <w:pPr>
                      <w:pStyle w:val="Headerorfooter0"/>
                      <w:tabs>
                        <w:tab w:val="right" w:pos="3854"/>
                      </w:tabs>
                    </w:pPr>
                    <w:r>
                      <w:rPr>
                        <w:sz w:val="16"/>
                        <w:szCs w:val="16"/>
                      </w:rPr>
                      <w:t>528</w:t>
                    </w:r>
                    <w:r>
                      <w:rPr>
                        <w:sz w:val="16"/>
                        <w:szCs w:val="16"/>
                      </w:rPr>
                      <w:tab/>
                    </w:r>
                    <w:r>
                      <w:t>PARASITOSIS</w:t>
                    </w:r>
                  </w:p>
                </w:txbxContent>
              </v:textbox>
              <w10:wrap anchorx="page" anchory="page"/>
            </v:shape>
          </w:pict>
        </mc:Fallback>
      </mc:AlternateContent>
    </w:r>
    <w:r>
      <w:rPr>
        <w:noProof/>
      </w:rPr>
      <mc:AlternateContent>
        <mc:Choice Requires="wps">
          <w:drawing>
            <wp:anchor distT="0" distB="0" distL="114300" distR="114300" simplePos="0" relativeHeight="251718656" behindDoc="1" locked="0" layoutInCell="1" allowOverlap="1" wp14:anchorId="5D5FF21C" wp14:editId="44D8109C">
              <wp:simplePos x="0" y="0"/>
              <wp:positionH relativeFrom="page">
                <wp:posOffset>508000</wp:posOffset>
              </wp:positionH>
              <wp:positionV relativeFrom="page">
                <wp:posOffset>421640</wp:posOffset>
              </wp:positionV>
              <wp:extent cx="4358640" cy="0"/>
              <wp:effectExtent l="0" t="0" r="0" b="0"/>
              <wp:wrapNone/>
              <wp:docPr id="1402" name="Shape 1402"/>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13F8131D" id="_x0000_t32" coordsize="21600,21600" o:spt="32" o:oned="t" path="m,l21600,21600e" filled="f">
              <v:path arrowok="t" fillok="f" o:connecttype="none"/>
              <o:lock v:ext="edit" shapetype="t"/>
            </v:shapetype>
            <v:shape id="Shape 1402" o:spid="_x0000_s1026" type="#_x0000_t32" style="position:absolute;margin-left:40pt;margin-top:33.2pt;width:343.2pt;height:0;z-index:-25159782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" strokeweight="1pt">
              <w10:wrap anchorx="page" anchory="page"/>
            </v:shape>
          </w:pict>
        </mc:Fallback>
      </mc:AlternateContent>
    </w: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C9E7C" w14:textId="77777777" w:rsidR="00D03C17" w:rsidRDefault="00D03C17">
    <w:pPr>
      <w:spacing w:line="1" w:lineRule="exact"/>
    </w:pPr>
    <w:r>
      <w:rPr>
        <w:noProof/>
      </w:rPr>
      <mc:AlternateContent>
        <mc:Choice Requires="wps">
          <w:drawing>
            <wp:anchor distT="0" distB="0" distL="0" distR="0" simplePos="0" relativeHeight="251920384" behindDoc="1" locked="0" layoutInCell="1" allowOverlap="1" wp14:anchorId="300214DA" wp14:editId="5AE6C36A">
              <wp:simplePos x="0" y="0"/>
              <wp:positionH relativeFrom="page">
                <wp:posOffset>2405380</wp:posOffset>
              </wp:positionH>
              <wp:positionV relativeFrom="page">
                <wp:posOffset>313690</wp:posOffset>
              </wp:positionV>
              <wp:extent cx="2441575" cy="69850"/>
              <wp:effectExtent l="0" t="0" r="0" b="0"/>
              <wp:wrapNone/>
              <wp:docPr id="1406" name="Shape 1406"/>
              <wp:cNvGraphicFramePr/>
              <a:graphic xmlns:a="http://schemas.openxmlformats.org/drawingml/2006/main">
                <a:graphicData uri="http://schemas.microsoft.com/office/word/2010/wordprocessingShape">
                  <wps:wsp>
                    <wps:cNvSpPr txBox="1"/>
                    <wps:spPr>
                      <a:xfrm>
                        <a:off x="0" y="0"/>
                        <a:ext cx="2441575" cy="69850"/>
                      </a:xfrm>
                      <a:prstGeom prst="rect">
                        <a:avLst/>
                      </a:prstGeom>
                      <a:noFill/>
                    </wps:spPr>
                    <wps:txbx>
                      <w:txbxContent>
                        <w:p w14:paraId="6C3158AA" w14:textId="77777777" w:rsidR="00D03C17" w:rsidRDefault="00D03C17">
                          <w:pPr>
                            <w:pStyle w:val="Headerorfooter0"/>
                            <w:tabs>
                              <w:tab w:val="right" w:pos="3845"/>
                            </w:tabs>
                            <w:rPr>
                              <w:sz w:val="16"/>
                              <w:szCs w:val="16"/>
                            </w:rPr>
                          </w:pPr>
                          <w:r>
                            <w:t>PARASITOSIS</w:t>
                          </w:r>
                          <w:r>
                            <w:tab/>
                          </w:r>
                          <w:r>
                            <w:rPr>
                              <w:sz w:val="16"/>
                              <w:szCs w:val="16"/>
                            </w:rPr>
                            <w:t>527</w:t>
                          </w:r>
                        </w:p>
                      </w:txbxContent>
                    </wps:txbx>
                    <wps:bodyPr lIns="0" tIns="0" rIns="0" bIns="0">
                      <a:spAutoFit/>
                    </wps:bodyPr>
                  </wps:wsp>
                </a:graphicData>
              </a:graphic>
            </wp:anchor>
          </w:drawing>
        </mc:Choice>
        <mc:Fallback>
          <w:pict>
            <v:shapetype w14:anchorId="300214DA" id="_x0000_t202" coordsize="21600,21600" o:spt="202" path="m,l,21600r21600,l21600,xe">
              <v:stroke joinstyle="miter"/>
              <v:path gradientshapeok="t" o:connecttype="rect"/>
            </v:shapetype>
            <v:shape id="Shape 1406" o:spid="_x0000_s1112" type="#_x0000_t202" style="position:absolute;margin-left:189.4pt;margin-top:24.7pt;width:192.25pt;height:5.5pt;z-index:-251396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" filled="f" stroked="f">
              <v:textbox style="mso-fit-shape-to-text:t" inset="0,0,0,0">
                <w:txbxContent>
                  <w:p w14:paraId="6C3158AA" w14:textId="77777777" w:rsidR="00D03C17" w:rsidRDefault="00D03C17">
                    <w:pPr>
                      <w:pStyle w:val="Headerorfooter0"/>
                      <w:tabs>
                        <w:tab w:val="right" w:pos="3845"/>
                      </w:tabs>
                      <w:rPr>
                        <w:sz w:val="16"/>
                        <w:szCs w:val="16"/>
                      </w:rPr>
                    </w:pPr>
                    <w:r>
                      <w:t>PARASITOSIS</w:t>
                    </w:r>
                    <w:r>
                      <w:tab/>
                    </w:r>
                    <w:r>
                      <w:rPr>
                        <w:sz w:val="16"/>
                        <w:szCs w:val="16"/>
                      </w:rPr>
                      <w:t>527</w:t>
                    </w:r>
                  </w:p>
                </w:txbxContent>
              </v:textbox>
              <w10:wrap anchorx="page" anchory="page"/>
            </v:shape>
          </w:pict>
        </mc:Fallback>
      </mc:AlternateContent>
    </w:r>
    <w:r>
      <w:rPr>
        <w:noProof/>
      </w:rPr>
      <mc:AlternateContent>
        <mc:Choice Requires="wps">
          <w:drawing>
            <wp:anchor distT="0" distB="0" distL="114300" distR="114300" simplePos="0" relativeHeight="251720704" behindDoc="1" locked="0" layoutInCell="1" allowOverlap="1" wp14:anchorId="61E399A4" wp14:editId="738A0423">
              <wp:simplePos x="0" y="0"/>
              <wp:positionH relativeFrom="page">
                <wp:posOffset>509270</wp:posOffset>
              </wp:positionH>
              <wp:positionV relativeFrom="page">
                <wp:posOffset>421640</wp:posOffset>
              </wp:positionV>
              <wp:extent cx="4358640" cy="0"/>
              <wp:effectExtent l="0" t="0" r="0" b="0"/>
              <wp:wrapNone/>
              <wp:docPr id="1408" name="Shape 1408"/>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5F53FD9B" id="_x0000_t32" coordsize="21600,21600" o:spt="32" o:oned="t" path="m,l21600,21600e" filled="f">
              <v:path arrowok="t" fillok="f" o:connecttype="none"/>
              <o:lock v:ext="edit" shapetype="t"/>
            </v:shapetype>
            <v:shape id="Shape 1408" o:spid="_x0000_s1026" type="#_x0000_t32" style="position:absolute;margin-left:40.1pt;margin-top:33.2pt;width:343.2pt;height:0;z-index:-25159577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" strokeweight="1pt">
              <w10:wrap anchorx="page" anchory="page"/>
            </v:shape>
          </w:pict>
        </mc:Fallback>
      </mc:AlternateContent>
    </w: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12457" w14:textId="77777777" w:rsidR="00D03C17" w:rsidRDefault="00D03C17">
    <w:pPr>
      <w:spacing w:line="1" w:lineRule="exact"/>
    </w:pPr>
    <w:r>
      <w:rPr>
        <w:noProof/>
      </w:rPr>
      <mc:AlternateContent>
        <mc:Choice Requires="wps">
          <w:drawing>
            <wp:anchor distT="0" distB="0" distL="0" distR="0" simplePos="0" relativeHeight="251922432" behindDoc="1" locked="0" layoutInCell="1" allowOverlap="1" wp14:anchorId="10CDB192" wp14:editId="3E21F572">
              <wp:simplePos x="0" y="0"/>
              <wp:positionH relativeFrom="page">
                <wp:posOffset>2330450</wp:posOffset>
              </wp:positionH>
              <wp:positionV relativeFrom="page">
                <wp:posOffset>313690</wp:posOffset>
              </wp:positionV>
              <wp:extent cx="2523490" cy="69850"/>
              <wp:effectExtent l="0" t="0" r="0" b="0"/>
              <wp:wrapNone/>
              <wp:docPr id="1411" name="Shape 1411"/>
              <wp:cNvGraphicFramePr/>
              <a:graphic xmlns:a="http://schemas.openxmlformats.org/drawingml/2006/main">
                <a:graphicData uri="http://schemas.microsoft.com/office/word/2010/wordprocessingShape">
                  <wps:wsp>
                    <wps:cNvSpPr txBox="1"/>
                    <wps:spPr>
                      <a:xfrm>
                        <a:off x="0" y="0"/>
                        <a:ext cx="2523490" cy="69850"/>
                      </a:xfrm>
                      <a:prstGeom prst="rect">
                        <a:avLst/>
                      </a:prstGeom>
                      <a:noFill/>
                    </wps:spPr>
                    <wps:txbx>
                      <w:txbxContent>
                        <w:p w14:paraId="34EC3228" w14:textId="77777777" w:rsidR="00D03C17" w:rsidRDefault="00D03C17">
                          <w:pPr>
                            <w:pStyle w:val="Headerorfooter0"/>
                            <w:tabs>
                              <w:tab w:val="right" w:pos="3974"/>
                            </w:tabs>
                            <w:rPr>
                              <w:sz w:val="16"/>
                              <w:szCs w:val="16"/>
                            </w:rPr>
                          </w:pPr>
                          <w:r>
                            <w:t>PARVOVIRUS B19</w:t>
                          </w:r>
                          <w:r>
                            <w:tab/>
                          </w:r>
                          <w:r>
                            <w:rPr>
                              <w:sz w:val="16"/>
                              <w:szCs w:val="16"/>
                            </w:rPr>
                            <w:t>535</w:t>
                          </w:r>
                        </w:p>
                      </w:txbxContent>
                    </wps:txbx>
                    <wps:bodyPr lIns="0" tIns="0" rIns="0" bIns="0">
                      <a:spAutoFit/>
                    </wps:bodyPr>
                  </wps:wsp>
                </a:graphicData>
              </a:graphic>
            </wp:anchor>
          </w:drawing>
        </mc:Choice>
        <mc:Fallback>
          <w:pict>
            <v:shapetype w14:anchorId="10CDB192" id="_x0000_t202" coordsize="21600,21600" o:spt="202" path="m,l,21600r21600,l21600,xe">
              <v:stroke joinstyle="miter"/>
              <v:path gradientshapeok="t" o:connecttype="rect"/>
            </v:shapetype>
            <v:shape id="Shape 1411" o:spid="_x0000_s1113" type="#_x0000_t202" style="position:absolute;margin-left:183.5pt;margin-top:24.7pt;width:198.7pt;height:5.5pt;z-index:-251394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" filled="f" stroked="f">
              <v:textbox style="mso-fit-shape-to-text:t" inset="0,0,0,0">
                <w:txbxContent>
                  <w:p w14:paraId="34EC3228" w14:textId="77777777" w:rsidR="00D03C17" w:rsidRDefault="00D03C17">
                    <w:pPr>
                      <w:pStyle w:val="Headerorfooter0"/>
                      <w:tabs>
                        <w:tab w:val="right" w:pos="3974"/>
                      </w:tabs>
                      <w:rPr>
                        <w:sz w:val="16"/>
                        <w:szCs w:val="16"/>
                      </w:rPr>
                    </w:pPr>
                    <w:r>
                      <w:t>PARVOVIRUS B19</w:t>
                    </w:r>
                    <w:r>
                      <w:tab/>
                    </w:r>
                    <w:r>
                      <w:rPr>
                        <w:sz w:val="16"/>
                        <w:szCs w:val="16"/>
                      </w:rPr>
                      <w:t>535</w:t>
                    </w:r>
                  </w:p>
                </w:txbxContent>
              </v:textbox>
              <w10:wrap anchorx="page" anchory="page"/>
            </v:shape>
          </w:pict>
        </mc:Fallback>
      </mc:AlternateContent>
    </w:r>
    <w:r>
      <w:rPr>
        <w:noProof/>
      </w:rPr>
      <mc:AlternateContent>
        <mc:Choice Requires="wps">
          <w:drawing>
            <wp:anchor distT="0" distB="0" distL="114300" distR="114300" simplePos="0" relativeHeight="251721728" behindDoc="1" locked="0" layoutInCell="1" allowOverlap="1" wp14:anchorId="37D1F43A" wp14:editId="0C93186F">
              <wp:simplePos x="0" y="0"/>
              <wp:positionH relativeFrom="page">
                <wp:posOffset>516890</wp:posOffset>
              </wp:positionH>
              <wp:positionV relativeFrom="page">
                <wp:posOffset>421640</wp:posOffset>
              </wp:positionV>
              <wp:extent cx="4358640" cy="0"/>
              <wp:effectExtent l="0" t="0" r="0" b="0"/>
              <wp:wrapNone/>
              <wp:docPr id="1413" name="Shape 1413"/>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7137A530" id="_x0000_t32" coordsize="21600,21600" o:spt="32" o:oned="t" path="m,l21600,21600e" filled="f">
              <v:path arrowok="t" fillok="f" o:connecttype="none"/>
              <o:lock v:ext="edit" shapetype="t"/>
            </v:shapetype>
            <v:shape id="Shape 1413" o:spid="_x0000_s1026" type="#_x0000_t32" style="position:absolute;margin-left:40.7pt;margin-top:33.2pt;width:343.2pt;height:0;z-index:-25159475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" strokeweight="1pt">
              <w10:wrap anchorx="page" anchory="page"/>
            </v:shape>
          </w:pict>
        </mc:Fallback>
      </mc:AlternateContent>
    </w: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5CA7D" w14:textId="77777777" w:rsidR="00D03C17" w:rsidRDefault="00D03C17">
    <w:pPr>
      <w:spacing w:line="1" w:lineRule="exact"/>
    </w:pPr>
    <w:r>
      <w:rPr>
        <w:noProof/>
      </w:rPr>
      <mc:AlternateContent>
        <mc:Choice Requires="wps">
          <w:drawing>
            <wp:anchor distT="0" distB="0" distL="0" distR="0" simplePos="0" relativeHeight="251921408" behindDoc="1" locked="0" layoutInCell="1" allowOverlap="1" wp14:anchorId="021D191E" wp14:editId="31594F9E">
              <wp:simplePos x="0" y="0"/>
              <wp:positionH relativeFrom="page">
                <wp:posOffset>520065</wp:posOffset>
              </wp:positionH>
              <wp:positionV relativeFrom="page">
                <wp:posOffset>313690</wp:posOffset>
              </wp:positionV>
              <wp:extent cx="2529840" cy="69850"/>
              <wp:effectExtent l="0" t="0" r="0" b="0"/>
              <wp:wrapNone/>
              <wp:docPr id="1409" name="Shape 1409"/>
              <wp:cNvGraphicFramePr/>
              <a:graphic xmlns:a="http://schemas.openxmlformats.org/drawingml/2006/main">
                <a:graphicData uri="http://schemas.microsoft.com/office/word/2010/wordprocessingShape">
                  <wps:wsp>
                    <wps:cNvSpPr txBox="1"/>
                    <wps:spPr>
                      <a:xfrm>
                        <a:off x="0" y="0"/>
                        <a:ext cx="2529840" cy="69850"/>
                      </a:xfrm>
                      <a:prstGeom prst="rect">
                        <a:avLst/>
                      </a:prstGeom>
                      <a:noFill/>
                    </wps:spPr>
                    <wps:txbx>
                      <w:txbxContent>
                        <w:p w14:paraId="75AF12BB" w14:textId="77777777" w:rsidR="00D03C17" w:rsidRDefault="00D03C17">
                          <w:pPr>
                            <w:pStyle w:val="Headerorfooter0"/>
                            <w:tabs>
                              <w:tab w:val="right" w:pos="3984"/>
                            </w:tabs>
                          </w:pPr>
                          <w:r>
                            <w:rPr>
                              <w:sz w:val="16"/>
                              <w:szCs w:val="16"/>
                            </w:rPr>
                            <w:t>536</w:t>
                          </w:r>
                          <w:r>
                            <w:rPr>
                              <w:sz w:val="16"/>
                              <w:szCs w:val="16"/>
                            </w:rPr>
                            <w:tab/>
                          </w:r>
                          <w:r>
                            <w:t>PARVOVIRUS B19</w:t>
                          </w:r>
                        </w:p>
                      </w:txbxContent>
                    </wps:txbx>
                    <wps:bodyPr lIns="0" tIns="0" rIns="0" bIns="0">
                      <a:spAutoFit/>
                    </wps:bodyPr>
                  </wps:wsp>
                </a:graphicData>
              </a:graphic>
            </wp:anchor>
          </w:drawing>
        </mc:Choice>
        <mc:Fallback>
          <w:pict>
            <v:shapetype w14:anchorId="021D191E" id="_x0000_t202" coordsize="21600,21600" o:spt="202" path="m,l,21600r21600,l21600,xe">
              <v:stroke joinstyle="miter"/>
              <v:path gradientshapeok="t" o:connecttype="rect"/>
            </v:shapetype>
            <v:shape id="Shape 1409" o:spid="_x0000_s1114" type="#_x0000_t202" style="position:absolute;margin-left:40.95pt;margin-top:24.7pt;width:199.2pt;height:5.5pt;z-index:-251395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" filled="f" stroked="f">
              <v:textbox style="mso-fit-shape-to-text:t" inset="0,0,0,0">
                <w:txbxContent>
                  <w:p w14:paraId="75AF12BB" w14:textId="77777777" w:rsidR="00D03C17" w:rsidRDefault="00D03C17">
                    <w:pPr>
                      <w:pStyle w:val="Headerorfooter0"/>
                      <w:tabs>
                        <w:tab w:val="right" w:pos="3984"/>
                      </w:tabs>
                    </w:pPr>
                    <w:r>
                      <w:rPr>
                        <w:sz w:val="16"/>
                        <w:szCs w:val="16"/>
                      </w:rPr>
                      <w:t>536</w:t>
                    </w:r>
                    <w:r>
                      <w:rPr>
                        <w:sz w:val="16"/>
                        <w:szCs w:val="16"/>
                      </w:rPr>
                      <w:tab/>
                    </w:r>
                    <w:r>
                      <w:t>PARVOVIRUS B19</w:t>
                    </w:r>
                  </w:p>
                </w:txbxContent>
              </v:textbox>
              <w10:wrap anchorx="page" anchory="page"/>
            </v:shape>
          </w:pict>
        </mc:Fallback>
      </mc:AlternateContent>
    </w: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CBFC1" w14:textId="77777777" w:rsidR="00D03C17" w:rsidRDefault="00D03C17">
    <w:pPr>
      <w:spacing w:line="1" w:lineRule="exact"/>
    </w:pPr>
    <w:r>
      <w:rPr>
        <w:noProof/>
      </w:rPr>
      <mc:AlternateContent>
        <mc:Choice Requires="wps">
          <w:drawing>
            <wp:anchor distT="0" distB="0" distL="0" distR="0" simplePos="0" relativeHeight="251924480" behindDoc="1" locked="0" layoutInCell="1" allowOverlap="1" wp14:anchorId="4A503153" wp14:editId="01810E3B">
              <wp:simplePos x="0" y="0"/>
              <wp:positionH relativeFrom="page">
                <wp:posOffset>524510</wp:posOffset>
              </wp:positionH>
              <wp:positionV relativeFrom="page">
                <wp:posOffset>304165</wp:posOffset>
              </wp:positionV>
              <wp:extent cx="2800985" cy="79375"/>
              <wp:effectExtent l="0" t="0" r="0" b="0"/>
              <wp:wrapNone/>
              <wp:docPr id="1417" name="Shape 1417"/>
              <wp:cNvGraphicFramePr/>
              <a:graphic xmlns:a="http://schemas.openxmlformats.org/drawingml/2006/main">
                <a:graphicData uri="http://schemas.microsoft.com/office/word/2010/wordprocessingShape">
                  <wps:wsp>
                    <wps:cNvSpPr txBox="1"/>
                    <wps:spPr>
                      <a:xfrm>
                        <a:off x="0" y="0"/>
                        <a:ext cx="2800985" cy="79375"/>
                      </a:xfrm>
                      <a:prstGeom prst="rect">
                        <a:avLst/>
                      </a:prstGeom>
                      <a:noFill/>
                    </wps:spPr>
                    <wps:txbx>
                      <w:txbxContent>
                        <w:p w14:paraId="20C26CBF" w14:textId="77777777" w:rsidR="00D03C17" w:rsidRDefault="00D03C17">
                          <w:pPr>
                            <w:pStyle w:val="Headerorfooter0"/>
                            <w:tabs>
                              <w:tab w:val="right" w:pos="4411"/>
                            </w:tabs>
                          </w:pPr>
                          <w:r>
                            <w:rPr>
                              <w:sz w:val="16"/>
                              <w:szCs w:val="16"/>
                            </w:rPr>
                            <w:t>538</w:t>
                          </w:r>
                          <w:r>
                            <w:rPr>
                              <w:sz w:val="16"/>
                              <w:szCs w:val="16"/>
                            </w:rPr>
                            <w:tab/>
                          </w:r>
                          <w:r>
                            <w:rPr>
                              <w:i/>
                              <w:iCs/>
                            </w:rPr>
                            <w:t>PASTEURELLA,</w:t>
                          </w:r>
                          <w:r>
                            <w:t xml:space="preserve"> INFECCIONES</w:t>
                          </w:r>
                        </w:p>
                      </w:txbxContent>
                    </wps:txbx>
                    <wps:bodyPr lIns="0" tIns="0" rIns="0" bIns="0">
                      <a:spAutoFit/>
                    </wps:bodyPr>
                  </wps:wsp>
                </a:graphicData>
              </a:graphic>
            </wp:anchor>
          </w:drawing>
        </mc:Choice>
        <mc:Fallback>
          <w:pict>
            <v:shapetype w14:anchorId="4A503153" id="_x0000_t202" coordsize="21600,21600" o:spt="202" path="m,l,21600r21600,l21600,xe">
              <v:stroke joinstyle="miter"/>
              <v:path gradientshapeok="t" o:connecttype="rect"/>
            </v:shapetype>
            <v:shape id="Shape 1417" o:spid="_x0000_s1115" type="#_x0000_t202" style="position:absolute;margin-left:41.3pt;margin-top:23.95pt;width:220.55pt;height:6.25pt;z-index:-251392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" filled="f" stroked="f">
              <v:textbox style="mso-fit-shape-to-text:t" inset="0,0,0,0">
                <w:txbxContent>
                  <w:p w14:paraId="20C26CBF" w14:textId="77777777" w:rsidR="00D03C17" w:rsidRDefault="00D03C17">
                    <w:pPr>
                      <w:pStyle w:val="Headerorfooter0"/>
                      <w:tabs>
                        <w:tab w:val="right" w:pos="4411"/>
                      </w:tabs>
                    </w:pPr>
                    <w:r>
                      <w:rPr>
                        <w:sz w:val="16"/>
                        <w:szCs w:val="16"/>
                      </w:rPr>
                      <w:t>538</w:t>
                    </w:r>
                    <w:r>
                      <w:rPr>
                        <w:sz w:val="16"/>
                        <w:szCs w:val="16"/>
                      </w:rPr>
                      <w:tab/>
                    </w:r>
                    <w:r>
                      <w:rPr>
                        <w:i/>
                        <w:iCs/>
                      </w:rPr>
                      <w:t>PASTEURELLA,</w:t>
                    </w:r>
                    <w:r>
                      <w:t xml:space="preserve"> INFECCIONES</w:t>
                    </w:r>
                  </w:p>
                </w:txbxContent>
              </v:textbox>
              <w10:wrap anchorx="page" anchory="page"/>
            </v:shape>
          </w:pict>
        </mc:Fallback>
      </mc:AlternateContent>
    </w:r>
    <w:r>
      <w:rPr>
        <w:noProof/>
      </w:rPr>
      <mc:AlternateContent>
        <mc:Choice Requires="wps">
          <w:drawing>
            <wp:anchor distT="0" distB="0" distL="114300" distR="114300" simplePos="0" relativeHeight="251723776" behindDoc="1" locked="0" layoutInCell="1" allowOverlap="1" wp14:anchorId="4F0B8F13" wp14:editId="097CBB1A">
              <wp:simplePos x="0" y="0"/>
              <wp:positionH relativeFrom="page">
                <wp:posOffset>509270</wp:posOffset>
              </wp:positionH>
              <wp:positionV relativeFrom="page">
                <wp:posOffset>412750</wp:posOffset>
              </wp:positionV>
              <wp:extent cx="4358640" cy="0"/>
              <wp:effectExtent l="0" t="0" r="0" b="0"/>
              <wp:wrapNone/>
              <wp:docPr id="1419" name="Shape 1419"/>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6F09BC42" id="_x0000_t32" coordsize="21600,21600" o:spt="32" o:oned="t" path="m,l21600,21600e" filled="f">
              <v:path arrowok="t" fillok="f" o:connecttype="none"/>
              <o:lock v:ext="edit" shapetype="t"/>
            </v:shapetype>
            <v:shape id="Shape 1419" o:spid="_x0000_s1026" type="#_x0000_t32" style="position:absolute;margin-left:40.1pt;margin-top:32.5pt;width:343.2pt;height:0;z-index:-25159270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" strokeweight="1pt">
              <w10:wrap anchorx="page" anchory="page"/>
            </v:shape>
          </w:pict>
        </mc:Fallback>
      </mc:AlternateContent>
    </w: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8EC70" w14:textId="77777777" w:rsidR="00D03C17" w:rsidRDefault="00D03C17">
    <w:pPr>
      <w:spacing w:line="1" w:lineRule="exact"/>
    </w:pPr>
    <w:r>
      <w:rPr>
        <w:noProof/>
      </w:rPr>
      <mc:AlternateContent>
        <mc:Choice Requires="wps">
          <w:drawing>
            <wp:anchor distT="0" distB="0" distL="0" distR="0" simplePos="0" relativeHeight="251923456" behindDoc="1" locked="0" layoutInCell="1" allowOverlap="1" wp14:anchorId="1122824E" wp14:editId="73EDA41A">
              <wp:simplePos x="0" y="0"/>
              <wp:positionH relativeFrom="page">
                <wp:posOffset>524510</wp:posOffset>
              </wp:positionH>
              <wp:positionV relativeFrom="page">
                <wp:posOffset>304165</wp:posOffset>
              </wp:positionV>
              <wp:extent cx="2800985" cy="79375"/>
              <wp:effectExtent l="0" t="0" r="0" b="0"/>
              <wp:wrapNone/>
              <wp:docPr id="1414" name="Shape 1414"/>
              <wp:cNvGraphicFramePr/>
              <a:graphic xmlns:a="http://schemas.openxmlformats.org/drawingml/2006/main">
                <a:graphicData uri="http://schemas.microsoft.com/office/word/2010/wordprocessingShape">
                  <wps:wsp>
                    <wps:cNvSpPr txBox="1"/>
                    <wps:spPr>
                      <a:xfrm>
                        <a:off x="0" y="0"/>
                        <a:ext cx="2800985" cy="79375"/>
                      </a:xfrm>
                      <a:prstGeom prst="rect">
                        <a:avLst/>
                      </a:prstGeom>
                      <a:noFill/>
                    </wps:spPr>
                    <wps:txbx>
                      <w:txbxContent>
                        <w:p w14:paraId="768AEEBB" w14:textId="77777777" w:rsidR="00D03C17" w:rsidRDefault="00D03C17">
                          <w:pPr>
                            <w:pStyle w:val="Headerorfooter0"/>
                            <w:tabs>
                              <w:tab w:val="right" w:pos="4411"/>
                            </w:tabs>
                          </w:pPr>
                          <w:r>
                            <w:rPr>
                              <w:sz w:val="16"/>
                              <w:szCs w:val="16"/>
                            </w:rPr>
                            <w:t>538</w:t>
                          </w:r>
                          <w:r>
                            <w:rPr>
                              <w:sz w:val="16"/>
                              <w:szCs w:val="16"/>
                            </w:rPr>
                            <w:tab/>
                          </w:r>
                          <w:r>
                            <w:rPr>
                              <w:i/>
                              <w:iCs/>
                            </w:rPr>
                            <w:t>PASTEURELLA,</w:t>
                          </w:r>
                          <w:r>
                            <w:t xml:space="preserve"> INFECCIONES</w:t>
                          </w:r>
                        </w:p>
                      </w:txbxContent>
                    </wps:txbx>
                    <wps:bodyPr lIns="0" tIns="0" rIns="0" bIns="0">
                      <a:spAutoFit/>
                    </wps:bodyPr>
                  </wps:wsp>
                </a:graphicData>
              </a:graphic>
            </wp:anchor>
          </w:drawing>
        </mc:Choice>
        <mc:Fallback>
          <w:pict>
            <v:shapetype w14:anchorId="1122824E" id="_x0000_t202" coordsize="21600,21600" o:spt="202" path="m,l,21600r21600,l21600,xe">
              <v:stroke joinstyle="miter"/>
              <v:path gradientshapeok="t" o:connecttype="rect"/>
            </v:shapetype>
            <v:shape id="Shape 1414" o:spid="_x0000_s1116" type="#_x0000_t202" style="position:absolute;margin-left:41.3pt;margin-top:23.95pt;width:220.55pt;height:6.25pt;z-index:-251393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" filled="f" stroked="f">
              <v:textbox style="mso-fit-shape-to-text:t" inset="0,0,0,0">
                <w:txbxContent>
                  <w:p w14:paraId="768AEEBB" w14:textId="77777777" w:rsidR="00D03C17" w:rsidRDefault="00D03C17">
                    <w:pPr>
                      <w:pStyle w:val="Headerorfooter0"/>
                      <w:tabs>
                        <w:tab w:val="right" w:pos="4411"/>
                      </w:tabs>
                    </w:pPr>
                    <w:r>
                      <w:rPr>
                        <w:sz w:val="16"/>
                        <w:szCs w:val="16"/>
                      </w:rPr>
                      <w:t>538</w:t>
                    </w:r>
                    <w:r>
                      <w:rPr>
                        <w:sz w:val="16"/>
                        <w:szCs w:val="16"/>
                      </w:rPr>
                      <w:tab/>
                    </w:r>
                    <w:r>
                      <w:rPr>
                        <w:i/>
                        <w:iCs/>
                      </w:rPr>
                      <w:t>PASTEURELLA,</w:t>
                    </w:r>
                    <w:r>
                      <w:t xml:space="preserve"> INFECCIONES</w:t>
                    </w:r>
                  </w:p>
                </w:txbxContent>
              </v:textbox>
              <w10:wrap anchorx="page" anchory="page"/>
            </v:shape>
          </w:pict>
        </mc:Fallback>
      </mc:AlternateContent>
    </w:r>
    <w:r>
      <w:rPr>
        <w:noProof/>
      </w:rPr>
      <mc:AlternateContent>
        <mc:Choice Requires="wps">
          <w:drawing>
            <wp:anchor distT="0" distB="0" distL="114300" distR="114300" simplePos="0" relativeHeight="251722752" behindDoc="1" locked="0" layoutInCell="1" allowOverlap="1" wp14:anchorId="7EBD7B5E" wp14:editId="4632C427">
              <wp:simplePos x="0" y="0"/>
              <wp:positionH relativeFrom="page">
                <wp:posOffset>509270</wp:posOffset>
              </wp:positionH>
              <wp:positionV relativeFrom="page">
                <wp:posOffset>412750</wp:posOffset>
              </wp:positionV>
              <wp:extent cx="4358640" cy="0"/>
              <wp:effectExtent l="0" t="0" r="0" b="0"/>
              <wp:wrapNone/>
              <wp:docPr id="1416" name="Shape 1416"/>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25996F87" id="_x0000_t32" coordsize="21600,21600" o:spt="32" o:oned="t" path="m,l21600,21600e" filled="f">
              <v:path arrowok="t" fillok="f" o:connecttype="none"/>
              <o:lock v:ext="edit" shapetype="t"/>
            </v:shapetype>
            <v:shape id="Shape 1416" o:spid="_x0000_s1026" type="#_x0000_t32" style="position:absolute;margin-left:40.1pt;margin-top:32.5pt;width:343.2pt;height:0;z-index:-25159372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" strokeweight="1pt">
              <w10:wrap anchorx="page" anchory="page"/>
            </v:shape>
          </w:pict>
        </mc:Fallback>
      </mc:AlternateContent>
    </w: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7BE87" w14:textId="77777777" w:rsidR="00D03C17" w:rsidRDefault="00D03C17">
    <w:pPr>
      <w:spacing w:line="1" w:lineRule="exact"/>
    </w:pPr>
    <w:r>
      <w:rPr>
        <w:noProof/>
      </w:rPr>
      <mc:AlternateContent>
        <mc:Choice Requires="wps">
          <w:drawing>
            <wp:anchor distT="0" distB="0" distL="0" distR="0" simplePos="0" relativeHeight="251926528" behindDoc="1" locked="0" layoutInCell="1" allowOverlap="1" wp14:anchorId="249BE183" wp14:editId="0B273429">
              <wp:simplePos x="0" y="0"/>
              <wp:positionH relativeFrom="page">
                <wp:posOffset>2061210</wp:posOffset>
              </wp:positionH>
              <wp:positionV relativeFrom="page">
                <wp:posOffset>313690</wp:posOffset>
              </wp:positionV>
              <wp:extent cx="2785745" cy="69850"/>
              <wp:effectExtent l="0" t="0" r="0" b="0"/>
              <wp:wrapNone/>
              <wp:docPr id="1423" name="Shape 1423"/>
              <wp:cNvGraphicFramePr/>
              <a:graphic xmlns:a="http://schemas.openxmlformats.org/drawingml/2006/main">
                <a:graphicData uri="http://schemas.microsoft.com/office/word/2010/wordprocessingShape">
                  <wps:wsp>
                    <wps:cNvSpPr txBox="1"/>
                    <wps:spPr>
                      <a:xfrm>
                        <a:off x="0" y="0"/>
                        <a:ext cx="2785745" cy="69850"/>
                      </a:xfrm>
                      <a:prstGeom prst="rect">
                        <a:avLst/>
                      </a:prstGeom>
                      <a:noFill/>
                    </wps:spPr>
                    <wps:txbx>
                      <w:txbxContent>
                        <w:p w14:paraId="4757747F" w14:textId="77777777" w:rsidR="00D03C17" w:rsidRDefault="00D03C17">
                          <w:pPr>
                            <w:pStyle w:val="Headerorfooter0"/>
                            <w:tabs>
                              <w:tab w:val="right" w:pos="4387"/>
                            </w:tabs>
                            <w:rPr>
                              <w:sz w:val="16"/>
                              <w:szCs w:val="16"/>
                            </w:rPr>
                          </w:pPr>
                          <w:r>
                            <w:t>PEDICULOSIS DE LA CABEZA</w:t>
                          </w:r>
                          <w:r>
                            <w:tab/>
                          </w:r>
                          <w:r>
                            <w:rPr>
                              <w:sz w:val="16"/>
                              <w:szCs w:val="16"/>
                            </w:rPr>
                            <w:t>539</w:t>
                          </w:r>
                        </w:p>
                      </w:txbxContent>
                    </wps:txbx>
                    <wps:bodyPr lIns="0" tIns="0" rIns="0" bIns="0">
                      <a:spAutoFit/>
                    </wps:bodyPr>
                  </wps:wsp>
                </a:graphicData>
              </a:graphic>
            </wp:anchor>
          </w:drawing>
        </mc:Choice>
        <mc:Fallback>
          <w:pict>
            <v:shapetype w14:anchorId="249BE183" id="_x0000_t202" coordsize="21600,21600" o:spt="202" path="m,l,21600r21600,l21600,xe">
              <v:stroke joinstyle="miter"/>
              <v:path gradientshapeok="t" o:connecttype="rect"/>
            </v:shapetype>
            <v:shape id="Shape 1423" o:spid="_x0000_s1117" type="#_x0000_t202" style="position:absolute;margin-left:162.3pt;margin-top:24.7pt;width:219.35pt;height:5.5pt;z-index:-251389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" filled="f" stroked="f">
              <v:textbox style="mso-fit-shape-to-text:t" inset="0,0,0,0">
                <w:txbxContent>
                  <w:p w14:paraId="4757747F" w14:textId="77777777" w:rsidR="00D03C17" w:rsidRDefault="00D03C17">
                    <w:pPr>
                      <w:pStyle w:val="Headerorfooter0"/>
                      <w:tabs>
                        <w:tab w:val="right" w:pos="4387"/>
                      </w:tabs>
                      <w:rPr>
                        <w:sz w:val="16"/>
                        <w:szCs w:val="16"/>
                      </w:rPr>
                    </w:pPr>
                    <w:r>
                      <w:t>PEDICULOSIS DE LA CABEZA</w:t>
                    </w:r>
                    <w:r>
                      <w:tab/>
                    </w:r>
                    <w:r>
                      <w:rPr>
                        <w:sz w:val="16"/>
                        <w:szCs w:val="16"/>
                      </w:rPr>
                      <w:t>539</w:t>
                    </w:r>
                  </w:p>
                </w:txbxContent>
              </v:textbox>
              <w10:wrap anchorx="page" anchory="page"/>
            </v:shape>
          </w:pict>
        </mc:Fallback>
      </mc:AlternateContent>
    </w:r>
    <w:r>
      <w:rPr>
        <w:noProof/>
      </w:rPr>
      <mc:AlternateContent>
        <mc:Choice Requires="wps">
          <w:drawing>
            <wp:anchor distT="0" distB="0" distL="114300" distR="114300" simplePos="0" relativeHeight="251725824" behindDoc="1" locked="0" layoutInCell="1" allowOverlap="1" wp14:anchorId="7A08CD00" wp14:editId="3EAD7D79">
              <wp:simplePos x="0" y="0"/>
              <wp:positionH relativeFrom="page">
                <wp:posOffset>509270</wp:posOffset>
              </wp:positionH>
              <wp:positionV relativeFrom="page">
                <wp:posOffset>421640</wp:posOffset>
              </wp:positionV>
              <wp:extent cx="4358640" cy="0"/>
              <wp:effectExtent l="0" t="0" r="0" b="0"/>
              <wp:wrapNone/>
              <wp:docPr id="1425" name="Shape 1425"/>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1FFC79F1" id="_x0000_t32" coordsize="21600,21600" o:spt="32" o:oned="t" path="m,l21600,21600e" filled="f">
              <v:path arrowok="t" fillok="f" o:connecttype="none"/>
              <o:lock v:ext="edit" shapetype="t"/>
            </v:shapetype>
            <v:shape id="Shape 1425" o:spid="_x0000_s1026" type="#_x0000_t32" style="position:absolute;margin-left:40.1pt;margin-top:33.2pt;width:343.2pt;height:0;z-index:-25159065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" strokeweight="1pt">
              <w10:wrap anchorx="page" anchory="page"/>
            </v:shape>
          </w:pict>
        </mc:Fallback>
      </mc:AlternateContent>
    </w: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205D7" w14:textId="77777777" w:rsidR="00D03C17" w:rsidRDefault="00D03C17">
    <w:pPr>
      <w:spacing w:line="1" w:lineRule="exact"/>
    </w:pPr>
    <w:r>
      <w:rPr>
        <w:noProof/>
      </w:rPr>
      <mc:AlternateContent>
        <mc:Choice Requires="wps">
          <w:drawing>
            <wp:anchor distT="0" distB="0" distL="0" distR="0" simplePos="0" relativeHeight="251925504" behindDoc="1" locked="0" layoutInCell="1" allowOverlap="1" wp14:anchorId="20B36A31" wp14:editId="1DFDAE79">
              <wp:simplePos x="0" y="0"/>
              <wp:positionH relativeFrom="page">
                <wp:posOffset>2061210</wp:posOffset>
              </wp:positionH>
              <wp:positionV relativeFrom="page">
                <wp:posOffset>313690</wp:posOffset>
              </wp:positionV>
              <wp:extent cx="2785745" cy="69850"/>
              <wp:effectExtent l="0" t="0" r="0" b="0"/>
              <wp:wrapNone/>
              <wp:docPr id="1420" name="Shape 1420"/>
              <wp:cNvGraphicFramePr/>
              <a:graphic xmlns:a="http://schemas.openxmlformats.org/drawingml/2006/main">
                <a:graphicData uri="http://schemas.microsoft.com/office/word/2010/wordprocessingShape">
                  <wps:wsp>
                    <wps:cNvSpPr txBox="1"/>
                    <wps:spPr>
                      <a:xfrm>
                        <a:off x="0" y="0"/>
                        <a:ext cx="2785745" cy="69850"/>
                      </a:xfrm>
                      <a:prstGeom prst="rect">
                        <a:avLst/>
                      </a:prstGeom>
                      <a:noFill/>
                    </wps:spPr>
                    <wps:txbx>
                      <w:txbxContent>
                        <w:p w14:paraId="53FC1CA7" w14:textId="77777777" w:rsidR="00D03C17" w:rsidRDefault="00D03C17">
                          <w:pPr>
                            <w:pStyle w:val="Headerorfooter0"/>
                            <w:tabs>
                              <w:tab w:val="right" w:pos="4387"/>
                            </w:tabs>
                            <w:rPr>
                              <w:sz w:val="16"/>
                              <w:szCs w:val="16"/>
                            </w:rPr>
                          </w:pPr>
                          <w:r>
                            <w:t>PEDICULOSIS DE LA CABEZA</w:t>
                          </w:r>
                          <w:r>
                            <w:tab/>
                          </w:r>
                          <w:r>
                            <w:rPr>
                              <w:sz w:val="16"/>
                              <w:szCs w:val="16"/>
                            </w:rPr>
                            <w:t>539</w:t>
                          </w:r>
                        </w:p>
                      </w:txbxContent>
                    </wps:txbx>
                    <wps:bodyPr lIns="0" tIns="0" rIns="0" bIns="0">
                      <a:spAutoFit/>
                    </wps:bodyPr>
                  </wps:wsp>
                </a:graphicData>
              </a:graphic>
            </wp:anchor>
          </w:drawing>
        </mc:Choice>
        <mc:Fallback>
          <w:pict>
            <v:shapetype w14:anchorId="20B36A31" id="_x0000_t202" coordsize="21600,21600" o:spt="202" path="m,l,21600r21600,l21600,xe">
              <v:stroke joinstyle="miter"/>
              <v:path gradientshapeok="t" o:connecttype="rect"/>
            </v:shapetype>
            <v:shape id="Shape 1420" o:spid="_x0000_s1118" type="#_x0000_t202" style="position:absolute;margin-left:162.3pt;margin-top:24.7pt;width:219.35pt;height:5.5pt;z-index:-251390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" filled="f" stroked="f">
              <v:textbox style="mso-fit-shape-to-text:t" inset="0,0,0,0">
                <w:txbxContent>
                  <w:p w14:paraId="53FC1CA7" w14:textId="77777777" w:rsidR="00D03C17" w:rsidRDefault="00D03C17">
                    <w:pPr>
                      <w:pStyle w:val="Headerorfooter0"/>
                      <w:tabs>
                        <w:tab w:val="right" w:pos="4387"/>
                      </w:tabs>
                      <w:rPr>
                        <w:sz w:val="16"/>
                        <w:szCs w:val="16"/>
                      </w:rPr>
                    </w:pPr>
                    <w:r>
                      <w:t>PEDICULOSIS DE LA CABEZA</w:t>
                    </w:r>
                    <w:r>
                      <w:tab/>
                    </w:r>
                    <w:r>
                      <w:rPr>
                        <w:sz w:val="16"/>
                        <w:szCs w:val="16"/>
                      </w:rPr>
                      <w:t>539</w:t>
                    </w:r>
                  </w:p>
                </w:txbxContent>
              </v:textbox>
              <w10:wrap anchorx="page" anchory="page"/>
            </v:shape>
          </w:pict>
        </mc:Fallback>
      </mc:AlternateContent>
    </w:r>
    <w:r>
      <w:rPr>
        <w:noProof/>
      </w:rPr>
      <mc:AlternateContent>
        <mc:Choice Requires="wps">
          <w:drawing>
            <wp:anchor distT="0" distB="0" distL="114300" distR="114300" simplePos="0" relativeHeight="251724800" behindDoc="1" locked="0" layoutInCell="1" allowOverlap="1" wp14:anchorId="281B152D" wp14:editId="3208222F">
              <wp:simplePos x="0" y="0"/>
              <wp:positionH relativeFrom="page">
                <wp:posOffset>509270</wp:posOffset>
              </wp:positionH>
              <wp:positionV relativeFrom="page">
                <wp:posOffset>421640</wp:posOffset>
              </wp:positionV>
              <wp:extent cx="4358640" cy="0"/>
              <wp:effectExtent l="0" t="0" r="0" b="0"/>
              <wp:wrapNone/>
              <wp:docPr id="1422" name="Shape 1422"/>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7124679C" id="_x0000_t32" coordsize="21600,21600" o:spt="32" o:oned="t" path="m,l21600,21600e" filled="f">
              <v:path arrowok="t" fillok="f" o:connecttype="none"/>
              <o:lock v:ext="edit" shapetype="t"/>
            </v:shapetype>
            <v:shape id="Shape 1422" o:spid="_x0000_s1026" type="#_x0000_t32" style="position:absolute;margin-left:40.1pt;margin-top:33.2pt;width:343.2pt;height:0;z-index:-25159168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" strokeweight="1pt">
              <w10:wrap anchorx="page" anchory="page"/>
            </v:shape>
          </w:pict>
        </mc:Fallback>
      </mc:AlternateContent>
    </w: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6C714" w14:textId="77777777" w:rsidR="00D03C17" w:rsidRDefault="00D03C17">
    <w:pPr>
      <w:spacing w:line="1" w:lineRule="exact"/>
    </w:pPr>
    <w:r>
      <w:rPr>
        <w:noProof/>
      </w:rPr>
      <mc:AlternateContent>
        <mc:Choice Requires="wps">
          <w:drawing>
            <wp:anchor distT="0" distB="0" distL="0" distR="0" simplePos="0" relativeHeight="251928576" behindDoc="1" locked="0" layoutInCell="1" allowOverlap="1" wp14:anchorId="7D143FCF" wp14:editId="0CE0E722">
              <wp:simplePos x="0" y="0"/>
              <wp:positionH relativeFrom="page">
                <wp:posOffset>2061210</wp:posOffset>
              </wp:positionH>
              <wp:positionV relativeFrom="page">
                <wp:posOffset>313690</wp:posOffset>
              </wp:positionV>
              <wp:extent cx="2785745" cy="69850"/>
              <wp:effectExtent l="0" t="0" r="0" b="0"/>
              <wp:wrapNone/>
              <wp:docPr id="1429" name="Shape 1429"/>
              <wp:cNvGraphicFramePr/>
              <a:graphic xmlns:a="http://schemas.openxmlformats.org/drawingml/2006/main">
                <a:graphicData uri="http://schemas.microsoft.com/office/word/2010/wordprocessingShape">
                  <wps:wsp>
                    <wps:cNvSpPr txBox="1"/>
                    <wps:spPr>
                      <a:xfrm>
                        <a:off x="0" y="0"/>
                        <a:ext cx="2785745" cy="69850"/>
                      </a:xfrm>
                      <a:prstGeom prst="rect">
                        <a:avLst/>
                      </a:prstGeom>
                      <a:noFill/>
                    </wps:spPr>
                    <wps:txbx>
                      <w:txbxContent>
                        <w:p w14:paraId="0CF1922B" w14:textId="77777777" w:rsidR="00D03C17" w:rsidRDefault="00D03C17">
                          <w:pPr>
                            <w:pStyle w:val="Headerorfooter0"/>
                            <w:tabs>
                              <w:tab w:val="right" w:pos="4387"/>
                            </w:tabs>
                            <w:rPr>
                              <w:sz w:val="16"/>
                              <w:szCs w:val="16"/>
                            </w:rPr>
                          </w:pPr>
                          <w:r>
                            <w:t>PEDICULOSIS DE LA CABEZA</w:t>
                          </w:r>
                          <w:r>
                            <w:tab/>
                          </w:r>
                          <w:r>
                            <w:rPr>
                              <w:sz w:val="16"/>
                              <w:szCs w:val="16"/>
                            </w:rPr>
                            <w:t>539</w:t>
                          </w:r>
                        </w:p>
                      </w:txbxContent>
                    </wps:txbx>
                    <wps:bodyPr lIns="0" tIns="0" rIns="0" bIns="0">
                      <a:spAutoFit/>
                    </wps:bodyPr>
                  </wps:wsp>
                </a:graphicData>
              </a:graphic>
            </wp:anchor>
          </w:drawing>
        </mc:Choice>
        <mc:Fallback>
          <w:pict>
            <v:shapetype w14:anchorId="7D143FCF" id="_x0000_t202" coordsize="21600,21600" o:spt="202" path="m,l,21600r21600,l21600,xe">
              <v:stroke joinstyle="miter"/>
              <v:path gradientshapeok="t" o:connecttype="rect"/>
            </v:shapetype>
            <v:shape id="Shape 1429" o:spid="_x0000_s1119" type="#_x0000_t202" style="position:absolute;margin-left:162.3pt;margin-top:24.7pt;width:219.35pt;height:5.5pt;z-index:-251387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" filled="f" stroked="f">
              <v:textbox style="mso-fit-shape-to-text:t" inset="0,0,0,0">
                <w:txbxContent>
                  <w:p w14:paraId="0CF1922B" w14:textId="77777777" w:rsidR="00D03C17" w:rsidRDefault="00D03C17">
                    <w:pPr>
                      <w:pStyle w:val="Headerorfooter0"/>
                      <w:tabs>
                        <w:tab w:val="right" w:pos="4387"/>
                      </w:tabs>
                      <w:rPr>
                        <w:sz w:val="16"/>
                        <w:szCs w:val="16"/>
                      </w:rPr>
                    </w:pPr>
                    <w:r>
                      <w:t>PEDICULOSIS DE LA CABEZA</w:t>
                    </w:r>
                    <w:r>
                      <w:tab/>
                    </w:r>
                    <w:r>
                      <w:rPr>
                        <w:sz w:val="16"/>
                        <w:szCs w:val="16"/>
                      </w:rPr>
                      <w:t>539</w:t>
                    </w:r>
                  </w:p>
                </w:txbxContent>
              </v:textbox>
              <w10:wrap anchorx="page" anchory="page"/>
            </v:shape>
          </w:pict>
        </mc:Fallback>
      </mc:AlternateContent>
    </w:r>
    <w:r>
      <w:rPr>
        <w:noProof/>
      </w:rPr>
      <mc:AlternateContent>
        <mc:Choice Requires="wps">
          <w:drawing>
            <wp:anchor distT="0" distB="0" distL="114300" distR="114300" simplePos="0" relativeHeight="251727872" behindDoc="1" locked="0" layoutInCell="1" allowOverlap="1" wp14:anchorId="2B0FAB71" wp14:editId="1330C859">
              <wp:simplePos x="0" y="0"/>
              <wp:positionH relativeFrom="page">
                <wp:posOffset>509270</wp:posOffset>
              </wp:positionH>
              <wp:positionV relativeFrom="page">
                <wp:posOffset>421640</wp:posOffset>
              </wp:positionV>
              <wp:extent cx="4358640" cy="0"/>
              <wp:effectExtent l="0" t="0" r="0" b="0"/>
              <wp:wrapNone/>
              <wp:docPr id="1431" name="Shape 1431"/>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51A85C44" id="_x0000_t32" coordsize="21600,21600" o:spt="32" o:oned="t" path="m,l21600,21600e" filled="f">
              <v:path arrowok="t" fillok="f" o:connecttype="none"/>
              <o:lock v:ext="edit" shapetype="t"/>
            </v:shapetype>
            <v:shape id="Shape 1431" o:spid="_x0000_s1026" type="#_x0000_t32" style="position:absolute;margin-left:40.1pt;margin-top:33.2pt;width:343.2pt;height:0;z-index:-25158860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" strokeweight="1pt">
              <w10:wrap anchorx="page" anchory="page"/>
            </v:shape>
          </w:pict>
        </mc:Fallback>
      </mc:AlternateContent>
    </w: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5CC1F" w14:textId="77777777" w:rsidR="00D03C17" w:rsidRDefault="00D03C17">
    <w:pPr>
      <w:spacing w:line="1" w:lineRule="exact"/>
    </w:pPr>
    <w:r>
      <w:rPr>
        <w:noProof/>
      </w:rPr>
      <mc:AlternateContent>
        <mc:Choice Requires="wps">
          <w:drawing>
            <wp:anchor distT="0" distB="0" distL="0" distR="0" simplePos="0" relativeHeight="251927552" behindDoc="1" locked="0" layoutInCell="1" allowOverlap="1" wp14:anchorId="5182BDF2" wp14:editId="1FBDCEEC">
              <wp:simplePos x="0" y="0"/>
              <wp:positionH relativeFrom="page">
                <wp:posOffset>2061210</wp:posOffset>
              </wp:positionH>
              <wp:positionV relativeFrom="page">
                <wp:posOffset>313690</wp:posOffset>
              </wp:positionV>
              <wp:extent cx="2785745" cy="69850"/>
              <wp:effectExtent l="0" t="0" r="0" b="0"/>
              <wp:wrapNone/>
              <wp:docPr id="1426" name="Shape 1426"/>
              <wp:cNvGraphicFramePr/>
              <a:graphic xmlns:a="http://schemas.openxmlformats.org/drawingml/2006/main">
                <a:graphicData uri="http://schemas.microsoft.com/office/word/2010/wordprocessingShape">
                  <wps:wsp>
                    <wps:cNvSpPr txBox="1"/>
                    <wps:spPr>
                      <a:xfrm>
                        <a:off x="0" y="0"/>
                        <a:ext cx="2785745" cy="69850"/>
                      </a:xfrm>
                      <a:prstGeom prst="rect">
                        <a:avLst/>
                      </a:prstGeom>
                      <a:noFill/>
                    </wps:spPr>
                    <wps:txbx>
                      <w:txbxContent>
                        <w:p w14:paraId="38B3A6DC" w14:textId="77777777" w:rsidR="00D03C17" w:rsidRDefault="00D03C17">
                          <w:pPr>
                            <w:pStyle w:val="Headerorfooter0"/>
                            <w:tabs>
                              <w:tab w:val="right" w:pos="4387"/>
                            </w:tabs>
                            <w:rPr>
                              <w:sz w:val="16"/>
                              <w:szCs w:val="16"/>
                            </w:rPr>
                          </w:pPr>
                          <w:r>
                            <w:t>PEDICULOSIS DE LA CABEZA</w:t>
                          </w:r>
                          <w:r>
                            <w:tab/>
                          </w:r>
                          <w:r>
                            <w:rPr>
                              <w:sz w:val="16"/>
                              <w:szCs w:val="16"/>
                            </w:rPr>
                            <w:t>539</w:t>
                          </w:r>
                        </w:p>
                      </w:txbxContent>
                    </wps:txbx>
                    <wps:bodyPr lIns="0" tIns="0" rIns="0" bIns="0">
                      <a:spAutoFit/>
                    </wps:bodyPr>
                  </wps:wsp>
                </a:graphicData>
              </a:graphic>
            </wp:anchor>
          </w:drawing>
        </mc:Choice>
        <mc:Fallback>
          <w:pict>
            <v:shapetype w14:anchorId="5182BDF2" id="_x0000_t202" coordsize="21600,21600" o:spt="202" path="m,l,21600r21600,l21600,xe">
              <v:stroke joinstyle="miter"/>
              <v:path gradientshapeok="t" o:connecttype="rect"/>
            </v:shapetype>
            <v:shape id="Shape 1426" o:spid="_x0000_s1120" type="#_x0000_t202" style="position:absolute;margin-left:162.3pt;margin-top:24.7pt;width:219.35pt;height:5.5pt;z-index:-251388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" filled="f" stroked="f">
              <v:textbox style="mso-fit-shape-to-text:t" inset="0,0,0,0">
                <w:txbxContent>
                  <w:p w14:paraId="38B3A6DC" w14:textId="77777777" w:rsidR="00D03C17" w:rsidRDefault="00D03C17">
                    <w:pPr>
                      <w:pStyle w:val="Headerorfooter0"/>
                      <w:tabs>
                        <w:tab w:val="right" w:pos="4387"/>
                      </w:tabs>
                      <w:rPr>
                        <w:sz w:val="16"/>
                        <w:szCs w:val="16"/>
                      </w:rPr>
                    </w:pPr>
                    <w:r>
                      <w:t>PEDICULOSIS DE LA CABEZA</w:t>
                    </w:r>
                    <w:r>
                      <w:tab/>
                    </w:r>
                    <w:r>
                      <w:rPr>
                        <w:sz w:val="16"/>
                        <w:szCs w:val="16"/>
                      </w:rPr>
                      <w:t>539</w:t>
                    </w:r>
                  </w:p>
                </w:txbxContent>
              </v:textbox>
              <w10:wrap anchorx="page" anchory="page"/>
            </v:shape>
          </w:pict>
        </mc:Fallback>
      </mc:AlternateContent>
    </w:r>
    <w:r>
      <w:rPr>
        <w:noProof/>
      </w:rPr>
      <mc:AlternateContent>
        <mc:Choice Requires="wps">
          <w:drawing>
            <wp:anchor distT="0" distB="0" distL="114300" distR="114300" simplePos="0" relativeHeight="251726848" behindDoc="1" locked="0" layoutInCell="1" allowOverlap="1" wp14:anchorId="4FB7FDB0" wp14:editId="608C2D7D">
              <wp:simplePos x="0" y="0"/>
              <wp:positionH relativeFrom="page">
                <wp:posOffset>509270</wp:posOffset>
              </wp:positionH>
              <wp:positionV relativeFrom="page">
                <wp:posOffset>421640</wp:posOffset>
              </wp:positionV>
              <wp:extent cx="4358640" cy="0"/>
              <wp:effectExtent l="0" t="0" r="0" b="0"/>
              <wp:wrapNone/>
              <wp:docPr id="1428" name="Shape 1428"/>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2F8500D9" id="_x0000_t32" coordsize="21600,21600" o:spt="32" o:oned="t" path="m,l21600,21600e" filled="f">
              <v:path arrowok="t" fillok="f" o:connecttype="none"/>
              <o:lock v:ext="edit" shapetype="t"/>
            </v:shapetype>
            <v:shape id="Shape 1428" o:spid="_x0000_s1026" type="#_x0000_t32" style="position:absolute;margin-left:40.1pt;margin-top:33.2pt;width:343.2pt;height:0;z-index:-25158963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" strokeweight="1pt">
              <w10:wrap anchorx="page" anchory="page"/>
            </v:shape>
          </w:pict>
        </mc:Fallback>
      </mc:AlternateContent>
    </w: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A5277" w14:textId="77777777" w:rsidR="00D03C17" w:rsidRDefault="00D03C17">
    <w:pPr>
      <w:spacing w:line="1" w:lineRule="exact"/>
    </w:pPr>
    <w:r>
      <w:rPr>
        <w:noProof/>
      </w:rPr>
      <mc:AlternateContent>
        <mc:Choice Requires="wps">
          <w:drawing>
            <wp:anchor distT="0" distB="0" distL="0" distR="0" simplePos="0" relativeHeight="251929600" behindDoc="1" locked="0" layoutInCell="1" allowOverlap="1" wp14:anchorId="7CBA0B78" wp14:editId="0856EC7D">
              <wp:simplePos x="0" y="0"/>
              <wp:positionH relativeFrom="page">
                <wp:posOffset>527685</wp:posOffset>
              </wp:positionH>
              <wp:positionV relativeFrom="page">
                <wp:posOffset>346710</wp:posOffset>
              </wp:positionV>
              <wp:extent cx="2795270" cy="69850"/>
              <wp:effectExtent l="0" t="0" r="0" b="0"/>
              <wp:wrapNone/>
              <wp:docPr id="1432" name="Shape 1432"/>
              <wp:cNvGraphicFramePr/>
              <a:graphic xmlns:a="http://schemas.openxmlformats.org/drawingml/2006/main">
                <a:graphicData uri="http://schemas.microsoft.com/office/word/2010/wordprocessingShape">
                  <wps:wsp>
                    <wps:cNvSpPr txBox="1"/>
                    <wps:spPr>
                      <a:xfrm>
                        <a:off x="0" y="0"/>
                        <a:ext cx="2795270" cy="69850"/>
                      </a:xfrm>
                      <a:prstGeom prst="rect">
                        <a:avLst/>
                      </a:prstGeom>
                      <a:noFill/>
                    </wps:spPr>
                    <wps:txbx>
                      <w:txbxContent>
                        <w:p w14:paraId="45F22A39" w14:textId="77777777" w:rsidR="00D03C17" w:rsidRDefault="00D03C17">
                          <w:pPr>
                            <w:pStyle w:val="Headerorfooter0"/>
                            <w:tabs>
                              <w:tab w:val="right" w:pos="4402"/>
                            </w:tabs>
                          </w:pPr>
                          <w:r>
                            <w:rPr>
                              <w:sz w:val="16"/>
                              <w:szCs w:val="16"/>
                            </w:rPr>
                            <w:t>540</w:t>
                          </w:r>
                          <w:r>
                            <w:rPr>
                              <w:sz w:val="16"/>
                              <w:szCs w:val="16"/>
                            </w:rPr>
                            <w:tab/>
                          </w:r>
                          <w:r>
                            <w:t>PEDICULOSIS DE LA CABEZA</w:t>
                          </w:r>
                        </w:p>
                      </w:txbxContent>
                    </wps:txbx>
                    <wps:bodyPr lIns="0" tIns="0" rIns="0" bIns="0">
                      <a:spAutoFit/>
                    </wps:bodyPr>
                  </wps:wsp>
                </a:graphicData>
              </a:graphic>
            </wp:anchor>
          </w:drawing>
        </mc:Choice>
        <mc:Fallback>
          <w:pict>
            <v:shapetype w14:anchorId="7CBA0B78" id="_x0000_t202" coordsize="21600,21600" o:spt="202" path="m,l,21600r21600,l21600,xe">
              <v:stroke joinstyle="miter"/>
              <v:path gradientshapeok="t" o:connecttype="rect"/>
            </v:shapetype>
            <v:shape id="Shape 1432" o:spid="_x0000_s1121" type="#_x0000_t202" style="position:absolute;margin-left:41.55pt;margin-top:27.3pt;width:220.1pt;height:5.5pt;z-index:-251386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" filled="f" stroked="f">
              <v:textbox style="mso-fit-shape-to-text:t" inset="0,0,0,0">
                <w:txbxContent>
                  <w:p w14:paraId="45F22A39" w14:textId="77777777" w:rsidR="00D03C17" w:rsidRDefault="00D03C17">
                    <w:pPr>
                      <w:pStyle w:val="Headerorfooter0"/>
                      <w:tabs>
                        <w:tab w:val="right" w:pos="4402"/>
                      </w:tabs>
                    </w:pPr>
                    <w:r>
                      <w:rPr>
                        <w:sz w:val="16"/>
                        <w:szCs w:val="16"/>
                      </w:rPr>
                      <w:t>540</w:t>
                    </w:r>
                    <w:r>
                      <w:rPr>
                        <w:sz w:val="16"/>
                        <w:szCs w:val="16"/>
                      </w:rPr>
                      <w:tab/>
                    </w:r>
                    <w:r>
                      <w:t>PEDICULOSIS DE LA CABEZA</w:t>
                    </w:r>
                  </w:p>
                </w:txbxContent>
              </v:textbox>
              <w10:wrap anchorx="page" anchory="page"/>
            </v:shape>
          </w:pict>
        </mc:Fallback>
      </mc:AlternateContent>
    </w:r>
    <w:r>
      <w:rPr>
        <w:noProof/>
      </w:rPr>
      <mc:AlternateContent>
        <mc:Choice Requires="wps">
          <w:drawing>
            <wp:anchor distT="0" distB="0" distL="114300" distR="114300" simplePos="0" relativeHeight="251728896" behindDoc="1" locked="0" layoutInCell="1" allowOverlap="1" wp14:anchorId="09BB2E7C" wp14:editId="6CF311ED">
              <wp:simplePos x="0" y="0"/>
              <wp:positionH relativeFrom="page">
                <wp:posOffset>512445</wp:posOffset>
              </wp:positionH>
              <wp:positionV relativeFrom="page">
                <wp:posOffset>454660</wp:posOffset>
              </wp:positionV>
              <wp:extent cx="4358640" cy="0"/>
              <wp:effectExtent l="0" t="0" r="0" b="0"/>
              <wp:wrapNone/>
              <wp:docPr id="1434" name="Shape 1434"/>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2554CF53" id="_x0000_t32" coordsize="21600,21600" o:spt="32" o:oned="t" path="m,l21600,21600e" filled="f">
              <v:path arrowok="t" fillok="f" o:connecttype="none"/>
              <o:lock v:ext="edit" shapetype="t"/>
            </v:shapetype>
            <v:shape id="Shape 1434" o:spid="_x0000_s1026" type="#_x0000_t32" style="position:absolute;margin-left:40.35pt;margin-top:35.8pt;width:343.2pt;height:0;z-index:-25158758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" strokeweight="1pt">
              <w10:wrap anchorx="page" anchory="page"/>
            </v:shape>
          </w:pict>
        </mc:Fallback>
      </mc:AlternateContent>
    </w: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76CF8" w14:textId="77777777" w:rsidR="00D03C17" w:rsidRDefault="00D03C17">
    <w:pPr>
      <w:spacing w:line="1" w:lineRule="exact"/>
    </w:pPr>
    <w:r>
      <w:rPr>
        <w:noProof/>
      </w:rPr>
      <mc:AlternateContent>
        <mc:Choice Requires="wps">
          <w:drawing>
            <wp:anchor distT="0" distB="0" distL="0" distR="0" simplePos="0" relativeHeight="251931648" behindDoc="1" locked="0" layoutInCell="1" allowOverlap="1" wp14:anchorId="4403AADB" wp14:editId="5BBE73D7">
              <wp:simplePos x="0" y="0"/>
              <wp:positionH relativeFrom="page">
                <wp:posOffset>523240</wp:posOffset>
              </wp:positionH>
              <wp:positionV relativeFrom="page">
                <wp:posOffset>313690</wp:posOffset>
              </wp:positionV>
              <wp:extent cx="2764790" cy="69850"/>
              <wp:effectExtent l="0" t="0" r="0" b="0"/>
              <wp:wrapNone/>
              <wp:docPr id="1438" name="Shape 1438"/>
              <wp:cNvGraphicFramePr/>
              <a:graphic xmlns:a="http://schemas.openxmlformats.org/drawingml/2006/main">
                <a:graphicData uri="http://schemas.microsoft.com/office/word/2010/wordprocessingShape">
                  <wps:wsp>
                    <wps:cNvSpPr txBox="1"/>
                    <wps:spPr>
                      <a:xfrm>
                        <a:off x="0" y="0"/>
                        <a:ext cx="2764790" cy="69850"/>
                      </a:xfrm>
                      <a:prstGeom prst="rect">
                        <a:avLst/>
                      </a:prstGeom>
                      <a:noFill/>
                    </wps:spPr>
                    <wps:txbx>
                      <w:txbxContent>
                        <w:p w14:paraId="27F2A565" w14:textId="77777777" w:rsidR="00D03C17" w:rsidRDefault="00D03C17">
                          <w:pPr>
                            <w:pStyle w:val="Headerorfooter0"/>
                            <w:tabs>
                              <w:tab w:val="right" w:pos="4354"/>
                            </w:tabs>
                          </w:pPr>
                          <w:r>
                            <w:rPr>
                              <w:sz w:val="16"/>
                              <w:szCs w:val="16"/>
                            </w:rPr>
                            <w:t>542</w:t>
                          </w:r>
                          <w:r>
                            <w:rPr>
                              <w:sz w:val="16"/>
                              <w:szCs w:val="16"/>
                            </w:rPr>
                            <w:tab/>
                          </w:r>
                          <w:r>
                            <w:t>PEDICULOSIS DEL CUERPO</w:t>
                          </w:r>
                        </w:p>
                      </w:txbxContent>
                    </wps:txbx>
                    <wps:bodyPr lIns="0" tIns="0" rIns="0" bIns="0">
                      <a:spAutoFit/>
                    </wps:bodyPr>
                  </wps:wsp>
                </a:graphicData>
              </a:graphic>
            </wp:anchor>
          </w:drawing>
        </mc:Choice>
        <mc:Fallback>
          <w:pict>
            <v:shapetype w14:anchorId="4403AADB" id="_x0000_t202" coordsize="21600,21600" o:spt="202" path="m,l,21600r21600,l21600,xe">
              <v:stroke joinstyle="miter"/>
              <v:path gradientshapeok="t" o:connecttype="rect"/>
            </v:shapetype>
            <v:shape id="Shape 1438" o:spid="_x0000_s1122" type="#_x0000_t202" style="position:absolute;margin-left:41.2pt;margin-top:24.7pt;width:217.7pt;height:5.5pt;z-index:-251384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" filled="f" stroked="f">
              <v:textbox style="mso-fit-shape-to-text:t" inset="0,0,0,0">
                <w:txbxContent>
                  <w:p w14:paraId="27F2A565" w14:textId="77777777" w:rsidR="00D03C17" w:rsidRDefault="00D03C17">
                    <w:pPr>
                      <w:pStyle w:val="Headerorfooter0"/>
                      <w:tabs>
                        <w:tab w:val="right" w:pos="4354"/>
                      </w:tabs>
                    </w:pPr>
                    <w:r>
                      <w:rPr>
                        <w:sz w:val="16"/>
                        <w:szCs w:val="16"/>
                      </w:rPr>
                      <w:t>542</w:t>
                    </w:r>
                    <w:r>
                      <w:rPr>
                        <w:sz w:val="16"/>
                        <w:szCs w:val="16"/>
                      </w:rPr>
                      <w:tab/>
                    </w:r>
                    <w:r>
                      <w:t>PEDICULOSIS DEL CUERPO</w:t>
                    </w:r>
                  </w:p>
                </w:txbxContent>
              </v:textbox>
              <w10:wrap anchorx="page" anchory="page"/>
            </v:shape>
          </w:pict>
        </mc:Fallback>
      </mc:AlternateContent>
    </w:r>
    <w:r>
      <w:rPr>
        <w:noProof/>
      </w:rPr>
      <mc:AlternateContent>
        <mc:Choice Requires="wps">
          <w:drawing>
            <wp:anchor distT="0" distB="0" distL="114300" distR="114300" simplePos="0" relativeHeight="251730944" behindDoc="1" locked="0" layoutInCell="1" allowOverlap="1" wp14:anchorId="346EE89B" wp14:editId="1DDE528F">
              <wp:simplePos x="0" y="0"/>
              <wp:positionH relativeFrom="page">
                <wp:posOffset>508000</wp:posOffset>
              </wp:positionH>
              <wp:positionV relativeFrom="page">
                <wp:posOffset>421640</wp:posOffset>
              </wp:positionV>
              <wp:extent cx="4358640" cy="0"/>
              <wp:effectExtent l="0" t="0" r="0" b="0"/>
              <wp:wrapNone/>
              <wp:docPr id="1440" name="Shape 1440"/>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2E36D1F9" id="_x0000_t32" coordsize="21600,21600" o:spt="32" o:oned="t" path="m,l21600,21600e" filled="f">
              <v:path arrowok="t" fillok="f" o:connecttype="none"/>
              <o:lock v:ext="edit" shapetype="t"/>
            </v:shapetype>
            <v:shape id="Shape 1440" o:spid="_x0000_s1026" type="#_x0000_t32" style="position:absolute;margin-left:40pt;margin-top:33.2pt;width:343.2pt;height:0;z-index:-25158553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" strokeweight="1pt">
              <w10:wrap anchorx="page" anchory="page"/>
            </v:shape>
          </w:pict>
        </mc:Fallback>
      </mc:AlternateContent>
    </w: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F0530" w14:textId="77777777" w:rsidR="00D03C17" w:rsidRDefault="00D03C17">
    <w:pPr>
      <w:spacing w:line="1" w:lineRule="exact"/>
    </w:pPr>
    <w:r>
      <w:rPr>
        <w:noProof/>
      </w:rPr>
      <mc:AlternateContent>
        <mc:Choice Requires="wps">
          <w:drawing>
            <wp:anchor distT="0" distB="0" distL="0" distR="0" simplePos="0" relativeHeight="251930624" behindDoc="1" locked="0" layoutInCell="1" allowOverlap="1" wp14:anchorId="75120007" wp14:editId="4E9802B4">
              <wp:simplePos x="0" y="0"/>
              <wp:positionH relativeFrom="page">
                <wp:posOffset>523240</wp:posOffset>
              </wp:positionH>
              <wp:positionV relativeFrom="page">
                <wp:posOffset>313690</wp:posOffset>
              </wp:positionV>
              <wp:extent cx="2764790" cy="69850"/>
              <wp:effectExtent l="0" t="0" r="0" b="0"/>
              <wp:wrapNone/>
              <wp:docPr id="1435" name="Shape 1435"/>
              <wp:cNvGraphicFramePr/>
              <a:graphic xmlns:a="http://schemas.openxmlformats.org/drawingml/2006/main">
                <a:graphicData uri="http://schemas.microsoft.com/office/word/2010/wordprocessingShape">
                  <wps:wsp>
                    <wps:cNvSpPr txBox="1"/>
                    <wps:spPr>
                      <a:xfrm>
                        <a:off x="0" y="0"/>
                        <a:ext cx="2764790" cy="69850"/>
                      </a:xfrm>
                      <a:prstGeom prst="rect">
                        <a:avLst/>
                      </a:prstGeom>
                      <a:noFill/>
                    </wps:spPr>
                    <wps:txbx>
                      <w:txbxContent>
                        <w:p w14:paraId="381F4B0B" w14:textId="77777777" w:rsidR="00D03C17" w:rsidRDefault="00D03C17">
                          <w:pPr>
                            <w:pStyle w:val="Headerorfooter0"/>
                            <w:tabs>
                              <w:tab w:val="right" w:pos="4354"/>
                            </w:tabs>
                          </w:pPr>
                          <w:r>
                            <w:rPr>
                              <w:sz w:val="16"/>
                              <w:szCs w:val="16"/>
                            </w:rPr>
                            <w:t>542</w:t>
                          </w:r>
                          <w:r>
                            <w:rPr>
                              <w:sz w:val="16"/>
                              <w:szCs w:val="16"/>
                            </w:rPr>
                            <w:tab/>
                          </w:r>
                          <w:r>
                            <w:t>PEDICULOSIS DEL CUERPO</w:t>
                          </w:r>
                        </w:p>
                      </w:txbxContent>
                    </wps:txbx>
                    <wps:bodyPr lIns="0" tIns="0" rIns="0" bIns="0">
                      <a:spAutoFit/>
                    </wps:bodyPr>
                  </wps:wsp>
                </a:graphicData>
              </a:graphic>
            </wp:anchor>
          </w:drawing>
        </mc:Choice>
        <mc:Fallback>
          <w:pict>
            <v:shapetype w14:anchorId="75120007" id="_x0000_t202" coordsize="21600,21600" o:spt="202" path="m,l,21600r21600,l21600,xe">
              <v:stroke joinstyle="miter"/>
              <v:path gradientshapeok="t" o:connecttype="rect"/>
            </v:shapetype>
            <v:shape id="Shape 1435" o:spid="_x0000_s1123" type="#_x0000_t202" style="position:absolute;margin-left:41.2pt;margin-top:24.7pt;width:217.7pt;height:5.5pt;z-index:-251385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" filled="f" stroked="f">
              <v:textbox style="mso-fit-shape-to-text:t" inset="0,0,0,0">
                <w:txbxContent>
                  <w:p w14:paraId="381F4B0B" w14:textId="77777777" w:rsidR="00D03C17" w:rsidRDefault="00D03C17">
                    <w:pPr>
                      <w:pStyle w:val="Headerorfooter0"/>
                      <w:tabs>
                        <w:tab w:val="right" w:pos="4354"/>
                      </w:tabs>
                    </w:pPr>
                    <w:r>
                      <w:rPr>
                        <w:sz w:val="16"/>
                        <w:szCs w:val="16"/>
                      </w:rPr>
                      <w:t>542</w:t>
                    </w:r>
                    <w:r>
                      <w:rPr>
                        <w:sz w:val="16"/>
                        <w:szCs w:val="16"/>
                      </w:rPr>
                      <w:tab/>
                    </w:r>
                    <w:r>
                      <w:t>PEDICULOSIS DEL CUERPO</w:t>
                    </w:r>
                  </w:p>
                </w:txbxContent>
              </v:textbox>
              <w10:wrap anchorx="page" anchory="page"/>
            </v:shape>
          </w:pict>
        </mc:Fallback>
      </mc:AlternateContent>
    </w:r>
    <w:r>
      <w:rPr>
        <w:noProof/>
      </w:rPr>
      <mc:AlternateContent>
        <mc:Choice Requires="wps">
          <w:drawing>
            <wp:anchor distT="0" distB="0" distL="114300" distR="114300" simplePos="0" relativeHeight="251729920" behindDoc="1" locked="0" layoutInCell="1" allowOverlap="1" wp14:anchorId="38AC9E77" wp14:editId="5148045C">
              <wp:simplePos x="0" y="0"/>
              <wp:positionH relativeFrom="page">
                <wp:posOffset>508000</wp:posOffset>
              </wp:positionH>
              <wp:positionV relativeFrom="page">
                <wp:posOffset>421640</wp:posOffset>
              </wp:positionV>
              <wp:extent cx="4358640" cy="0"/>
              <wp:effectExtent l="0" t="0" r="0" b="0"/>
              <wp:wrapNone/>
              <wp:docPr id="1437" name="Shape 1437"/>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275BCD7A" id="_x0000_t32" coordsize="21600,21600" o:spt="32" o:oned="t" path="m,l21600,21600e" filled="f">
              <v:path arrowok="t" fillok="f" o:connecttype="none"/>
              <o:lock v:ext="edit" shapetype="t"/>
            </v:shapetype>
            <v:shape id="Shape 1437" o:spid="_x0000_s1026" type="#_x0000_t32" style="position:absolute;margin-left:40pt;margin-top:33.2pt;width:343.2pt;height:0;z-index:-25158656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" strokeweight="1pt">
              <w10:wrap anchorx="page" anchory="page"/>
            </v:shape>
          </w:pict>
        </mc:Fallback>
      </mc:AlternateContent>
    </w: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43906" w14:textId="77777777" w:rsidR="00D03C17" w:rsidRDefault="00D03C17">
    <w:pPr>
      <w:spacing w:line="1" w:lineRule="exact"/>
    </w:pPr>
    <w:r>
      <w:rPr>
        <w:noProof/>
      </w:rPr>
      <mc:AlternateContent>
        <mc:Choice Requires="wps">
          <w:drawing>
            <wp:anchor distT="0" distB="0" distL="0" distR="0" simplePos="0" relativeHeight="251933696" behindDoc="1" locked="0" layoutInCell="1" allowOverlap="1" wp14:anchorId="52DC220D" wp14:editId="62132463">
              <wp:simplePos x="0" y="0"/>
              <wp:positionH relativeFrom="page">
                <wp:posOffset>2149475</wp:posOffset>
              </wp:positionH>
              <wp:positionV relativeFrom="page">
                <wp:posOffset>313690</wp:posOffset>
              </wp:positionV>
              <wp:extent cx="2697480" cy="69850"/>
              <wp:effectExtent l="0" t="0" r="0" b="0"/>
              <wp:wrapNone/>
              <wp:docPr id="1444" name="Shape 1444"/>
              <wp:cNvGraphicFramePr/>
              <a:graphic xmlns:a="http://schemas.openxmlformats.org/drawingml/2006/main">
                <a:graphicData uri="http://schemas.microsoft.com/office/word/2010/wordprocessingShape">
                  <wps:wsp>
                    <wps:cNvSpPr txBox="1"/>
                    <wps:spPr>
                      <a:xfrm>
                        <a:off x="0" y="0"/>
                        <a:ext cx="2697480" cy="69850"/>
                      </a:xfrm>
                      <a:prstGeom prst="rect">
                        <a:avLst/>
                      </a:prstGeom>
                      <a:noFill/>
                    </wps:spPr>
                    <wps:txbx>
                      <w:txbxContent>
                        <w:p w14:paraId="36F9A0E1" w14:textId="77777777" w:rsidR="00D03C17" w:rsidRDefault="00D03C17">
                          <w:pPr>
                            <w:pStyle w:val="Headerorfooter0"/>
                            <w:tabs>
                              <w:tab w:val="right" w:pos="4248"/>
                            </w:tabs>
                            <w:rPr>
                              <w:sz w:val="16"/>
                              <w:szCs w:val="16"/>
                            </w:rPr>
                          </w:pPr>
                          <w:r>
                            <w:t>PEDICULOSIS DEL PUBIS</w:t>
                          </w:r>
                          <w:r>
                            <w:tab/>
                          </w:r>
                          <w:r>
                            <w:rPr>
                              <w:sz w:val="16"/>
                              <w:szCs w:val="16"/>
                            </w:rPr>
                            <w:t>543</w:t>
                          </w:r>
                        </w:p>
                      </w:txbxContent>
                    </wps:txbx>
                    <wps:bodyPr lIns="0" tIns="0" rIns="0" bIns="0">
                      <a:spAutoFit/>
                    </wps:bodyPr>
                  </wps:wsp>
                </a:graphicData>
              </a:graphic>
            </wp:anchor>
          </w:drawing>
        </mc:Choice>
        <mc:Fallback>
          <w:pict>
            <v:shapetype w14:anchorId="52DC220D" id="_x0000_t202" coordsize="21600,21600" o:spt="202" path="m,l,21600r21600,l21600,xe">
              <v:stroke joinstyle="miter"/>
              <v:path gradientshapeok="t" o:connecttype="rect"/>
            </v:shapetype>
            <v:shape id="Shape 1444" o:spid="_x0000_s1124" type="#_x0000_t202" style="position:absolute;margin-left:169.25pt;margin-top:24.7pt;width:212.4pt;height:5.5pt;z-index:-251382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" filled="f" stroked="f">
              <v:textbox style="mso-fit-shape-to-text:t" inset="0,0,0,0">
                <w:txbxContent>
                  <w:p w14:paraId="36F9A0E1" w14:textId="77777777" w:rsidR="00D03C17" w:rsidRDefault="00D03C17">
                    <w:pPr>
                      <w:pStyle w:val="Headerorfooter0"/>
                      <w:tabs>
                        <w:tab w:val="right" w:pos="4248"/>
                      </w:tabs>
                      <w:rPr>
                        <w:sz w:val="16"/>
                        <w:szCs w:val="16"/>
                      </w:rPr>
                    </w:pPr>
                    <w:r>
                      <w:t>PEDICULOSIS DEL PUBIS</w:t>
                    </w:r>
                    <w:r>
                      <w:tab/>
                    </w:r>
                    <w:r>
                      <w:rPr>
                        <w:sz w:val="16"/>
                        <w:szCs w:val="16"/>
                      </w:rPr>
                      <w:t>543</w:t>
                    </w:r>
                  </w:p>
                </w:txbxContent>
              </v:textbox>
              <w10:wrap anchorx="page" anchory="page"/>
            </v:shape>
          </w:pict>
        </mc:Fallback>
      </mc:AlternateContent>
    </w:r>
    <w:r>
      <w:rPr>
        <w:noProof/>
      </w:rPr>
      <mc:AlternateContent>
        <mc:Choice Requires="wps">
          <w:drawing>
            <wp:anchor distT="0" distB="0" distL="114300" distR="114300" simplePos="0" relativeHeight="251732992" behindDoc="1" locked="0" layoutInCell="1" allowOverlap="1" wp14:anchorId="1367D7BD" wp14:editId="11CC251C">
              <wp:simplePos x="0" y="0"/>
              <wp:positionH relativeFrom="page">
                <wp:posOffset>509270</wp:posOffset>
              </wp:positionH>
              <wp:positionV relativeFrom="page">
                <wp:posOffset>421640</wp:posOffset>
              </wp:positionV>
              <wp:extent cx="4358640" cy="0"/>
              <wp:effectExtent l="0" t="0" r="0" b="0"/>
              <wp:wrapNone/>
              <wp:docPr id="1446" name="Shape 1446"/>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512E65C3" id="_x0000_t32" coordsize="21600,21600" o:spt="32" o:oned="t" path="m,l21600,21600e" filled="f">
              <v:path arrowok="t" fillok="f" o:connecttype="none"/>
              <o:lock v:ext="edit" shapetype="t"/>
            </v:shapetype>
            <v:shape id="Shape 1446" o:spid="_x0000_s1026" type="#_x0000_t32" style="position:absolute;margin-left:40.1pt;margin-top:33.2pt;width:343.2pt;height:0;z-index:-25158348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" strokeweight="1pt">
              <w10:wrap anchorx="page" anchory="page"/>
            </v:shape>
          </w:pict>
        </mc:Fallback>
      </mc:AlternateContent>
    </w: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FBB4C" w14:textId="77777777" w:rsidR="00D03C17" w:rsidRDefault="00D03C17">
    <w:pPr>
      <w:spacing w:line="1" w:lineRule="exact"/>
    </w:pPr>
    <w:r>
      <w:rPr>
        <w:noProof/>
      </w:rPr>
      <mc:AlternateContent>
        <mc:Choice Requires="wps">
          <w:drawing>
            <wp:anchor distT="0" distB="0" distL="0" distR="0" simplePos="0" relativeHeight="251932672" behindDoc="1" locked="0" layoutInCell="1" allowOverlap="1" wp14:anchorId="5FB86688" wp14:editId="4042548F">
              <wp:simplePos x="0" y="0"/>
              <wp:positionH relativeFrom="page">
                <wp:posOffset>2149475</wp:posOffset>
              </wp:positionH>
              <wp:positionV relativeFrom="page">
                <wp:posOffset>313690</wp:posOffset>
              </wp:positionV>
              <wp:extent cx="2697480" cy="69850"/>
              <wp:effectExtent l="0" t="0" r="0" b="0"/>
              <wp:wrapNone/>
              <wp:docPr id="1441" name="Shape 1441"/>
              <wp:cNvGraphicFramePr/>
              <a:graphic xmlns:a="http://schemas.openxmlformats.org/drawingml/2006/main">
                <a:graphicData uri="http://schemas.microsoft.com/office/word/2010/wordprocessingShape">
                  <wps:wsp>
                    <wps:cNvSpPr txBox="1"/>
                    <wps:spPr>
                      <a:xfrm>
                        <a:off x="0" y="0"/>
                        <a:ext cx="2697480" cy="69850"/>
                      </a:xfrm>
                      <a:prstGeom prst="rect">
                        <a:avLst/>
                      </a:prstGeom>
                      <a:noFill/>
                    </wps:spPr>
                    <wps:txbx>
                      <w:txbxContent>
                        <w:p w14:paraId="391CD32A" w14:textId="77777777" w:rsidR="00D03C17" w:rsidRDefault="00D03C17">
                          <w:pPr>
                            <w:pStyle w:val="Headerorfooter0"/>
                            <w:tabs>
                              <w:tab w:val="right" w:pos="4248"/>
                            </w:tabs>
                            <w:rPr>
                              <w:sz w:val="16"/>
                              <w:szCs w:val="16"/>
                            </w:rPr>
                          </w:pPr>
                          <w:r>
                            <w:t>PEDICULOSIS DEL PUBIS</w:t>
                          </w:r>
                          <w:r>
                            <w:tab/>
                          </w:r>
                          <w:r>
                            <w:rPr>
                              <w:sz w:val="16"/>
                              <w:szCs w:val="16"/>
                            </w:rPr>
                            <w:t>543</w:t>
                          </w:r>
                        </w:p>
                      </w:txbxContent>
                    </wps:txbx>
                    <wps:bodyPr lIns="0" tIns="0" rIns="0" bIns="0">
                      <a:spAutoFit/>
                    </wps:bodyPr>
                  </wps:wsp>
                </a:graphicData>
              </a:graphic>
            </wp:anchor>
          </w:drawing>
        </mc:Choice>
        <mc:Fallback>
          <w:pict>
            <v:shapetype w14:anchorId="5FB86688" id="_x0000_t202" coordsize="21600,21600" o:spt="202" path="m,l,21600r21600,l21600,xe">
              <v:stroke joinstyle="miter"/>
              <v:path gradientshapeok="t" o:connecttype="rect"/>
            </v:shapetype>
            <v:shape id="Shape 1441" o:spid="_x0000_s1125" type="#_x0000_t202" style="position:absolute;margin-left:169.25pt;margin-top:24.7pt;width:212.4pt;height:5.5pt;z-index:-251383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" filled="f" stroked="f">
              <v:textbox style="mso-fit-shape-to-text:t" inset="0,0,0,0">
                <w:txbxContent>
                  <w:p w14:paraId="391CD32A" w14:textId="77777777" w:rsidR="00D03C17" w:rsidRDefault="00D03C17">
                    <w:pPr>
                      <w:pStyle w:val="Headerorfooter0"/>
                      <w:tabs>
                        <w:tab w:val="right" w:pos="4248"/>
                      </w:tabs>
                      <w:rPr>
                        <w:sz w:val="16"/>
                        <w:szCs w:val="16"/>
                      </w:rPr>
                    </w:pPr>
                    <w:r>
                      <w:t>PEDICULOSIS DEL PUBIS</w:t>
                    </w:r>
                    <w:r>
                      <w:tab/>
                    </w:r>
                    <w:r>
                      <w:rPr>
                        <w:sz w:val="16"/>
                        <w:szCs w:val="16"/>
                      </w:rPr>
                      <w:t>543</w:t>
                    </w:r>
                  </w:p>
                </w:txbxContent>
              </v:textbox>
              <w10:wrap anchorx="page" anchory="page"/>
            </v:shape>
          </w:pict>
        </mc:Fallback>
      </mc:AlternateContent>
    </w:r>
    <w:r>
      <w:rPr>
        <w:noProof/>
      </w:rPr>
      <mc:AlternateContent>
        <mc:Choice Requires="wps">
          <w:drawing>
            <wp:anchor distT="0" distB="0" distL="114300" distR="114300" simplePos="0" relativeHeight="251731968" behindDoc="1" locked="0" layoutInCell="1" allowOverlap="1" wp14:anchorId="4BB2D408" wp14:editId="267D07D5">
              <wp:simplePos x="0" y="0"/>
              <wp:positionH relativeFrom="page">
                <wp:posOffset>509270</wp:posOffset>
              </wp:positionH>
              <wp:positionV relativeFrom="page">
                <wp:posOffset>421640</wp:posOffset>
              </wp:positionV>
              <wp:extent cx="4358640" cy="0"/>
              <wp:effectExtent l="0" t="0" r="0" b="0"/>
              <wp:wrapNone/>
              <wp:docPr id="1443" name="Shape 1443"/>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6C14BF7D" id="_x0000_t32" coordsize="21600,21600" o:spt="32" o:oned="t" path="m,l21600,21600e" filled="f">
              <v:path arrowok="t" fillok="f" o:connecttype="none"/>
              <o:lock v:ext="edit" shapetype="t"/>
            </v:shapetype>
            <v:shape id="Shape 1443" o:spid="_x0000_s1026" type="#_x0000_t32" style="position:absolute;margin-left:40.1pt;margin-top:33.2pt;width:343.2pt;height:0;z-index:-25158451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" strokeweight="1pt">
              <w10:wrap anchorx="page" anchory="page"/>
            </v:shape>
          </w:pict>
        </mc:Fallback>
      </mc:AlternateContent>
    </w: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BC035" w14:textId="77777777" w:rsidR="00D03C17" w:rsidRDefault="00D03C17">
    <w:pPr>
      <w:spacing w:line="1" w:lineRule="exact"/>
    </w:pPr>
    <w:r>
      <w:rPr>
        <w:noProof/>
      </w:rPr>
      <mc:AlternateContent>
        <mc:Choice Requires="wps">
          <w:drawing>
            <wp:anchor distT="0" distB="0" distL="0" distR="0" simplePos="0" relativeHeight="251935744" behindDoc="1" locked="0" layoutInCell="1" allowOverlap="1" wp14:anchorId="25A23073" wp14:editId="5A297CD9">
              <wp:simplePos x="0" y="0"/>
              <wp:positionH relativeFrom="page">
                <wp:posOffset>523240</wp:posOffset>
              </wp:positionH>
              <wp:positionV relativeFrom="page">
                <wp:posOffset>288925</wp:posOffset>
              </wp:positionV>
              <wp:extent cx="3014345" cy="94615"/>
              <wp:effectExtent l="0" t="0" r="0" b="0"/>
              <wp:wrapNone/>
              <wp:docPr id="1450" name="Shape 1450"/>
              <wp:cNvGraphicFramePr/>
              <a:graphic xmlns:a="http://schemas.openxmlformats.org/drawingml/2006/main">
                <a:graphicData uri="http://schemas.microsoft.com/office/word/2010/wordprocessingShape">
                  <wps:wsp>
                    <wps:cNvSpPr txBox="1"/>
                    <wps:spPr>
                      <a:xfrm>
                        <a:off x="0" y="0"/>
                        <a:ext cx="3014345" cy="94615"/>
                      </a:xfrm>
                      <a:prstGeom prst="rect">
                        <a:avLst/>
                      </a:prstGeom>
                      <a:noFill/>
                    </wps:spPr>
                    <wps:txbx>
                      <w:txbxContent>
                        <w:p w14:paraId="527908F2" w14:textId="77777777" w:rsidR="00D03C17" w:rsidRDefault="00D03C17">
                          <w:pPr>
                            <w:pStyle w:val="Headerorfooter0"/>
                            <w:tabs>
                              <w:tab w:val="right" w:pos="4747"/>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PÉLVICA, ENFERMEDAD INFLAMATORIA</w:t>
                          </w:r>
                        </w:p>
                      </w:txbxContent>
                    </wps:txbx>
                    <wps:bodyPr lIns="0" tIns="0" rIns="0" bIns="0">
                      <a:spAutoFit/>
                    </wps:bodyPr>
                  </wps:wsp>
                </a:graphicData>
              </a:graphic>
            </wp:anchor>
          </w:drawing>
        </mc:Choice>
        <mc:Fallback>
          <w:pict>
            <v:shapetype w14:anchorId="25A23073" id="_x0000_t202" coordsize="21600,21600" o:spt="202" path="m,l,21600r21600,l21600,xe">
              <v:stroke joinstyle="miter"/>
              <v:path gradientshapeok="t" o:connecttype="rect"/>
            </v:shapetype>
            <v:shape id="Shape 1450" o:spid="_x0000_s1126" type="#_x0000_t202" style="position:absolute;margin-left:41.2pt;margin-top:22.75pt;width:237.35pt;height:7.45pt;z-index:-251380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" filled="f" stroked="f">
              <v:textbox style="mso-fit-shape-to-text:t" inset="0,0,0,0">
                <w:txbxContent>
                  <w:p w14:paraId="527908F2" w14:textId="77777777" w:rsidR="00D03C17" w:rsidRDefault="00D03C17">
                    <w:pPr>
                      <w:pStyle w:val="Headerorfooter0"/>
                      <w:tabs>
                        <w:tab w:val="right" w:pos="4747"/>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PÉLVICA, ENFERMEDAD INFLAMATORIA</w:t>
                    </w:r>
                  </w:p>
                </w:txbxContent>
              </v:textbox>
              <w10:wrap anchorx="page" anchory="page"/>
            </v:shape>
          </w:pict>
        </mc:Fallback>
      </mc:AlternateContent>
    </w:r>
    <w:r>
      <w:rPr>
        <w:noProof/>
      </w:rPr>
      <mc:AlternateContent>
        <mc:Choice Requires="wps">
          <w:drawing>
            <wp:anchor distT="0" distB="0" distL="114300" distR="114300" simplePos="0" relativeHeight="251735040" behindDoc="1" locked="0" layoutInCell="1" allowOverlap="1" wp14:anchorId="04A77F35" wp14:editId="28C7B6B9">
              <wp:simplePos x="0" y="0"/>
              <wp:positionH relativeFrom="page">
                <wp:posOffset>508000</wp:posOffset>
              </wp:positionH>
              <wp:positionV relativeFrom="page">
                <wp:posOffset>412750</wp:posOffset>
              </wp:positionV>
              <wp:extent cx="4358640" cy="0"/>
              <wp:effectExtent l="0" t="0" r="0" b="0"/>
              <wp:wrapNone/>
              <wp:docPr id="1452" name="Shape 1452"/>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2FAB83D8" id="_x0000_t32" coordsize="21600,21600" o:spt="32" o:oned="t" path="m,l21600,21600e" filled="f">
              <v:path arrowok="t" fillok="f" o:connecttype="none"/>
              <o:lock v:ext="edit" shapetype="t"/>
            </v:shapetype>
            <v:shape id="Shape 1452" o:spid="_x0000_s1026" type="#_x0000_t32" style="position:absolute;margin-left:40pt;margin-top:32.5pt;width:343.2pt;height:0;z-index:-25158144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" strokeweight="1pt">
              <w10:wrap anchorx="page" anchory="page"/>
            </v:shape>
          </w:pict>
        </mc:Fallback>
      </mc:AlternateContent>
    </w:r>
  </w:p>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CBA9C" w14:textId="77777777" w:rsidR="00D03C17" w:rsidRDefault="00D03C17">
    <w:pPr>
      <w:spacing w:line="1" w:lineRule="exact"/>
    </w:pPr>
    <w:r>
      <w:rPr>
        <w:noProof/>
      </w:rPr>
      <mc:AlternateContent>
        <mc:Choice Requires="wps">
          <w:drawing>
            <wp:anchor distT="0" distB="0" distL="0" distR="0" simplePos="0" relativeHeight="251934720" behindDoc="1" locked="0" layoutInCell="1" allowOverlap="1" wp14:anchorId="10B99FF7" wp14:editId="3C3A8885">
              <wp:simplePos x="0" y="0"/>
              <wp:positionH relativeFrom="page">
                <wp:posOffset>1849120</wp:posOffset>
              </wp:positionH>
              <wp:positionV relativeFrom="page">
                <wp:posOffset>288925</wp:posOffset>
              </wp:positionV>
              <wp:extent cx="3005455" cy="94615"/>
              <wp:effectExtent l="0" t="0" r="0" b="0"/>
              <wp:wrapNone/>
              <wp:docPr id="1447" name="Shape 1447"/>
              <wp:cNvGraphicFramePr/>
              <a:graphic xmlns:a="http://schemas.openxmlformats.org/drawingml/2006/main">
                <a:graphicData uri="http://schemas.microsoft.com/office/word/2010/wordprocessingShape">
                  <wps:wsp>
                    <wps:cNvSpPr txBox="1"/>
                    <wps:spPr>
                      <a:xfrm>
                        <a:off x="0" y="0"/>
                        <a:ext cx="3005455" cy="94615"/>
                      </a:xfrm>
                      <a:prstGeom prst="rect">
                        <a:avLst/>
                      </a:prstGeom>
                      <a:noFill/>
                    </wps:spPr>
                    <wps:txbx>
                      <w:txbxContent>
                        <w:p w14:paraId="5C9473E2" w14:textId="77777777" w:rsidR="00D03C17" w:rsidRDefault="00D03C17">
                          <w:pPr>
                            <w:pStyle w:val="Headerorfooter0"/>
                            <w:tabs>
                              <w:tab w:val="right" w:pos="4733"/>
                            </w:tabs>
                            <w:rPr>
                              <w:sz w:val="16"/>
                              <w:szCs w:val="16"/>
                            </w:rPr>
                          </w:pPr>
                          <w:r>
                            <w:t>PÉLVICA, ENFERMEDAD INFLAMATORIA</w:t>
                          </w:r>
                          <w:r>
                            <w:tab/>
                          </w:r>
                          <w:r>
                            <w:fldChar w:fldCharType="begin"/>
                          </w:r>
                          <w:r>
                            <w:instrText xml:space="preserve"> PAGE \* MERGEFORMAT </w:instrText>
                          </w:r>
                          <w:r>
                            <w:fldChar w:fldCharType="separate"/>
                          </w:r>
                          <w:r>
                            <w:rPr>
                              <w:sz w:val="16"/>
                              <w:szCs w:val="16"/>
                            </w:rPr>
                            <w:t>#</w:t>
                          </w:r>
                          <w:r>
                            <w:rPr>
                              <w:sz w:val="16"/>
                              <w:szCs w:val="16"/>
                            </w:rPr>
                            <w:fldChar w:fldCharType="end"/>
                          </w:r>
                        </w:p>
                      </w:txbxContent>
                    </wps:txbx>
                    <wps:bodyPr lIns="0" tIns="0" rIns="0" bIns="0">
                      <a:spAutoFit/>
                    </wps:bodyPr>
                  </wps:wsp>
                </a:graphicData>
              </a:graphic>
            </wp:anchor>
          </w:drawing>
        </mc:Choice>
        <mc:Fallback>
          <w:pict>
            <v:shapetype w14:anchorId="10B99FF7" id="_x0000_t202" coordsize="21600,21600" o:spt="202" path="m,l,21600r21600,l21600,xe">
              <v:stroke joinstyle="miter"/>
              <v:path gradientshapeok="t" o:connecttype="rect"/>
            </v:shapetype>
            <v:shape id="Shape 1447" o:spid="_x0000_s1127" type="#_x0000_t202" style="position:absolute;margin-left:145.6pt;margin-top:22.75pt;width:236.65pt;height:7.45pt;z-index:-251381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" filled="f" stroked="f">
              <v:textbox style="mso-fit-shape-to-text:t" inset="0,0,0,0">
                <w:txbxContent>
                  <w:p w14:paraId="5C9473E2" w14:textId="77777777" w:rsidR="00D03C17" w:rsidRDefault="00D03C17">
                    <w:pPr>
                      <w:pStyle w:val="Headerorfooter0"/>
                      <w:tabs>
                        <w:tab w:val="right" w:pos="4733"/>
                      </w:tabs>
                      <w:rPr>
                        <w:sz w:val="16"/>
                        <w:szCs w:val="16"/>
                      </w:rPr>
                    </w:pPr>
                    <w:r>
                      <w:t>PÉLVICA, ENFERMEDAD INFLAMATORIA</w:t>
                    </w:r>
                    <w:r>
                      <w:tab/>
                    </w:r>
                    <w:r>
                      <w:fldChar w:fldCharType="begin"/>
                    </w:r>
                    <w:r>
                      <w:instrText xml:space="preserve"> PAGE \* MERGEFORMAT </w:instrText>
                    </w:r>
                    <w:r>
                      <w:fldChar w:fldCharType="separate"/>
                    </w:r>
                    <w:r>
                      <w:rPr>
                        <w:sz w:val="16"/>
                        <w:szCs w:val="16"/>
                      </w:rPr>
                      <w:t>#</w:t>
                    </w:r>
                    <w:r>
                      <w:rPr>
                        <w:sz w:val="16"/>
                        <w:szCs w:val="1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734016" behindDoc="1" locked="0" layoutInCell="1" allowOverlap="1" wp14:anchorId="2C941C3A" wp14:editId="490BA29B">
              <wp:simplePos x="0" y="0"/>
              <wp:positionH relativeFrom="page">
                <wp:posOffset>516890</wp:posOffset>
              </wp:positionH>
              <wp:positionV relativeFrom="page">
                <wp:posOffset>412750</wp:posOffset>
              </wp:positionV>
              <wp:extent cx="4358640" cy="0"/>
              <wp:effectExtent l="0" t="0" r="0" b="0"/>
              <wp:wrapNone/>
              <wp:docPr id="1449" name="Shape 1449"/>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72C29C48" id="_x0000_t32" coordsize="21600,21600" o:spt="32" o:oned="t" path="m,l21600,21600e" filled="f">
              <v:path arrowok="t" fillok="f" o:connecttype="none"/>
              <o:lock v:ext="edit" shapetype="t"/>
            </v:shapetype>
            <v:shape id="Shape 1449" o:spid="_x0000_s1026" type="#_x0000_t32" style="position:absolute;margin-left:40.7pt;margin-top:32.5pt;width:343.2pt;height:0;z-index:-25158246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" strokeweight="1pt">
              <w10:wrap anchorx="page" anchory="page"/>
            </v:shape>
          </w:pict>
        </mc:Fallback>
      </mc:AlternateContent>
    </w:r>
  </w:p>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68A68" w14:textId="77777777" w:rsidR="00D03C17" w:rsidRDefault="00D03C17">
    <w:pPr>
      <w:spacing w:line="1" w:lineRule="exact"/>
    </w:pPr>
    <w:r>
      <w:rPr>
        <w:noProof/>
      </w:rPr>
      <mc:AlternateContent>
        <mc:Choice Requires="wps">
          <w:drawing>
            <wp:anchor distT="0" distB="0" distL="0" distR="0" simplePos="0" relativeHeight="251936768" behindDoc="1" locked="0" layoutInCell="1" allowOverlap="1" wp14:anchorId="5E69DD5D" wp14:editId="1E5E1673">
              <wp:simplePos x="0" y="0"/>
              <wp:positionH relativeFrom="page">
                <wp:posOffset>2149475</wp:posOffset>
              </wp:positionH>
              <wp:positionV relativeFrom="page">
                <wp:posOffset>313690</wp:posOffset>
              </wp:positionV>
              <wp:extent cx="2697480" cy="69850"/>
              <wp:effectExtent l="0" t="0" r="0" b="0"/>
              <wp:wrapNone/>
              <wp:docPr id="1453" name="Shape 1453"/>
              <wp:cNvGraphicFramePr/>
              <a:graphic xmlns:a="http://schemas.openxmlformats.org/drawingml/2006/main">
                <a:graphicData uri="http://schemas.microsoft.com/office/word/2010/wordprocessingShape">
                  <wps:wsp>
                    <wps:cNvSpPr txBox="1"/>
                    <wps:spPr>
                      <a:xfrm>
                        <a:off x="0" y="0"/>
                        <a:ext cx="2697480" cy="69850"/>
                      </a:xfrm>
                      <a:prstGeom prst="rect">
                        <a:avLst/>
                      </a:prstGeom>
                      <a:noFill/>
                    </wps:spPr>
                    <wps:txbx>
                      <w:txbxContent>
                        <w:p w14:paraId="047D4A8D" w14:textId="77777777" w:rsidR="00D03C17" w:rsidRDefault="00D03C17">
                          <w:pPr>
                            <w:pStyle w:val="Headerorfooter0"/>
                            <w:tabs>
                              <w:tab w:val="right" w:pos="4248"/>
                            </w:tabs>
                            <w:rPr>
                              <w:sz w:val="16"/>
                              <w:szCs w:val="16"/>
                            </w:rPr>
                          </w:pPr>
                          <w:r>
                            <w:t>PEDICULOSIS DEL PUBIS</w:t>
                          </w:r>
                          <w:r>
                            <w:tab/>
                          </w:r>
                          <w:r>
                            <w:rPr>
                              <w:sz w:val="16"/>
                              <w:szCs w:val="16"/>
                            </w:rPr>
                            <w:t>543</w:t>
                          </w:r>
                        </w:p>
                      </w:txbxContent>
                    </wps:txbx>
                    <wps:bodyPr lIns="0" tIns="0" rIns="0" bIns="0">
                      <a:spAutoFit/>
                    </wps:bodyPr>
                  </wps:wsp>
                </a:graphicData>
              </a:graphic>
            </wp:anchor>
          </w:drawing>
        </mc:Choice>
        <mc:Fallback>
          <w:pict>
            <v:shapetype w14:anchorId="5E69DD5D" id="_x0000_t202" coordsize="21600,21600" o:spt="202" path="m,l,21600r21600,l21600,xe">
              <v:stroke joinstyle="miter"/>
              <v:path gradientshapeok="t" o:connecttype="rect"/>
            </v:shapetype>
            <v:shape id="Shape 1453" o:spid="_x0000_s1128" type="#_x0000_t202" style="position:absolute;margin-left:169.25pt;margin-top:24.7pt;width:212.4pt;height:5.5pt;z-index:-251379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" filled="f" stroked="f">
              <v:textbox style="mso-fit-shape-to-text:t" inset="0,0,0,0">
                <w:txbxContent>
                  <w:p w14:paraId="047D4A8D" w14:textId="77777777" w:rsidR="00D03C17" w:rsidRDefault="00D03C17">
                    <w:pPr>
                      <w:pStyle w:val="Headerorfooter0"/>
                      <w:tabs>
                        <w:tab w:val="right" w:pos="4248"/>
                      </w:tabs>
                      <w:rPr>
                        <w:sz w:val="16"/>
                        <w:szCs w:val="16"/>
                      </w:rPr>
                    </w:pPr>
                    <w:r>
                      <w:t>PEDICULOSIS DEL PUBIS</w:t>
                    </w:r>
                    <w:r>
                      <w:tab/>
                    </w:r>
                    <w:r>
                      <w:rPr>
                        <w:sz w:val="16"/>
                        <w:szCs w:val="16"/>
                      </w:rPr>
                      <w:t>543</w:t>
                    </w:r>
                  </w:p>
                </w:txbxContent>
              </v:textbox>
              <w10:wrap anchorx="page" anchory="page"/>
            </v:shape>
          </w:pict>
        </mc:Fallback>
      </mc:AlternateContent>
    </w:r>
    <w:r>
      <w:rPr>
        <w:noProof/>
      </w:rPr>
      <mc:AlternateContent>
        <mc:Choice Requires="wps">
          <w:drawing>
            <wp:anchor distT="0" distB="0" distL="114300" distR="114300" simplePos="0" relativeHeight="251736064" behindDoc="1" locked="0" layoutInCell="1" allowOverlap="1" wp14:anchorId="1A8FEF34" wp14:editId="1ED864ED">
              <wp:simplePos x="0" y="0"/>
              <wp:positionH relativeFrom="page">
                <wp:posOffset>509270</wp:posOffset>
              </wp:positionH>
              <wp:positionV relativeFrom="page">
                <wp:posOffset>421640</wp:posOffset>
              </wp:positionV>
              <wp:extent cx="4358640" cy="0"/>
              <wp:effectExtent l="0" t="0" r="0" b="0"/>
              <wp:wrapNone/>
              <wp:docPr id="1455" name="Shape 1455"/>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3B463549" id="_x0000_t32" coordsize="21600,21600" o:spt="32" o:oned="t" path="m,l21600,21600e" filled="f">
              <v:path arrowok="t" fillok="f" o:connecttype="none"/>
              <o:lock v:ext="edit" shapetype="t"/>
            </v:shapetype>
            <v:shape id="Shape 1455" o:spid="_x0000_s1026" type="#_x0000_t32" style="position:absolute;margin-left:40.1pt;margin-top:33.2pt;width:343.2pt;height:0;z-index:-25158041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" strokeweight="1pt">
              <w10:wrap anchorx="page" anchory="page"/>
            </v:shape>
          </w:pict>
        </mc:Fallback>
      </mc:AlternateContent>
    </w:r>
  </w:p>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14063" w14:textId="77777777" w:rsidR="00D03C17" w:rsidRDefault="00D03C17"/>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1F17A" w14:textId="77777777" w:rsidR="00D03C17" w:rsidRDefault="00D03C17"/>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6BCB1" w14:textId="77777777" w:rsidR="00D03C17" w:rsidRDefault="00D03C17">
    <w:pPr>
      <w:spacing w:line="1" w:lineRule="exact"/>
    </w:pPr>
    <w:r>
      <w:rPr>
        <w:noProof/>
      </w:rPr>
      <mc:AlternateContent>
        <mc:Choice Requires="wps">
          <w:drawing>
            <wp:anchor distT="0" distB="0" distL="0" distR="0" simplePos="0" relativeHeight="251938816" behindDoc="1" locked="0" layoutInCell="1" allowOverlap="1" wp14:anchorId="6EA49310" wp14:editId="3AAACB24">
              <wp:simplePos x="0" y="0"/>
              <wp:positionH relativeFrom="page">
                <wp:posOffset>540385</wp:posOffset>
              </wp:positionH>
              <wp:positionV relativeFrom="page">
                <wp:posOffset>311150</wp:posOffset>
              </wp:positionV>
              <wp:extent cx="2429510" cy="69850"/>
              <wp:effectExtent l="0" t="0" r="0" b="0"/>
              <wp:wrapNone/>
              <wp:docPr id="1459" name="Shape 1459"/>
              <wp:cNvGraphicFramePr/>
              <a:graphic xmlns:a="http://schemas.openxmlformats.org/drawingml/2006/main">
                <a:graphicData uri="http://schemas.microsoft.com/office/word/2010/wordprocessingShape">
                  <wps:wsp>
                    <wps:cNvSpPr txBox="1"/>
                    <wps:spPr>
                      <a:xfrm>
                        <a:off x="0" y="0"/>
                        <a:ext cx="2429510" cy="69850"/>
                      </a:xfrm>
                      <a:prstGeom prst="rect">
                        <a:avLst/>
                      </a:prstGeom>
                      <a:noFill/>
                    </wps:spPr>
                    <wps:txbx>
                      <w:txbxContent>
                        <w:p w14:paraId="35446139" w14:textId="77777777" w:rsidR="00D03C17" w:rsidRDefault="00D03C17">
                          <w:pPr>
                            <w:pStyle w:val="Headerorfooter0"/>
                            <w:tabs>
                              <w:tab w:val="right" w:pos="3826"/>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TOS FERINA</w:t>
                          </w:r>
                        </w:p>
                      </w:txbxContent>
                    </wps:txbx>
                    <wps:bodyPr lIns="0" tIns="0" rIns="0" bIns="0">
                      <a:spAutoFit/>
                    </wps:bodyPr>
                  </wps:wsp>
                </a:graphicData>
              </a:graphic>
            </wp:anchor>
          </w:drawing>
        </mc:Choice>
        <mc:Fallback>
          <w:pict>
            <v:shapetype w14:anchorId="6EA49310" id="_x0000_t202" coordsize="21600,21600" o:spt="202" path="m,l,21600r21600,l21600,xe">
              <v:stroke joinstyle="miter"/>
              <v:path gradientshapeok="t" o:connecttype="rect"/>
            </v:shapetype>
            <v:shape id="Shape 1459" o:spid="_x0000_s1129" type="#_x0000_t202" style="position:absolute;margin-left:42.55pt;margin-top:24.5pt;width:191.3pt;height:5.5pt;z-index:-251377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" filled="f" stroked="f">
              <v:textbox style="mso-fit-shape-to-text:t" inset="0,0,0,0">
                <w:txbxContent>
                  <w:p w14:paraId="35446139" w14:textId="77777777" w:rsidR="00D03C17" w:rsidRDefault="00D03C17">
                    <w:pPr>
                      <w:pStyle w:val="Headerorfooter0"/>
                      <w:tabs>
                        <w:tab w:val="right" w:pos="3826"/>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TOS FERINA</w:t>
                    </w:r>
                  </w:p>
                </w:txbxContent>
              </v:textbox>
              <w10:wrap anchorx="page" anchory="page"/>
            </v:shape>
          </w:pict>
        </mc:Fallback>
      </mc:AlternateContent>
    </w:r>
    <w:r>
      <w:rPr>
        <w:noProof/>
      </w:rPr>
      <mc:AlternateContent>
        <mc:Choice Requires="wps">
          <w:drawing>
            <wp:anchor distT="0" distB="0" distL="114300" distR="114300" simplePos="0" relativeHeight="251738112" behindDoc="1" locked="0" layoutInCell="1" allowOverlap="1" wp14:anchorId="45400782" wp14:editId="446CE17D">
              <wp:simplePos x="0" y="0"/>
              <wp:positionH relativeFrom="page">
                <wp:posOffset>525145</wp:posOffset>
              </wp:positionH>
              <wp:positionV relativeFrom="page">
                <wp:posOffset>419100</wp:posOffset>
              </wp:positionV>
              <wp:extent cx="4358640" cy="0"/>
              <wp:effectExtent l="0" t="0" r="0" b="0"/>
              <wp:wrapNone/>
              <wp:docPr id="1461" name="Shape 1461"/>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3EFFE4E6" id="_x0000_t32" coordsize="21600,21600" o:spt="32" o:oned="t" path="m,l21600,21600e" filled="f">
              <v:path arrowok="t" fillok="f" o:connecttype="none"/>
              <o:lock v:ext="edit" shapetype="t"/>
            </v:shapetype>
            <v:shape id="Shape 1461" o:spid="_x0000_s1026" type="#_x0000_t32" style="position:absolute;margin-left:41.35pt;margin-top:33pt;width:343.2pt;height:0;z-index:-25157836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" strokeweight="1pt">
              <w10:wrap anchorx="page" anchory="page"/>
            </v:shape>
          </w:pict>
        </mc:Fallback>
      </mc:AlternateContent>
    </w:r>
  </w:p>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6547D" w14:textId="77777777" w:rsidR="00D03C17" w:rsidRDefault="00D03C17">
    <w:pPr>
      <w:spacing w:line="1" w:lineRule="exact"/>
    </w:pPr>
    <w:r>
      <w:rPr>
        <w:noProof/>
      </w:rPr>
      <mc:AlternateContent>
        <mc:Choice Requires="wps">
          <w:drawing>
            <wp:anchor distT="0" distB="0" distL="0" distR="0" simplePos="0" relativeHeight="251937792" behindDoc="1" locked="0" layoutInCell="1" allowOverlap="1" wp14:anchorId="20135B65" wp14:editId="21A5E325">
              <wp:simplePos x="0" y="0"/>
              <wp:positionH relativeFrom="page">
                <wp:posOffset>2431415</wp:posOffset>
              </wp:positionH>
              <wp:positionV relativeFrom="page">
                <wp:posOffset>311150</wp:posOffset>
              </wp:positionV>
              <wp:extent cx="2411095" cy="69850"/>
              <wp:effectExtent l="0" t="0" r="0" b="0"/>
              <wp:wrapNone/>
              <wp:docPr id="1456" name="Shape 1456"/>
              <wp:cNvGraphicFramePr/>
              <a:graphic xmlns:a="http://schemas.openxmlformats.org/drawingml/2006/main">
                <a:graphicData uri="http://schemas.microsoft.com/office/word/2010/wordprocessingShape">
                  <wps:wsp>
                    <wps:cNvSpPr txBox="1"/>
                    <wps:spPr>
                      <a:xfrm>
                        <a:off x="0" y="0"/>
                        <a:ext cx="2411095" cy="69850"/>
                      </a:xfrm>
                      <a:prstGeom prst="rect">
                        <a:avLst/>
                      </a:prstGeom>
                      <a:noFill/>
                    </wps:spPr>
                    <wps:txbx>
                      <w:txbxContent>
                        <w:p w14:paraId="4840B53E" w14:textId="77777777" w:rsidR="00D03C17" w:rsidRDefault="00D03C17">
                          <w:pPr>
                            <w:pStyle w:val="Headerorfooter0"/>
                            <w:tabs>
                              <w:tab w:val="right" w:pos="3797"/>
                            </w:tabs>
                            <w:rPr>
                              <w:sz w:val="16"/>
                              <w:szCs w:val="16"/>
                            </w:rPr>
                          </w:pPr>
                          <w:r>
                            <w:t>TOS FERINA</w:t>
                          </w:r>
                          <w:r>
                            <w:tab/>
                          </w:r>
                          <w:r>
                            <w:fldChar w:fldCharType="begin"/>
                          </w:r>
                          <w:r>
                            <w:instrText xml:space="preserve"> PAGE \* MERGEFORMAT </w:instrText>
                          </w:r>
                          <w:r>
                            <w:fldChar w:fldCharType="separate"/>
                          </w:r>
                          <w:r>
                            <w:rPr>
                              <w:sz w:val="16"/>
                              <w:szCs w:val="16"/>
                            </w:rPr>
                            <w:t>#</w:t>
                          </w:r>
                          <w:r>
                            <w:rPr>
                              <w:sz w:val="16"/>
                              <w:szCs w:val="16"/>
                            </w:rPr>
                            <w:fldChar w:fldCharType="end"/>
                          </w:r>
                        </w:p>
                      </w:txbxContent>
                    </wps:txbx>
                    <wps:bodyPr lIns="0" tIns="0" rIns="0" bIns="0">
                      <a:spAutoFit/>
                    </wps:bodyPr>
                  </wps:wsp>
                </a:graphicData>
              </a:graphic>
            </wp:anchor>
          </w:drawing>
        </mc:Choice>
        <mc:Fallback>
          <w:pict>
            <v:shapetype w14:anchorId="20135B65" id="_x0000_t202" coordsize="21600,21600" o:spt="202" path="m,l,21600r21600,l21600,xe">
              <v:stroke joinstyle="miter"/>
              <v:path gradientshapeok="t" o:connecttype="rect"/>
            </v:shapetype>
            <v:shape id="Shape 1456" o:spid="_x0000_s1130" type="#_x0000_t202" style="position:absolute;margin-left:191.45pt;margin-top:24.5pt;width:189.85pt;height:5.5pt;z-index:-251378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" filled="f" stroked="f">
              <v:textbox style="mso-fit-shape-to-text:t" inset="0,0,0,0">
                <w:txbxContent>
                  <w:p w14:paraId="4840B53E" w14:textId="77777777" w:rsidR="00D03C17" w:rsidRDefault="00D03C17">
                    <w:pPr>
                      <w:pStyle w:val="Headerorfooter0"/>
                      <w:tabs>
                        <w:tab w:val="right" w:pos="3797"/>
                      </w:tabs>
                      <w:rPr>
                        <w:sz w:val="16"/>
                        <w:szCs w:val="16"/>
                      </w:rPr>
                    </w:pPr>
                    <w:r>
                      <w:t>TOS FERINA</w:t>
                    </w:r>
                    <w:r>
                      <w:tab/>
                    </w:r>
                    <w:r>
                      <w:fldChar w:fldCharType="begin"/>
                    </w:r>
                    <w:r>
                      <w:instrText xml:space="preserve"> PAGE \* MERGEFORMAT </w:instrText>
                    </w:r>
                    <w:r>
                      <w:fldChar w:fldCharType="separate"/>
                    </w:r>
                    <w:r>
                      <w:rPr>
                        <w:sz w:val="16"/>
                        <w:szCs w:val="16"/>
                      </w:rPr>
                      <w:t>#</w:t>
                    </w:r>
                    <w:r>
                      <w:rPr>
                        <w:sz w:val="16"/>
                        <w:szCs w:val="1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737088" behindDoc="1" locked="0" layoutInCell="1" allowOverlap="1" wp14:anchorId="7407D7C8" wp14:editId="6BEE0F96">
              <wp:simplePos x="0" y="0"/>
              <wp:positionH relativeFrom="page">
                <wp:posOffset>520700</wp:posOffset>
              </wp:positionH>
              <wp:positionV relativeFrom="page">
                <wp:posOffset>419100</wp:posOffset>
              </wp:positionV>
              <wp:extent cx="4358640" cy="0"/>
              <wp:effectExtent l="0" t="0" r="0" b="0"/>
              <wp:wrapNone/>
              <wp:docPr id="1458" name="Shape 1458"/>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702FE0D5" id="_x0000_t32" coordsize="21600,21600" o:spt="32" o:oned="t" path="m,l21600,21600e" filled="f">
              <v:path arrowok="t" fillok="f" o:connecttype="none"/>
              <o:lock v:ext="edit" shapetype="t"/>
            </v:shapetype>
            <v:shape id="Shape 1458" o:spid="_x0000_s1026" type="#_x0000_t32" style="position:absolute;margin-left:41pt;margin-top:33pt;width:343.2pt;height:0;z-index:-25157939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" strokeweight="1pt">
              <w10:wrap anchorx="page" anchory="page"/>
            </v:shape>
          </w:pict>
        </mc:Fallback>
      </mc:AlternateContent>
    </w:r>
  </w:p>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6785E" w14:textId="77777777" w:rsidR="00D03C17" w:rsidRDefault="00D03C17"/>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9A97F" w14:textId="77777777" w:rsidR="00D03C17" w:rsidRDefault="00D03C17"/>
</w:hdr>
</file>

<file path=word/header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EDE4A" w14:textId="77777777" w:rsidR="00D03C17" w:rsidRDefault="00D03C17">
    <w:pPr>
      <w:spacing w:line="1" w:lineRule="exact"/>
    </w:pPr>
    <w:r>
      <w:rPr>
        <w:noProof/>
      </w:rPr>
      <mc:AlternateContent>
        <mc:Choice Requires="wps">
          <w:drawing>
            <wp:anchor distT="0" distB="0" distL="0" distR="0" simplePos="0" relativeHeight="251940864" behindDoc="1" locked="0" layoutInCell="1" allowOverlap="1" wp14:anchorId="26D8D81E" wp14:editId="67E7BCA8">
              <wp:simplePos x="0" y="0"/>
              <wp:positionH relativeFrom="page">
                <wp:posOffset>540385</wp:posOffset>
              </wp:positionH>
              <wp:positionV relativeFrom="page">
                <wp:posOffset>311150</wp:posOffset>
              </wp:positionV>
              <wp:extent cx="2429510" cy="69850"/>
              <wp:effectExtent l="0" t="0" r="0" b="0"/>
              <wp:wrapNone/>
              <wp:docPr id="1465" name="Shape 1465"/>
              <wp:cNvGraphicFramePr/>
              <a:graphic xmlns:a="http://schemas.openxmlformats.org/drawingml/2006/main">
                <a:graphicData uri="http://schemas.microsoft.com/office/word/2010/wordprocessingShape">
                  <wps:wsp>
                    <wps:cNvSpPr txBox="1"/>
                    <wps:spPr>
                      <a:xfrm>
                        <a:off x="0" y="0"/>
                        <a:ext cx="2429510" cy="69850"/>
                      </a:xfrm>
                      <a:prstGeom prst="rect">
                        <a:avLst/>
                      </a:prstGeom>
                      <a:noFill/>
                    </wps:spPr>
                    <wps:txbx>
                      <w:txbxContent>
                        <w:p w14:paraId="48A1DECD" w14:textId="77777777" w:rsidR="00D03C17" w:rsidRDefault="00D03C17">
                          <w:pPr>
                            <w:pStyle w:val="Headerorfooter0"/>
                            <w:tabs>
                              <w:tab w:val="right" w:pos="3826"/>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TOS FERINA</w:t>
                          </w:r>
                        </w:p>
                      </w:txbxContent>
                    </wps:txbx>
                    <wps:bodyPr lIns="0" tIns="0" rIns="0" bIns="0">
                      <a:spAutoFit/>
                    </wps:bodyPr>
                  </wps:wsp>
                </a:graphicData>
              </a:graphic>
            </wp:anchor>
          </w:drawing>
        </mc:Choice>
        <mc:Fallback>
          <w:pict>
            <v:shapetype w14:anchorId="26D8D81E" id="_x0000_t202" coordsize="21600,21600" o:spt="202" path="m,l,21600r21600,l21600,xe">
              <v:stroke joinstyle="miter"/>
              <v:path gradientshapeok="t" o:connecttype="rect"/>
            </v:shapetype>
            <v:shape id="Shape 1465" o:spid="_x0000_s1131" type="#_x0000_t202" style="position:absolute;margin-left:42.55pt;margin-top:24.5pt;width:191.3pt;height:5.5pt;z-index:-251375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" filled="f" stroked="f">
              <v:textbox style="mso-fit-shape-to-text:t" inset="0,0,0,0">
                <w:txbxContent>
                  <w:p w14:paraId="48A1DECD" w14:textId="77777777" w:rsidR="00D03C17" w:rsidRDefault="00D03C17">
                    <w:pPr>
                      <w:pStyle w:val="Headerorfooter0"/>
                      <w:tabs>
                        <w:tab w:val="right" w:pos="3826"/>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TOS FERINA</w:t>
                    </w:r>
                  </w:p>
                </w:txbxContent>
              </v:textbox>
              <w10:wrap anchorx="page" anchory="page"/>
            </v:shape>
          </w:pict>
        </mc:Fallback>
      </mc:AlternateContent>
    </w:r>
    <w:r>
      <w:rPr>
        <w:noProof/>
      </w:rPr>
      <mc:AlternateContent>
        <mc:Choice Requires="wps">
          <w:drawing>
            <wp:anchor distT="0" distB="0" distL="114300" distR="114300" simplePos="0" relativeHeight="251740160" behindDoc="1" locked="0" layoutInCell="1" allowOverlap="1" wp14:anchorId="403D56FE" wp14:editId="0C3F1F93">
              <wp:simplePos x="0" y="0"/>
              <wp:positionH relativeFrom="page">
                <wp:posOffset>525145</wp:posOffset>
              </wp:positionH>
              <wp:positionV relativeFrom="page">
                <wp:posOffset>419100</wp:posOffset>
              </wp:positionV>
              <wp:extent cx="4358640" cy="0"/>
              <wp:effectExtent l="0" t="0" r="0" b="0"/>
              <wp:wrapNone/>
              <wp:docPr id="1467" name="Shape 1467"/>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59752E86" id="_x0000_t32" coordsize="21600,21600" o:spt="32" o:oned="t" path="m,l21600,21600e" filled="f">
              <v:path arrowok="t" fillok="f" o:connecttype="none"/>
              <o:lock v:ext="edit" shapetype="t"/>
            </v:shapetype>
            <v:shape id="Shape 1467" o:spid="_x0000_s1026" type="#_x0000_t32" style="position:absolute;margin-left:41.35pt;margin-top:33pt;width:343.2pt;height:0;z-index:-25157632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" strokeweight="1pt">
              <w10:wrap anchorx="page" anchory="page"/>
            </v:shape>
          </w:pict>
        </mc:Fallback>
      </mc:AlternateContent>
    </w:r>
  </w:p>
</w:hdr>
</file>

<file path=word/header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50B00" w14:textId="77777777" w:rsidR="00D03C17" w:rsidRDefault="00D03C17">
    <w:pPr>
      <w:spacing w:line="1" w:lineRule="exact"/>
    </w:pPr>
    <w:r>
      <w:rPr>
        <w:noProof/>
      </w:rPr>
      <mc:AlternateContent>
        <mc:Choice Requires="wps">
          <w:drawing>
            <wp:anchor distT="0" distB="0" distL="0" distR="0" simplePos="0" relativeHeight="251939840" behindDoc="1" locked="0" layoutInCell="1" allowOverlap="1" wp14:anchorId="6CAB00F3" wp14:editId="77504D1B">
              <wp:simplePos x="0" y="0"/>
              <wp:positionH relativeFrom="page">
                <wp:posOffset>2431415</wp:posOffset>
              </wp:positionH>
              <wp:positionV relativeFrom="page">
                <wp:posOffset>311150</wp:posOffset>
              </wp:positionV>
              <wp:extent cx="2411095" cy="69850"/>
              <wp:effectExtent l="0" t="0" r="0" b="0"/>
              <wp:wrapNone/>
              <wp:docPr id="1462" name="Shape 1462"/>
              <wp:cNvGraphicFramePr/>
              <a:graphic xmlns:a="http://schemas.openxmlformats.org/drawingml/2006/main">
                <a:graphicData uri="http://schemas.microsoft.com/office/word/2010/wordprocessingShape">
                  <wps:wsp>
                    <wps:cNvSpPr txBox="1"/>
                    <wps:spPr>
                      <a:xfrm>
                        <a:off x="0" y="0"/>
                        <a:ext cx="2411095" cy="69850"/>
                      </a:xfrm>
                      <a:prstGeom prst="rect">
                        <a:avLst/>
                      </a:prstGeom>
                      <a:noFill/>
                    </wps:spPr>
                    <wps:txbx>
                      <w:txbxContent>
                        <w:p w14:paraId="19A7BCFB" w14:textId="77777777" w:rsidR="00D03C17" w:rsidRDefault="00D03C17">
                          <w:pPr>
                            <w:pStyle w:val="Headerorfooter0"/>
                            <w:tabs>
                              <w:tab w:val="right" w:pos="3797"/>
                            </w:tabs>
                            <w:rPr>
                              <w:sz w:val="16"/>
                              <w:szCs w:val="16"/>
                            </w:rPr>
                          </w:pPr>
                          <w:r>
                            <w:t>TOS FERINA</w:t>
                          </w:r>
                          <w:r>
                            <w:tab/>
                          </w:r>
                          <w:r>
                            <w:fldChar w:fldCharType="begin"/>
                          </w:r>
                          <w:r>
                            <w:instrText xml:space="preserve"> PAGE \* MERGEFORMAT </w:instrText>
                          </w:r>
                          <w:r>
                            <w:fldChar w:fldCharType="separate"/>
                          </w:r>
                          <w:r>
                            <w:rPr>
                              <w:sz w:val="16"/>
                              <w:szCs w:val="16"/>
                            </w:rPr>
                            <w:t>#</w:t>
                          </w:r>
                          <w:r>
                            <w:rPr>
                              <w:sz w:val="16"/>
                              <w:szCs w:val="16"/>
                            </w:rPr>
                            <w:fldChar w:fldCharType="end"/>
                          </w:r>
                        </w:p>
                      </w:txbxContent>
                    </wps:txbx>
                    <wps:bodyPr lIns="0" tIns="0" rIns="0" bIns="0">
                      <a:spAutoFit/>
                    </wps:bodyPr>
                  </wps:wsp>
                </a:graphicData>
              </a:graphic>
            </wp:anchor>
          </w:drawing>
        </mc:Choice>
        <mc:Fallback>
          <w:pict>
            <v:shapetype w14:anchorId="6CAB00F3" id="_x0000_t202" coordsize="21600,21600" o:spt="202" path="m,l,21600r21600,l21600,xe">
              <v:stroke joinstyle="miter"/>
              <v:path gradientshapeok="t" o:connecttype="rect"/>
            </v:shapetype>
            <v:shape id="Shape 1462" o:spid="_x0000_s1132" type="#_x0000_t202" style="position:absolute;margin-left:191.45pt;margin-top:24.5pt;width:189.85pt;height:5.5pt;z-index:-251376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" filled="f" stroked="f">
              <v:textbox style="mso-fit-shape-to-text:t" inset="0,0,0,0">
                <w:txbxContent>
                  <w:p w14:paraId="19A7BCFB" w14:textId="77777777" w:rsidR="00D03C17" w:rsidRDefault="00D03C17">
                    <w:pPr>
                      <w:pStyle w:val="Headerorfooter0"/>
                      <w:tabs>
                        <w:tab w:val="right" w:pos="3797"/>
                      </w:tabs>
                      <w:rPr>
                        <w:sz w:val="16"/>
                        <w:szCs w:val="16"/>
                      </w:rPr>
                    </w:pPr>
                    <w:r>
                      <w:t>TOS FERINA</w:t>
                    </w:r>
                    <w:r>
                      <w:tab/>
                    </w:r>
                    <w:r>
                      <w:fldChar w:fldCharType="begin"/>
                    </w:r>
                    <w:r>
                      <w:instrText xml:space="preserve"> PAGE \* MERGEFORMAT </w:instrText>
                    </w:r>
                    <w:r>
                      <w:fldChar w:fldCharType="separate"/>
                    </w:r>
                    <w:r>
                      <w:rPr>
                        <w:sz w:val="16"/>
                        <w:szCs w:val="16"/>
                      </w:rPr>
                      <w:t>#</w:t>
                    </w:r>
                    <w:r>
                      <w:rPr>
                        <w:sz w:val="16"/>
                        <w:szCs w:val="1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739136" behindDoc="1" locked="0" layoutInCell="1" allowOverlap="1" wp14:anchorId="5EAAF520" wp14:editId="5F8AB141">
              <wp:simplePos x="0" y="0"/>
              <wp:positionH relativeFrom="page">
                <wp:posOffset>520700</wp:posOffset>
              </wp:positionH>
              <wp:positionV relativeFrom="page">
                <wp:posOffset>419100</wp:posOffset>
              </wp:positionV>
              <wp:extent cx="4358640" cy="0"/>
              <wp:effectExtent l="0" t="0" r="0" b="0"/>
              <wp:wrapNone/>
              <wp:docPr id="1464" name="Shape 1464"/>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5446EC5F" id="_x0000_t32" coordsize="21600,21600" o:spt="32" o:oned="t" path="m,l21600,21600e" filled="f">
              <v:path arrowok="t" fillok="f" o:connecttype="none"/>
              <o:lock v:ext="edit" shapetype="t"/>
            </v:shapetype>
            <v:shape id="Shape 1464" o:spid="_x0000_s1026" type="#_x0000_t32" style="position:absolute;margin-left:41pt;margin-top:33pt;width:343.2pt;height:0;z-index:-25157734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" strokeweight="1pt">
              <w10:wrap anchorx="page" anchory="page"/>
            </v:shape>
          </w:pict>
        </mc:Fallback>
      </mc:AlternateContent>
    </w:r>
  </w:p>
</w:hdr>
</file>

<file path=word/header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EAAD2" w14:textId="77777777" w:rsidR="00D03C17" w:rsidRDefault="00D03C17">
    <w:pPr>
      <w:spacing w:line="1" w:lineRule="exact"/>
    </w:pPr>
    <w:r>
      <w:rPr>
        <w:noProof/>
      </w:rPr>
      <mc:AlternateContent>
        <mc:Choice Requires="wps">
          <w:drawing>
            <wp:anchor distT="0" distB="0" distL="0" distR="0" simplePos="0" relativeHeight="251942912" behindDoc="1" locked="0" layoutInCell="1" allowOverlap="1" wp14:anchorId="66BEE247" wp14:editId="43FBAB90">
              <wp:simplePos x="0" y="0"/>
              <wp:positionH relativeFrom="page">
                <wp:posOffset>524510</wp:posOffset>
              </wp:positionH>
              <wp:positionV relativeFrom="page">
                <wp:posOffset>315595</wp:posOffset>
              </wp:positionV>
              <wp:extent cx="2487295" cy="69850"/>
              <wp:effectExtent l="0" t="0" r="0" b="0"/>
              <wp:wrapNone/>
              <wp:docPr id="1471" name="Shape 1471"/>
              <wp:cNvGraphicFramePr/>
              <a:graphic xmlns:a="http://schemas.openxmlformats.org/drawingml/2006/main">
                <a:graphicData uri="http://schemas.microsoft.com/office/word/2010/wordprocessingShape">
                  <wps:wsp>
                    <wps:cNvSpPr txBox="1"/>
                    <wps:spPr>
                      <a:xfrm>
                        <a:off x="0" y="0"/>
                        <a:ext cx="2487295" cy="69850"/>
                      </a:xfrm>
                      <a:prstGeom prst="rect">
                        <a:avLst/>
                      </a:prstGeom>
                      <a:noFill/>
                    </wps:spPr>
                    <wps:txbx>
                      <w:txbxContent>
                        <w:p w14:paraId="3577F24A" w14:textId="77777777" w:rsidR="00D03C17" w:rsidRDefault="00D03C17">
                          <w:pPr>
                            <w:pStyle w:val="Headerorfooter0"/>
                            <w:tabs>
                              <w:tab w:val="right" w:pos="3917"/>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TOXOCARIASIS</w:t>
                          </w:r>
                        </w:p>
                      </w:txbxContent>
                    </wps:txbx>
                    <wps:bodyPr lIns="0" tIns="0" rIns="0" bIns="0">
                      <a:spAutoFit/>
                    </wps:bodyPr>
                  </wps:wsp>
                </a:graphicData>
              </a:graphic>
            </wp:anchor>
          </w:drawing>
        </mc:Choice>
        <mc:Fallback>
          <w:pict>
            <v:shapetype w14:anchorId="66BEE247" id="_x0000_t202" coordsize="21600,21600" o:spt="202" path="m,l,21600r21600,l21600,xe">
              <v:stroke joinstyle="miter"/>
              <v:path gradientshapeok="t" o:connecttype="rect"/>
            </v:shapetype>
            <v:shape id="Shape 1471" o:spid="_x0000_s1133" type="#_x0000_t202" style="position:absolute;margin-left:41.3pt;margin-top:24.85pt;width:195.85pt;height:5.5pt;z-index:-251373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" filled="f" stroked="f">
              <v:textbox style="mso-fit-shape-to-text:t" inset="0,0,0,0">
                <w:txbxContent>
                  <w:p w14:paraId="3577F24A" w14:textId="77777777" w:rsidR="00D03C17" w:rsidRDefault="00D03C17">
                    <w:pPr>
                      <w:pStyle w:val="Headerorfooter0"/>
                      <w:tabs>
                        <w:tab w:val="right" w:pos="3917"/>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TOXOCARIASIS</w:t>
                    </w:r>
                  </w:p>
                </w:txbxContent>
              </v:textbox>
              <w10:wrap anchorx="page" anchory="page"/>
            </v:shape>
          </w:pict>
        </mc:Fallback>
      </mc:AlternateContent>
    </w:r>
    <w:r>
      <w:rPr>
        <w:noProof/>
      </w:rPr>
      <mc:AlternateContent>
        <mc:Choice Requires="wps">
          <w:drawing>
            <wp:anchor distT="0" distB="0" distL="114300" distR="114300" simplePos="0" relativeHeight="251742208" behindDoc="1" locked="0" layoutInCell="1" allowOverlap="1" wp14:anchorId="28F19120" wp14:editId="56593BFC">
              <wp:simplePos x="0" y="0"/>
              <wp:positionH relativeFrom="page">
                <wp:posOffset>509270</wp:posOffset>
              </wp:positionH>
              <wp:positionV relativeFrom="page">
                <wp:posOffset>423545</wp:posOffset>
              </wp:positionV>
              <wp:extent cx="4358640" cy="0"/>
              <wp:effectExtent l="0" t="0" r="0" b="0"/>
              <wp:wrapNone/>
              <wp:docPr id="1473" name="Shape 1473"/>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084E684E" id="_x0000_t32" coordsize="21600,21600" o:spt="32" o:oned="t" path="m,l21600,21600e" filled="f">
              <v:path arrowok="t" fillok="f" o:connecttype="none"/>
              <o:lock v:ext="edit" shapetype="t"/>
            </v:shapetype>
            <v:shape id="Shape 1473" o:spid="_x0000_s1026" type="#_x0000_t32" style="position:absolute;margin-left:40.1pt;margin-top:33.35pt;width:343.2pt;height:0;z-index:-25157427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" strokeweight="1pt">
              <w10:wrap anchorx="page" anchory="page"/>
            </v:shape>
          </w:pict>
        </mc:Fallback>
      </mc:AlternateContent>
    </w:r>
  </w:p>
</w:hdr>
</file>

<file path=word/header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846D4" w14:textId="77777777" w:rsidR="00D03C17" w:rsidRDefault="00D03C17">
    <w:pPr>
      <w:spacing w:line="1" w:lineRule="exact"/>
    </w:pPr>
    <w:r>
      <w:rPr>
        <w:noProof/>
      </w:rPr>
      <mc:AlternateContent>
        <mc:Choice Requires="wps">
          <w:drawing>
            <wp:anchor distT="0" distB="0" distL="0" distR="0" simplePos="0" relativeHeight="251941888" behindDoc="1" locked="0" layoutInCell="1" allowOverlap="1" wp14:anchorId="385F17B3" wp14:editId="331D101C">
              <wp:simplePos x="0" y="0"/>
              <wp:positionH relativeFrom="page">
                <wp:posOffset>524510</wp:posOffset>
              </wp:positionH>
              <wp:positionV relativeFrom="page">
                <wp:posOffset>315595</wp:posOffset>
              </wp:positionV>
              <wp:extent cx="2487295" cy="69850"/>
              <wp:effectExtent l="0" t="0" r="0" b="0"/>
              <wp:wrapNone/>
              <wp:docPr id="1468" name="Shape 1468"/>
              <wp:cNvGraphicFramePr/>
              <a:graphic xmlns:a="http://schemas.openxmlformats.org/drawingml/2006/main">
                <a:graphicData uri="http://schemas.microsoft.com/office/word/2010/wordprocessingShape">
                  <wps:wsp>
                    <wps:cNvSpPr txBox="1"/>
                    <wps:spPr>
                      <a:xfrm>
                        <a:off x="0" y="0"/>
                        <a:ext cx="2487295" cy="69850"/>
                      </a:xfrm>
                      <a:prstGeom prst="rect">
                        <a:avLst/>
                      </a:prstGeom>
                      <a:noFill/>
                    </wps:spPr>
                    <wps:txbx>
                      <w:txbxContent>
                        <w:p w14:paraId="13FEE32A" w14:textId="77777777" w:rsidR="00D03C17" w:rsidRDefault="00D03C17">
                          <w:pPr>
                            <w:pStyle w:val="Headerorfooter0"/>
                            <w:tabs>
                              <w:tab w:val="right" w:pos="3917"/>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TOXOCARIASIS</w:t>
                          </w:r>
                        </w:p>
                      </w:txbxContent>
                    </wps:txbx>
                    <wps:bodyPr lIns="0" tIns="0" rIns="0" bIns="0">
                      <a:spAutoFit/>
                    </wps:bodyPr>
                  </wps:wsp>
                </a:graphicData>
              </a:graphic>
            </wp:anchor>
          </w:drawing>
        </mc:Choice>
        <mc:Fallback>
          <w:pict>
            <v:shapetype w14:anchorId="385F17B3" id="_x0000_t202" coordsize="21600,21600" o:spt="202" path="m,l,21600r21600,l21600,xe">
              <v:stroke joinstyle="miter"/>
              <v:path gradientshapeok="t" o:connecttype="rect"/>
            </v:shapetype>
            <v:shape id="Shape 1468" o:spid="_x0000_s1134" type="#_x0000_t202" style="position:absolute;margin-left:41.3pt;margin-top:24.85pt;width:195.85pt;height:5.5pt;z-index:-251374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" filled="f" stroked="f">
              <v:textbox style="mso-fit-shape-to-text:t" inset="0,0,0,0">
                <w:txbxContent>
                  <w:p w14:paraId="13FEE32A" w14:textId="77777777" w:rsidR="00D03C17" w:rsidRDefault="00D03C17">
                    <w:pPr>
                      <w:pStyle w:val="Headerorfooter0"/>
                      <w:tabs>
                        <w:tab w:val="right" w:pos="3917"/>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TOXOCARIASIS</w:t>
                    </w:r>
                  </w:p>
                </w:txbxContent>
              </v:textbox>
              <w10:wrap anchorx="page" anchory="page"/>
            </v:shape>
          </w:pict>
        </mc:Fallback>
      </mc:AlternateContent>
    </w:r>
    <w:r>
      <w:rPr>
        <w:noProof/>
      </w:rPr>
      <mc:AlternateContent>
        <mc:Choice Requires="wps">
          <w:drawing>
            <wp:anchor distT="0" distB="0" distL="114300" distR="114300" simplePos="0" relativeHeight="251741184" behindDoc="1" locked="0" layoutInCell="1" allowOverlap="1" wp14:anchorId="7CFFD317" wp14:editId="7D522026">
              <wp:simplePos x="0" y="0"/>
              <wp:positionH relativeFrom="page">
                <wp:posOffset>509270</wp:posOffset>
              </wp:positionH>
              <wp:positionV relativeFrom="page">
                <wp:posOffset>423545</wp:posOffset>
              </wp:positionV>
              <wp:extent cx="4358640" cy="0"/>
              <wp:effectExtent l="0" t="0" r="0" b="0"/>
              <wp:wrapNone/>
              <wp:docPr id="1470" name="Shape 1470"/>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2CE6CAAE" id="_x0000_t32" coordsize="21600,21600" o:spt="32" o:oned="t" path="m,l21600,21600e" filled="f">
              <v:path arrowok="t" fillok="f" o:connecttype="none"/>
              <o:lock v:ext="edit" shapetype="t"/>
            </v:shapetype>
            <v:shape id="Shape 1470" o:spid="_x0000_s1026" type="#_x0000_t32" style="position:absolute;margin-left:40.1pt;margin-top:33.35pt;width:343.2pt;height:0;z-index:-25157529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" strokeweight="1pt">
              <w10:wrap anchorx="page" anchory="page"/>
            </v:shape>
          </w:pict>
        </mc:Fallback>
      </mc:AlternateContent>
    </w:r>
  </w:p>
</w:hdr>
</file>

<file path=word/header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238A6" w14:textId="77777777" w:rsidR="00D03C17" w:rsidRDefault="00D03C17">
    <w:pPr>
      <w:spacing w:line="1" w:lineRule="exact"/>
    </w:pPr>
    <w:r>
      <w:rPr>
        <w:noProof/>
      </w:rPr>
      <mc:AlternateContent>
        <mc:Choice Requires="wps">
          <w:drawing>
            <wp:anchor distT="0" distB="0" distL="0" distR="0" simplePos="0" relativeHeight="251944960" behindDoc="1" locked="0" layoutInCell="1" allowOverlap="1" wp14:anchorId="52A84951" wp14:editId="1D11777A">
              <wp:simplePos x="0" y="0"/>
              <wp:positionH relativeFrom="page">
                <wp:posOffset>2364105</wp:posOffset>
              </wp:positionH>
              <wp:positionV relativeFrom="page">
                <wp:posOffset>315595</wp:posOffset>
              </wp:positionV>
              <wp:extent cx="2465705" cy="69850"/>
              <wp:effectExtent l="0" t="0" r="0" b="0"/>
              <wp:wrapNone/>
              <wp:docPr id="1477" name="Shape 1477"/>
              <wp:cNvGraphicFramePr/>
              <a:graphic xmlns:a="http://schemas.openxmlformats.org/drawingml/2006/main">
                <a:graphicData uri="http://schemas.microsoft.com/office/word/2010/wordprocessingShape">
                  <wps:wsp>
                    <wps:cNvSpPr txBox="1"/>
                    <wps:spPr>
                      <a:xfrm>
                        <a:off x="0" y="0"/>
                        <a:ext cx="2465705" cy="69850"/>
                      </a:xfrm>
                      <a:prstGeom prst="rect">
                        <a:avLst/>
                      </a:prstGeom>
                      <a:noFill/>
                    </wps:spPr>
                    <wps:txbx>
                      <w:txbxContent>
                        <w:p w14:paraId="7F3E4D31" w14:textId="77777777" w:rsidR="00D03C17" w:rsidRDefault="00D03C17">
                          <w:pPr>
                            <w:pStyle w:val="Headerorfooter0"/>
                            <w:tabs>
                              <w:tab w:val="right" w:pos="3883"/>
                            </w:tabs>
                            <w:rPr>
                              <w:sz w:val="16"/>
                              <w:szCs w:val="16"/>
                            </w:rPr>
                          </w:pPr>
                          <w:r>
                            <w:t>ENTEROBIASIS</w:t>
                          </w:r>
                          <w:r>
                            <w:tab/>
                          </w:r>
                          <w:r>
                            <w:rPr>
                              <w:sz w:val="16"/>
                              <w:szCs w:val="16"/>
                            </w:rPr>
                            <w:t>291</w:t>
                          </w:r>
                        </w:p>
                      </w:txbxContent>
                    </wps:txbx>
                    <wps:bodyPr lIns="0" tIns="0" rIns="0" bIns="0">
                      <a:spAutoFit/>
                    </wps:bodyPr>
                  </wps:wsp>
                </a:graphicData>
              </a:graphic>
            </wp:anchor>
          </w:drawing>
        </mc:Choice>
        <mc:Fallback>
          <w:pict>
            <v:shapetype w14:anchorId="52A84951" id="_x0000_t202" coordsize="21600,21600" o:spt="202" path="m,l,21600r21600,l21600,xe">
              <v:stroke joinstyle="miter"/>
              <v:path gradientshapeok="t" o:connecttype="rect"/>
            </v:shapetype>
            <v:shape id="Shape 1477" o:spid="_x0000_s1135" type="#_x0000_t202" style="position:absolute;margin-left:186.15pt;margin-top:24.85pt;width:194.15pt;height:5.5pt;z-index:-251371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" filled="f" stroked="f">
              <v:textbox style="mso-fit-shape-to-text:t" inset="0,0,0,0">
                <w:txbxContent>
                  <w:p w14:paraId="7F3E4D31" w14:textId="77777777" w:rsidR="00D03C17" w:rsidRDefault="00D03C17">
                    <w:pPr>
                      <w:pStyle w:val="Headerorfooter0"/>
                      <w:tabs>
                        <w:tab w:val="right" w:pos="3883"/>
                      </w:tabs>
                      <w:rPr>
                        <w:sz w:val="16"/>
                        <w:szCs w:val="16"/>
                      </w:rPr>
                    </w:pPr>
                    <w:r>
                      <w:t>ENTEROBIASIS</w:t>
                    </w:r>
                    <w:r>
                      <w:tab/>
                    </w:r>
                    <w:r>
                      <w:rPr>
                        <w:sz w:val="16"/>
                        <w:szCs w:val="16"/>
                      </w:rPr>
                      <w:t>291</w:t>
                    </w:r>
                  </w:p>
                </w:txbxContent>
              </v:textbox>
              <w10:wrap anchorx="page" anchory="page"/>
            </v:shape>
          </w:pict>
        </mc:Fallback>
      </mc:AlternateContent>
    </w:r>
    <w:r>
      <w:rPr>
        <w:noProof/>
      </w:rPr>
      <mc:AlternateContent>
        <mc:Choice Requires="wps">
          <w:drawing>
            <wp:anchor distT="0" distB="0" distL="114300" distR="114300" simplePos="0" relativeHeight="251744256" behindDoc="1" locked="0" layoutInCell="1" allowOverlap="1" wp14:anchorId="42214F00" wp14:editId="12E07803">
              <wp:simplePos x="0" y="0"/>
              <wp:positionH relativeFrom="page">
                <wp:posOffset>507365</wp:posOffset>
              </wp:positionH>
              <wp:positionV relativeFrom="page">
                <wp:posOffset>423545</wp:posOffset>
              </wp:positionV>
              <wp:extent cx="4358640" cy="0"/>
              <wp:effectExtent l="0" t="0" r="0" b="0"/>
              <wp:wrapNone/>
              <wp:docPr id="1479" name="Shape 1479"/>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1C772A64" id="_x0000_t32" coordsize="21600,21600" o:spt="32" o:oned="t" path="m,l21600,21600e" filled="f">
              <v:path arrowok="t" fillok="f" o:connecttype="none"/>
              <o:lock v:ext="edit" shapetype="t"/>
            </v:shapetype>
            <v:shape id="Shape 1479" o:spid="_x0000_s1026" type="#_x0000_t32" style="position:absolute;margin-left:39.95pt;margin-top:33.35pt;width:343.2pt;height:0;z-index:-25157222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" strokeweight="1pt">
              <w10:wrap anchorx="page" anchory="page"/>
            </v:shape>
          </w:pict>
        </mc:Fallback>
      </mc:AlternateContent>
    </w:r>
  </w:p>
</w:hdr>
</file>

<file path=word/header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74238" w14:textId="77777777" w:rsidR="00D03C17" w:rsidRDefault="00D03C17">
    <w:pPr>
      <w:spacing w:line="1" w:lineRule="exact"/>
    </w:pPr>
    <w:r>
      <w:rPr>
        <w:noProof/>
      </w:rPr>
      <mc:AlternateContent>
        <mc:Choice Requires="wps">
          <w:drawing>
            <wp:anchor distT="0" distB="0" distL="0" distR="0" simplePos="0" relativeHeight="251943936" behindDoc="1" locked="0" layoutInCell="1" allowOverlap="1" wp14:anchorId="4868C9BB" wp14:editId="770FDF13">
              <wp:simplePos x="0" y="0"/>
              <wp:positionH relativeFrom="page">
                <wp:posOffset>2364105</wp:posOffset>
              </wp:positionH>
              <wp:positionV relativeFrom="page">
                <wp:posOffset>315595</wp:posOffset>
              </wp:positionV>
              <wp:extent cx="2465705" cy="69850"/>
              <wp:effectExtent l="0" t="0" r="0" b="0"/>
              <wp:wrapNone/>
              <wp:docPr id="1474" name="Shape 1474"/>
              <wp:cNvGraphicFramePr/>
              <a:graphic xmlns:a="http://schemas.openxmlformats.org/drawingml/2006/main">
                <a:graphicData uri="http://schemas.microsoft.com/office/word/2010/wordprocessingShape">
                  <wps:wsp>
                    <wps:cNvSpPr txBox="1"/>
                    <wps:spPr>
                      <a:xfrm>
                        <a:off x="0" y="0"/>
                        <a:ext cx="2465705" cy="69850"/>
                      </a:xfrm>
                      <a:prstGeom prst="rect">
                        <a:avLst/>
                      </a:prstGeom>
                      <a:noFill/>
                    </wps:spPr>
                    <wps:txbx>
                      <w:txbxContent>
                        <w:p w14:paraId="4F24F20B" w14:textId="77777777" w:rsidR="00D03C17" w:rsidRDefault="00D03C17">
                          <w:pPr>
                            <w:pStyle w:val="Headerorfooter0"/>
                            <w:tabs>
                              <w:tab w:val="right" w:pos="3883"/>
                            </w:tabs>
                            <w:rPr>
                              <w:sz w:val="16"/>
                              <w:szCs w:val="16"/>
                            </w:rPr>
                          </w:pPr>
                          <w:r>
                            <w:t>ENTEROBIASIS</w:t>
                          </w:r>
                          <w:r>
                            <w:tab/>
                          </w:r>
                          <w:r>
                            <w:rPr>
                              <w:sz w:val="16"/>
                              <w:szCs w:val="16"/>
                            </w:rPr>
                            <w:t>291</w:t>
                          </w:r>
                        </w:p>
                      </w:txbxContent>
                    </wps:txbx>
                    <wps:bodyPr lIns="0" tIns="0" rIns="0" bIns="0">
                      <a:spAutoFit/>
                    </wps:bodyPr>
                  </wps:wsp>
                </a:graphicData>
              </a:graphic>
            </wp:anchor>
          </w:drawing>
        </mc:Choice>
        <mc:Fallback>
          <w:pict>
            <v:shapetype w14:anchorId="4868C9BB" id="_x0000_t202" coordsize="21600,21600" o:spt="202" path="m,l,21600r21600,l21600,xe">
              <v:stroke joinstyle="miter"/>
              <v:path gradientshapeok="t" o:connecttype="rect"/>
            </v:shapetype>
            <v:shape id="Shape 1474" o:spid="_x0000_s1136" type="#_x0000_t202" style="position:absolute;margin-left:186.15pt;margin-top:24.85pt;width:194.15pt;height:5.5pt;z-index:-251372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" filled="f" stroked="f">
              <v:textbox style="mso-fit-shape-to-text:t" inset="0,0,0,0">
                <w:txbxContent>
                  <w:p w14:paraId="4F24F20B" w14:textId="77777777" w:rsidR="00D03C17" w:rsidRDefault="00D03C17">
                    <w:pPr>
                      <w:pStyle w:val="Headerorfooter0"/>
                      <w:tabs>
                        <w:tab w:val="right" w:pos="3883"/>
                      </w:tabs>
                      <w:rPr>
                        <w:sz w:val="16"/>
                        <w:szCs w:val="16"/>
                      </w:rPr>
                    </w:pPr>
                    <w:r>
                      <w:t>ENTEROBIASIS</w:t>
                    </w:r>
                    <w:r>
                      <w:tab/>
                    </w:r>
                    <w:r>
                      <w:rPr>
                        <w:sz w:val="16"/>
                        <w:szCs w:val="16"/>
                      </w:rPr>
                      <w:t>291</w:t>
                    </w:r>
                  </w:p>
                </w:txbxContent>
              </v:textbox>
              <w10:wrap anchorx="page" anchory="page"/>
            </v:shape>
          </w:pict>
        </mc:Fallback>
      </mc:AlternateContent>
    </w:r>
    <w:r>
      <w:rPr>
        <w:noProof/>
      </w:rPr>
      <mc:AlternateContent>
        <mc:Choice Requires="wps">
          <w:drawing>
            <wp:anchor distT="0" distB="0" distL="114300" distR="114300" simplePos="0" relativeHeight="251743232" behindDoc="1" locked="0" layoutInCell="1" allowOverlap="1" wp14:anchorId="36EDDB6E" wp14:editId="5E07EACB">
              <wp:simplePos x="0" y="0"/>
              <wp:positionH relativeFrom="page">
                <wp:posOffset>507365</wp:posOffset>
              </wp:positionH>
              <wp:positionV relativeFrom="page">
                <wp:posOffset>423545</wp:posOffset>
              </wp:positionV>
              <wp:extent cx="4358640" cy="0"/>
              <wp:effectExtent l="0" t="0" r="0" b="0"/>
              <wp:wrapNone/>
              <wp:docPr id="1476" name="Shape 1476"/>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2DEB1616" id="_x0000_t32" coordsize="21600,21600" o:spt="32" o:oned="t" path="m,l21600,21600e" filled="f">
              <v:path arrowok="t" fillok="f" o:connecttype="none"/>
              <o:lock v:ext="edit" shapetype="t"/>
            </v:shapetype>
            <v:shape id="Shape 1476" o:spid="_x0000_s1026" type="#_x0000_t32" style="position:absolute;margin-left:39.95pt;margin-top:33.35pt;width:343.2pt;height:0;z-index:-25157324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" strokeweight="1pt">
              <w10:wrap anchorx="page" anchory="page"/>
            </v:shape>
          </w:pict>
        </mc:Fallback>
      </mc:AlternateContent>
    </w:r>
  </w:p>
</w:hdr>
</file>

<file path=word/header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36396" w14:textId="77777777" w:rsidR="00D03C17" w:rsidRDefault="00D03C17">
    <w:pPr>
      <w:spacing w:line="1" w:lineRule="exact"/>
    </w:pPr>
    <w:r>
      <w:rPr>
        <w:noProof/>
      </w:rPr>
      <mc:AlternateContent>
        <mc:Choice Requires="wps">
          <w:drawing>
            <wp:anchor distT="0" distB="0" distL="0" distR="0" simplePos="0" relativeHeight="251945984" behindDoc="1" locked="0" layoutInCell="1" allowOverlap="1" wp14:anchorId="70C753CC" wp14:editId="29E6A216">
              <wp:simplePos x="0" y="0"/>
              <wp:positionH relativeFrom="page">
                <wp:posOffset>522605</wp:posOffset>
              </wp:positionH>
              <wp:positionV relativeFrom="page">
                <wp:posOffset>315595</wp:posOffset>
              </wp:positionV>
              <wp:extent cx="2487295" cy="69850"/>
              <wp:effectExtent l="0" t="0" r="0" b="0"/>
              <wp:wrapNone/>
              <wp:docPr id="1480" name="Shape 1480"/>
              <wp:cNvGraphicFramePr/>
              <a:graphic xmlns:a="http://schemas.openxmlformats.org/drawingml/2006/main">
                <a:graphicData uri="http://schemas.microsoft.com/office/word/2010/wordprocessingShape">
                  <wps:wsp>
                    <wps:cNvSpPr txBox="1"/>
                    <wps:spPr>
                      <a:xfrm>
                        <a:off x="0" y="0"/>
                        <a:ext cx="2487295" cy="69850"/>
                      </a:xfrm>
                      <a:prstGeom prst="rect">
                        <a:avLst/>
                      </a:prstGeom>
                      <a:noFill/>
                    </wps:spPr>
                    <wps:txbx>
                      <w:txbxContent>
                        <w:p w14:paraId="0E75AE3D" w14:textId="77777777" w:rsidR="00D03C17" w:rsidRDefault="00D03C17">
                          <w:pPr>
                            <w:pStyle w:val="Headerorfooter0"/>
                            <w:tabs>
                              <w:tab w:val="right" w:pos="3917"/>
                            </w:tabs>
                          </w:pPr>
                          <w:r>
                            <w:rPr>
                              <w:sz w:val="16"/>
                              <w:szCs w:val="16"/>
                            </w:rPr>
                            <w:t>290</w:t>
                          </w:r>
                          <w:r>
                            <w:rPr>
                              <w:sz w:val="16"/>
                              <w:szCs w:val="16"/>
                            </w:rPr>
                            <w:tab/>
                          </w:r>
                          <w:r>
                            <w:t>ENTEROBIASIS</w:t>
                          </w:r>
                        </w:p>
                      </w:txbxContent>
                    </wps:txbx>
                    <wps:bodyPr lIns="0" tIns="0" rIns="0" bIns="0">
                      <a:spAutoFit/>
                    </wps:bodyPr>
                  </wps:wsp>
                </a:graphicData>
              </a:graphic>
            </wp:anchor>
          </w:drawing>
        </mc:Choice>
        <mc:Fallback>
          <w:pict>
            <v:shapetype w14:anchorId="70C753CC" id="_x0000_t202" coordsize="21600,21600" o:spt="202" path="m,l,21600r21600,l21600,xe">
              <v:stroke joinstyle="miter"/>
              <v:path gradientshapeok="t" o:connecttype="rect"/>
            </v:shapetype>
            <v:shape id="Shape 1480" o:spid="_x0000_s1137" type="#_x0000_t202" style="position:absolute;margin-left:41.15pt;margin-top:24.85pt;width:195.85pt;height:5.5pt;z-index:-251370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" filled="f" stroked="f">
              <v:textbox style="mso-fit-shape-to-text:t" inset="0,0,0,0">
                <w:txbxContent>
                  <w:p w14:paraId="0E75AE3D" w14:textId="77777777" w:rsidR="00D03C17" w:rsidRDefault="00D03C17">
                    <w:pPr>
                      <w:pStyle w:val="Headerorfooter0"/>
                      <w:tabs>
                        <w:tab w:val="right" w:pos="3917"/>
                      </w:tabs>
                    </w:pPr>
                    <w:r>
                      <w:rPr>
                        <w:sz w:val="16"/>
                        <w:szCs w:val="16"/>
                      </w:rPr>
                      <w:t>290</w:t>
                    </w:r>
                    <w:r>
                      <w:rPr>
                        <w:sz w:val="16"/>
                        <w:szCs w:val="16"/>
                      </w:rPr>
                      <w:tab/>
                    </w:r>
                    <w:r>
                      <w:t>ENTEROBIASIS</w:t>
                    </w:r>
                  </w:p>
                </w:txbxContent>
              </v:textbox>
              <w10:wrap anchorx="page" anchory="page"/>
            </v:shape>
          </w:pict>
        </mc:Fallback>
      </mc:AlternateContent>
    </w:r>
    <w:r>
      <w:rPr>
        <w:noProof/>
      </w:rPr>
      <mc:AlternateContent>
        <mc:Choice Requires="wps">
          <w:drawing>
            <wp:anchor distT="0" distB="0" distL="114300" distR="114300" simplePos="0" relativeHeight="251745280" behindDoc="1" locked="0" layoutInCell="1" allowOverlap="1" wp14:anchorId="0FE4EBE7" wp14:editId="5C3AC273">
              <wp:simplePos x="0" y="0"/>
              <wp:positionH relativeFrom="page">
                <wp:posOffset>507365</wp:posOffset>
              </wp:positionH>
              <wp:positionV relativeFrom="page">
                <wp:posOffset>423545</wp:posOffset>
              </wp:positionV>
              <wp:extent cx="4358640" cy="0"/>
              <wp:effectExtent l="0" t="0" r="0" b="0"/>
              <wp:wrapNone/>
              <wp:docPr id="1482" name="Shape 1482"/>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25AB9237" id="_x0000_t32" coordsize="21600,21600" o:spt="32" o:oned="t" path="m,l21600,21600e" filled="f">
              <v:path arrowok="t" fillok="f" o:connecttype="none"/>
              <o:lock v:ext="edit" shapetype="t"/>
            </v:shapetype>
            <v:shape id="Shape 1482" o:spid="_x0000_s1026" type="#_x0000_t32" style="position:absolute;margin-left:39.95pt;margin-top:33.35pt;width:343.2pt;height:0;z-index:-25157120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" strokeweight="1pt">
              <w10:wrap anchorx="page" anchory="page"/>
            </v:shape>
          </w:pict>
        </mc:Fallback>
      </mc:AlternateContent>
    </w:r>
  </w:p>
</w:hdr>
</file>

<file path=word/header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977B5" w14:textId="77777777" w:rsidR="00D03C17" w:rsidRDefault="00D03C17">
    <w:pPr>
      <w:spacing w:line="1" w:lineRule="exact"/>
    </w:pPr>
    <w:r>
      <w:rPr>
        <w:noProof/>
      </w:rPr>
      <mc:AlternateContent>
        <mc:Choice Requires="wps">
          <w:drawing>
            <wp:anchor distT="0" distB="0" distL="0" distR="0" simplePos="0" relativeHeight="251948032" behindDoc="1" locked="0" layoutInCell="1" allowOverlap="1" wp14:anchorId="5542A532" wp14:editId="78C84CD2">
              <wp:simplePos x="0" y="0"/>
              <wp:positionH relativeFrom="page">
                <wp:posOffset>522605</wp:posOffset>
              </wp:positionH>
              <wp:positionV relativeFrom="page">
                <wp:posOffset>315595</wp:posOffset>
              </wp:positionV>
              <wp:extent cx="2304415" cy="69850"/>
              <wp:effectExtent l="0" t="0" r="0" b="0"/>
              <wp:wrapNone/>
              <wp:docPr id="1486" name="Shape 1486"/>
              <wp:cNvGraphicFramePr/>
              <a:graphic xmlns:a="http://schemas.openxmlformats.org/drawingml/2006/main">
                <a:graphicData uri="http://schemas.microsoft.com/office/word/2010/wordprocessingShape">
                  <wps:wsp>
                    <wps:cNvSpPr txBox="1"/>
                    <wps:spPr>
                      <a:xfrm>
                        <a:off x="0" y="0"/>
                        <a:ext cx="2304415" cy="69850"/>
                      </a:xfrm>
                      <a:prstGeom prst="rect">
                        <a:avLst/>
                      </a:prstGeom>
                      <a:noFill/>
                    </wps:spPr>
                    <wps:txbx>
                      <w:txbxContent>
                        <w:p w14:paraId="3CD463A8" w14:textId="77777777" w:rsidR="00D03C17" w:rsidRDefault="00D03C17">
                          <w:pPr>
                            <w:pStyle w:val="Headerorfooter0"/>
                            <w:tabs>
                              <w:tab w:val="right" w:pos="3629"/>
                            </w:tabs>
                          </w:pPr>
                          <w:r>
                            <w:rPr>
                              <w:sz w:val="16"/>
                              <w:szCs w:val="16"/>
                            </w:rPr>
                            <w:t>548</w:t>
                          </w:r>
                          <w:r>
                            <w:rPr>
                              <w:sz w:val="16"/>
                              <w:szCs w:val="16"/>
                            </w:rPr>
                            <w:tab/>
                          </w:r>
                          <w:r>
                            <w:t>PESTE</w:t>
                          </w:r>
                        </w:p>
                      </w:txbxContent>
                    </wps:txbx>
                    <wps:bodyPr lIns="0" tIns="0" rIns="0" bIns="0">
                      <a:spAutoFit/>
                    </wps:bodyPr>
                  </wps:wsp>
                </a:graphicData>
              </a:graphic>
            </wp:anchor>
          </w:drawing>
        </mc:Choice>
        <mc:Fallback>
          <w:pict>
            <v:shapetype w14:anchorId="5542A532" id="_x0000_t202" coordsize="21600,21600" o:spt="202" path="m,l,21600r21600,l21600,xe">
              <v:stroke joinstyle="miter"/>
              <v:path gradientshapeok="t" o:connecttype="rect"/>
            </v:shapetype>
            <v:shape id="Shape 1486" o:spid="_x0000_s1138" type="#_x0000_t202" style="position:absolute;margin-left:41.15pt;margin-top:24.85pt;width:181.45pt;height:5.5pt;z-index:-251368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" filled="f" stroked="f">
              <v:textbox style="mso-fit-shape-to-text:t" inset="0,0,0,0">
                <w:txbxContent>
                  <w:p w14:paraId="3CD463A8" w14:textId="77777777" w:rsidR="00D03C17" w:rsidRDefault="00D03C17">
                    <w:pPr>
                      <w:pStyle w:val="Headerorfooter0"/>
                      <w:tabs>
                        <w:tab w:val="right" w:pos="3629"/>
                      </w:tabs>
                    </w:pPr>
                    <w:r>
                      <w:rPr>
                        <w:sz w:val="16"/>
                        <w:szCs w:val="16"/>
                      </w:rPr>
                      <w:t>548</w:t>
                    </w:r>
                    <w:r>
                      <w:rPr>
                        <w:sz w:val="16"/>
                        <w:szCs w:val="16"/>
                      </w:rPr>
                      <w:tab/>
                    </w:r>
                    <w:r>
                      <w:t>PESTE</w:t>
                    </w:r>
                  </w:p>
                </w:txbxContent>
              </v:textbox>
              <w10:wrap anchorx="page" anchory="page"/>
            </v:shape>
          </w:pict>
        </mc:Fallback>
      </mc:AlternateContent>
    </w:r>
    <w:r>
      <w:rPr>
        <w:noProof/>
      </w:rPr>
      <mc:AlternateContent>
        <mc:Choice Requires="wps">
          <w:drawing>
            <wp:anchor distT="0" distB="0" distL="114300" distR="114300" simplePos="0" relativeHeight="251747328" behindDoc="1" locked="0" layoutInCell="1" allowOverlap="1" wp14:anchorId="37381671" wp14:editId="7DC1B427">
              <wp:simplePos x="0" y="0"/>
              <wp:positionH relativeFrom="page">
                <wp:posOffset>507365</wp:posOffset>
              </wp:positionH>
              <wp:positionV relativeFrom="page">
                <wp:posOffset>423545</wp:posOffset>
              </wp:positionV>
              <wp:extent cx="4358640" cy="0"/>
              <wp:effectExtent l="0" t="0" r="0" b="0"/>
              <wp:wrapNone/>
              <wp:docPr id="1488" name="Shape 1488"/>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22FB7E75" id="_x0000_t32" coordsize="21600,21600" o:spt="32" o:oned="t" path="m,l21600,21600e" filled="f">
              <v:path arrowok="t" fillok="f" o:connecttype="none"/>
              <o:lock v:ext="edit" shapetype="t"/>
            </v:shapetype>
            <v:shape id="Shape 1488" o:spid="_x0000_s1026" type="#_x0000_t32" style="position:absolute;margin-left:39.95pt;margin-top:33.35pt;width:343.2pt;height:0;z-index:-25156915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" strokeweight="1pt">
              <w10:wrap anchorx="page" anchory="page"/>
            </v:shape>
          </w:pict>
        </mc:Fallback>
      </mc:AlternateContent>
    </w:r>
  </w:p>
</w:hdr>
</file>

<file path=word/header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722B5" w14:textId="77777777" w:rsidR="00D03C17" w:rsidRDefault="00D03C17">
    <w:pPr>
      <w:spacing w:line="1" w:lineRule="exact"/>
    </w:pPr>
    <w:r>
      <w:rPr>
        <w:noProof/>
      </w:rPr>
      <mc:AlternateContent>
        <mc:Choice Requires="wps">
          <w:drawing>
            <wp:anchor distT="0" distB="0" distL="0" distR="0" simplePos="0" relativeHeight="251947008" behindDoc="1" locked="0" layoutInCell="1" allowOverlap="1" wp14:anchorId="0B294AD6" wp14:editId="4A28A139">
              <wp:simplePos x="0" y="0"/>
              <wp:positionH relativeFrom="page">
                <wp:posOffset>522605</wp:posOffset>
              </wp:positionH>
              <wp:positionV relativeFrom="page">
                <wp:posOffset>315595</wp:posOffset>
              </wp:positionV>
              <wp:extent cx="2304415" cy="69850"/>
              <wp:effectExtent l="0" t="0" r="0" b="0"/>
              <wp:wrapNone/>
              <wp:docPr id="1483" name="Shape 1483"/>
              <wp:cNvGraphicFramePr/>
              <a:graphic xmlns:a="http://schemas.openxmlformats.org/drawingml/2006/main">
                <a:graphicData uri="http://schemas.microsoft.com/office/word/2010/wordprocessingShape">
                  <wps:wsp>
                    <wps:cNvSpPr txBox="1"/>
                    <wps:spPr>
                      <a:xfrm>
                        <a:off x="0" y="0"/>
                        <a:ext cx="2304415" cy="69850"/>
                      </a:xfrm>
                      <a:prstGeom prst="rect">
                        <a:avLst/>
                      </a:prstGeom>
                      <a:noFill/>
                    </wps:spPr>
                    <wps:txbx>
                      <w:txbxContent>
                        <w:p w14:paraId="085F5556" w14:textId="77777777" w:rsidR="00D03C17" w:rsidRDefault="00D03C17">
                          <w:pPr>
                            <w:pStyle w:val="Headerorfooter0"/>
                            <w:tabs>
                              <w:tab w:val="right" w:pos="3629"/>
                            </w:tabs>
                          </w:pPr>
                          <w:r>
                            <w:rPr>
                              <w:sz w:val="16"/>
                              <w:szCs w:val="16"/>
                            </w:rPr>
                            <w:t>548</w:t>
                          </w:r>
                          <w:r>
                            <w:rPr>
                              <w:sz w:val="16"/>
                              <w:szCs w:val="16"/>
                            </w:rPr>
                            <w:tab/>
                          </w:r>
                          <w:r>
                            <w:t>PESTE</w:t>
                          </w:r>
                        </w:p>
                      </w:txbxContent>
                    </wps:txbx>
                    <wps:bodyPr lIns="0" tIns="0" rIns="0" bIns="0">
                      <a:spAutoFit/>
                    </wps:bodyPr>
                  </wps:wsp>
                </a:graphicData>
              </a:graphic>
            </wp:anchor>
          </w:drawing>
        </mc:Choice>
        <mc:Fallback>
          <w:pict>
            <v:shapetype w14:anchorId="0B294AD6" id="_x0000_t202" coordsize="21600,21600" o:spt="202" path="m,l,21600r21600,l21600,xe">
              <v:stroke joinstyle="miter"/>
              <v:path gradientshapeok="t" o:connecttype="rect"/>
            </v:shapetype>
            <v:shape id="Shape 1483" o:spid="_x0000_s1139" type="#_x0000_t202" style="position:absolute;margin-left:41.15pt;margin-top:24.85pt;width:181.45pt;height:5.5pt;z-index:-251369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" filled="f" stroked="f">
              <v:textbox style="mso-fit-shape-to-text:t" inset="0,0,0,0">
                <w:txbxContent>
                  <w:p w14:paraId="085F5556" w14:textId="77777777" w:rsidR="00D03C17" w:rsidRDefault="00D03C17">
                    <w:pPr>
                      <w:pStyle w:val="Headerorfooter0"/>
                      <w:tabs>
                        <w:tab w:val="right" w:pos="3629"/>
                      </w:tabs>
                    </w:pPr>
                    <w:r>
                      <w:rPr>
                        <w:sz w:val="16"/>
                        <w:szCs w:val="16"/>
                      </w:rPr>
                      <w:t>548</w:t>
                    </w:r>
                    <w:r>
                      <w:rPr>
                        <w:sz w:val="16"/>
                        <w:szCs w:val="16"/>
                      </w:rPr>
                      <w:tab/>
                    </w:r>
                    <w:r>
                      <w:t>PESTE</w:t>
                    </w:r>
                  </w:p>
                </w:txbxContent>
              </v:textbox>
              <w10:wrap anchorx="page" anchory="page"/>
            </v:shape>
          </w:pict>
        </mc:Fallback>
      </mc:AlternateContent>
    </w:r>
    <w:r>
      <w:rPr>
        <w:noProof/>
      </w:rPr>
      <mc:AlternateContent>
        <mc:Choice Requires="wps">
          <w:drawing>
            <wp:anchor distT="0" distB="0" distL="114300" distR="114300" simplePos="0" relativeHeight="251746304" behindDoc="1" locked="0" layoutInCell="1" allowOverlap="1" wp14:anchorId="13BDEB5D" wp14:editId="77FB1896">
              <wp:simplePos x="0" y="0"/>
              <wp:positionH relativeFrom="page">
                <wp:posOffset>507365</wp:posOffset>
              </wp:positionH>
              <wp:positionV relativeFrom="page">
                <wp:posOffset>423545</wp:posOffset>
              </wp:positionV>
              <wp:extent cx="4358640" cy="0"/>
              <wp:effectExtent l="0" t="0" r="0" b="0"/>
              <wp:wrapNone/>
              <wp:docPr id="1485" name="Shape 1485"/>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7BA0C062" id="_x0000_t32" coordsize="21600,21600" o:spt="32" o:oned="t" path="m,l21600,21600e" filled="f">
              <v:path arrowok="t" fillok="f" o:connecttype="none"/>
              <o:lock v:ext="edit" shapetype="t"/>
            </v:shapetype>
            <v:shape id="Shape 1485" o:spid="_x0000_s1026" type="#_x0000_t32" style="position:absolute;margin-left:39.95pt;margin-top:33.35pt;width:343.2pt;height:0;z-index:-25157017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" strokeweight="1pt">
              <w10:wrap anchorx="page" anchory="page"/>
            </v:shape>
          </w:pict>
        </mc:Fallback>
      </mc:AlternateContent>
    </w:r>
  </w:p>
</w:hdr>
</file>

<file path=word/header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F1A9C" w14:textId="77777777" w:rsidR="00D03C17" w:rsidRDefault="00D03C17">
    <w:pPr>
      <w:spacing w:line="1" w:lineRule="exact"/>
    </w:pPr>
    <w:r>
      <w:rPr>
        <w:noProof/>
      </w:rPr>
      <mc:AlternateContent>
        <mc:Choice Requires="wps">
          <w:drawing>
            <wp:anchor distT="0" distB="0" distL="0" distR="0" simplePos="0" relativeHeight="251949056" behindDoc="1" locked="0" layoutInCell="1" allowOverlap="1" wp14:anchorId="76EB2F78" wp14:editId="37890DE6">
              <wp:simplePos x="0" y="0"/>
              <wp:positionH relativeFrom="page">
                <wp:posOffset>520065</wp:posOffset>
              </wp:positionH>
              <wp:positionV relativeFrom="page">
                <wp:posOffset>285115</wp:posOffset>
              </wp:positionV>
              <wp:extent cx="3313430" cy="100330"/>
              <wp:effectExtent l="0" t="0" r="0" b="0"/>
              <wp:wrapNone/>
              <wp:docPr id="1489" name="Shape 1489"/>
              <wp:cNvGraphicFramePr/>
              <a:graphic xmlns:a="http://schemas.openxmlformats.org/drawingml/2006/main">
                <a:graphicData uri="http://schemas.microsoft.com/office/word/2010/wordprocessingShape">
                  <wps:wsp>
                    <wps:cNvSpPr txBox="1"/>
                    <wps:spPr>
                      <a:xfrm>
                        <a:off x="0" y="0"/>
                        <a:ext cx="3313430" cy="100330"/>
                      </a:xfrm>
                      <a:prstGeom prst="rect">
                        <a:avLst/>
                      </a:prstGeom>
                      <a:noFill/>
                    </wps:spPr>
                    <wps:txbx>
                      <w:txbxContent>
                        <w:p w14:paraId="1F3E806C" w14:textId="77777777" w:rsidR="00D03C17" w:rsidRDefault="00D03C17">
                          <w:pPr>
                            <w:pStyle w:val="Headerorfooter0"/>
                            <w:tabs>
                              <w:tab w:val="right" w:pos="5218"/>
                            </w:tabs>
                          </w:pPr>
                          <w:r>
                            <w:rPr>
                              <w:sz w:val="16"/>
                              <w:szCs w:val="16"/>
                            </w:rPr>
                            <w:t>292</w:t>
                          </w:r>
                          <w:r>
                            <w:rPr>
                              <w:sz w:val="16"/>
                              <w:szCs w:val="16"/>
                            </w:rPr>
                            <w:tab/>
                          </w:r>
                          <w:r>
                            <w:t>ENTEROVIRUS, INFECCIONES (NO POLIOMIELÍTICOS)</w:t>
                          </w:r>
                        </w:p>
                      </w:txbxContent>
                    </wps:txbx>
                    <wps:bodyPr lIns="0" tIns="0" rIns="0" bIns="0">
                      <a:spAutoFit/>
                    </wps:bodyPr>
                  </wps:wsp>
                </a:graphicData>
              </a:graphic>
            </wp:anchor>
          </w:drawing>
        </mc:Choice>
        <mc:Fallback>
          <w:pict>
            <v:shapetype w14:anchorId="76EB2F78" id="_x0000_t202" coordsize="21600,21600" o:spt="202" path="m,l,21600r21600,l21600,xe">
              <v:stroke joinstyle="miter"/>
              <v:path gradientshapeok="t" o:connecttype="rect"/>
            </v:shapetype>
            <v:shape id="Shape 1489" o:spid="_x0000_s1140" type="#_x0000_t202" style="position:absolute;margin-left:40.95pt;margin-top:22.45pt;width:260.9pt;height:7.9pt;z-index:-251367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" filled="f" stroked="f">
              <v:textbox style="mso-fit-shape-to-text:t" inset="0,0,0,0">
                <w:txbxContent>
                  <w:p w14:paraId="1F3E806C" w14:textId="77777777" w:rsidR="00D03C17" w:rsidRDefault="00D03C17">
                    <w:pPr>
                      <w:pStyle w:val="Headerorfooter0"/>
                      <w:tabs>
                        <w:tab w:val="right" w:pos="5218"/>
                      </w:tabs>
                    </w:pPr>
                    <w:r>
                      <w:rPr>
                        <w:sz w:val="16"/>
                        <w:szCs w:val="16"/>
                      </w:rPr>
                      <w:t>292</w:t>
                    </w:r>
                    <w:r>
                      <w:rPr>
                        <w:sz w:val="16"/>
                        <w:szCs w:val="16"/>
                      </w:rPr>
                      <w:tab/>
                    </w:r>
                    <w:r>
                      <w:t>ENTEROVIRUS, INFECCIONES (NO POLIOMIELÍTICOS)</w:t>
                    </w:r>
                  </w:p>
                </w:txbxContent>
              </v:textbox>
              <w10:wrap anchorx="page" anchory="page"/>
            </v:shape>
          </w:pict>
        </mc:Fallback>
      </mc:AlternateContent>
    </w:r>
    <w:r>
      <w:rPr>
        <w:noProof/>
      </w:rPr>
      <mc:AlternateContent>
        <mc:Choice Requires="wps">
          <w:drawing>
            <wp:anchor distT="0" distB="0" distL="114300" distR="114300" simplePos="0" relativeHeight="251748352" behindDoc="1" locked="0" layoutInCell="1" allowOverlap="1" wp14:anchorId="1FE6FB69" wp14:editId="7B47B03A">
              <wp:simplePos x="0" y="0"/>
              <wp:positionH relativeFrom="page">
                <wp:posOffset>504825</wp:posOffset>
              </wp:positionH>
              <wp:positionV relativeFrom="page">
                <wp:posOffset>408305</wp:posOffset>
              </wp:positionV>
              <wp:extent cx="4358640" cy="0"/>
              <wp:effectExtent l="0" t="0" r="0" b="0"/>
              <wp:wrapNone/>
              <wp:docPr id="1491" name="Shape 1491"/>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2C13998C" id="_x0000_t32" coordsize="21600,21600" o:spt="32" o:oned="t" path="m,l21600,21600e" filled="f">
              <v:path arrowok="t" fillok="f" o:connecttype="none"/>
              <o:lock v:ext="edit" shapetype="t"/>
            </v:shapetype>
            <v:shape id="Shape 1491" o:spid="_x0000_s1026" type="#_x0000_t32" style="position:absolute;margin-left:39.75pt;margin-top:32.15pt;width:343.2pt;height:0;z-index:-25156812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" strokeweight="1pt">
              <w10:wrap anchorx="page" anchory="page"/>
            </v:shape>
          </w:pict>
        </mc:Fallback>
      </mc:AlternateContent>
    </w:r>
  </w:p>
</w:hdr>
</file>

<file path=word/header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05C51" w14:textId="77777777" w:rsidR="00D03C17" w:rsidRDefault="00D03C17">
    <w:pPr>
      <w:spacing w:line="1" w:lineRule="exact"/>
    </w:pPr>
    <w:r>
      <w:rPr>
        <w:noProof/>
      </w:rPr>
      <mc:AlternateContent>
        <mc:Choice Requires="wps">
          <w:drawing>
            <wp:anchor distT="0" distB="0" distL="0" distR="0" simplePos="0" relativeHeight="251951104" behindDoc="1" locked="0" layoutInCell="1" allowOverlap="1" wp14:anchorId="08408D0C" wp14:editId="2F6FAF19">
              <wp:simplePos x="0" y="0"/>
              <wp:positionH relativeFrom="page">
                <wp:posOffset>530225</wp:posOffset>
              </wp:positionH>
              <wp:positionV relativeFrom="page">
                <wp:posOffset>306705</wp:posOffset>
              </wp:positionV>
              <wp:extent cx="3044825" cy="79375"/>
              <wp:effectExtent l="0" t="0" r="0" b="0"/>
              <wp:wrapNone/>
              <wp:docPr id="1495" name="Shape 1495"/>
              <wp:cNvGraphicFramePr/>
              <a:graphic xmlns:a="http://schemas.openxmlformats.org/drawingml/2006/main">
                <a:graphicData uri="http://schemas.microsoft.com/office/word/2010/wordprocessingShape">
                  <wps:wsp>
                    <wps:cNvSpPr txBox="1"/>
                    <wps:spPr>
                      <a:xfrm>
                        <a:off x="0" y="0"/>
                        <a:ext cx="3044825" cy="79375"/>
                      </a:xfrm>
                      <a:prstGeom prst="rect">
                        <a:avLst/>
                      </a:prstGeom>
                      <a:noFill/>
                    </wps:spPr>
                    <wps:txbx>
                      <w:txbxContent>
                        <w:p w14:paraId="6F0620C6" w14:textId="77777777" w:rsidR="00D03C17" w:rsidRDefault="00D03C17">
                          <w:pPr>
                            <w:pStyle w:val="Headerorfooter0"/>
                            <w:tabs>
                              <w:tab w:val="right" w:pos="4795"/>
                            </w:tabs>
                          </w:pPr>
                          <w:r>
                            <w:rPr>
                              <w:sz w:val="16"/>
                              <w:szCs w:val="16"/>
                            </w:rPr>
                            <w:t>550</w:t>
                          </w:r>
                          <w:r>
                            <w:rPr>
                              <w:sz w:val="16"/>
                              <w:szCs w:val="16"/>
                            </w:rPr>
                            <w:tab/>
                          </w:r>
                          <w:r>
                            <w:rPr>
                              <w:i/>
                              <w:iCs/>
                              <w:sz w:val="13"/>
                              <w:szCs w:val="13"/>
                            </w:rPr>
                            <w:t>PNEUMOCYSTIS JIROVECI,</w:t>
                          </w:r>
                          <w:r>
                            <w:t xml:space="preserve"> INFECCIONES</w:t>
                          </w:r>
                        </w:p>
                      </w:txbxContent>
                    </wps:txbx>
                    <wps:bodyPr lIns="0" tIns="0" rIns="0" bIns="0">
                      <a:spAutoFit/>
                    </wps:bodyPr>
                  </wps:wsp>
                </a:graphicData>
              </a:graphic>
            </wp:anchor>
          </w:drawing>
        </mc:Choice>
        <mc:Fallback>
          <w:pict>
            <v:shapetype w14:anchorId="08408D0C" id="_x0000_t202" coordsize="21600,21600" o:spt="202" path="m,l,21600r21600,l21600,xe">
              <v:stroke joinstyle="miter"/>
              <v:path gradientshapeok="t" o:connecttype="rect"/>
            </v:shapetype>
            <v:shape id="Shape 1495" o:spid="_x0000_s1141" type="#_x0000_t202" style="position:absolute;margin-left:41.75pt;margin-top:24.15pt;width:239.75pt;height:6.25pt;z-index:-251365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" filled="f" stroked="f">
              <v:textbox style="mso-fit-shape-to-text:t" inset="0,0,0,0">
                <w:txbxContent>
                  <w:p w14:paraId="6F0620C6" w14:textId="77777777" w:rsidR="00D03C17" w:rsidRDefault="00D03C17">
                    <w:pPr>
                      <w:pStyle w:val="Headerorfooter0"/>
                      <w:tabs>
                        <w:tab w:val="right" w:pos="4795"/>
                      </w:tabs>
                    </w:pPr>
                    <w:r>
                      <w:rPr>
                        <w:sz w:val="16"/>
                        <w:szCs w:val="16"/>
                      </w:rPr>
                      <w:t>550</w:t>
                    </w:r>
                    <w:r>
                      <w:rPr>
                        <w:sz w:val="16"/>
                        <w:szCs w:val="16"/>
                      </w:rPr>
                      <w:tab/>
                    </w:r>
                    <w:r>
                      <w:rPr>
                        <w:i/>
                        <w:iCs/>
                        <w:sz w:val="13"/>
                        <w:szCs w:val="13"/>
                      </w:rPr>
                      <w:t>PNEUMOCYSTIS JIROVECI,</w:t>
                    </w:r>
                    <w:r>
                      <w:t xml:space="preserve"> INFECCIONES</w:t>
                    </w:r>
                  </w:p>
                </w:txbxContent>
              </v:textbox>
              <w10:wrap anchorx="page" anchory="page"/>
            </v:shape>
          </w:pict>
        </mc:Fallback>
      </mc:AlternateContent>
    </w:r>
    <w:r>
      <w:rPr>
        <w:noProof/>
      </w:rPr>
      <mc:AlternateContent>
        <mc:Choice Requires="wps">
          <w:drawing>
            <wp:anchor distT="0" distB="0" distL="114300" distR="114300" simplePos="0" relativeHeight="251750400" behindDoc="1" locked="0" layoutInCell="1" allowOverlap="1" wp14:anchorId="6A9D0C39" wp14:editId="25EAE51D">
              <wp:simplePos x="0" y="0"/>
              <wp:positionH relativeFrom="page">
                <wp:posOffset>514985</wp:posOffset>
              </wp:positionH>
              <wp:positionV relativeFrom="page">
                <wp:posOffset>414655</wp:posOffset>
              </wp:positionV>
              <wp:extent cx="4358640" cy="0"/>
              <wp:effectExtent l="0" t="0" r="0" b="0"/>
              <wp:wrapNone/>
              <wp:docPr id="1497" name="Shape 1497"/>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3F9653C1" id="_x0000_t32" coordsize="21600,21600" o:spt="32" o:oned="t" path="m,l21600,21600e" filled="f">
              <v:path arrowok="t" fillok="f" o:connecttype="none"/>
              <o:lock v:ext="edit" shapetype="t"/>
            </v:shapetype>
            <v:shape id="Shape 1497" o:spid="_x0000_s1026" type="#_x0000_t32" style="position:absolute;margin-left:40.55pt;margin-top:32.65pt;width:343.2pt;height:0;z-index:-25156608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" strokeweight="1pt">
              <w10:wrap anchorx="page" anchory="page"/>
            </v:shape>
          </w:pict>
        </mc:Fallback>
      </mc:AlternateContent>
    </w:r>
  </w:p>
</w:hdr>
</file>

<file path=word/header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99536" w14:textId="77777777" w:rsidR="00D03C17" w:rsidRDefault="00D03C17">
    <w:pPr>
      <w:spacing w:line="1" w:lineRule="exact"/>
    </w:pPr>
    <w:r>
      <w:rPr>
        <w:noProof/>
      </w:rPr>
      <mc:AlternateContent>
        <mc:Choice Requires="wps">
          <w:drawing>
            <wp:anchor distT="0" distB="0" distL="0" distR="0" simplePos="0" relativeHeight="251950080" behindDoc="1" locked="0" layoutInCell="1" allowOverlap="1" wp14:anchorId="3F644D6C" wp14:editId="05FAF171">
              <wp:simplePos x="0" y="0"/>
              <wp:positionH relativeFrom="page">
                <wp:posOffset>530225</wp:posOffset>
              </wp:positionH>
              <wp:positionV relativeFrom="page">
                <wp:posOffset>306705</wp:posOffset>
              </wp:positionV>
              <wp:extent cx="3044825" cy="79375"/>
              <wp:effectExtent l="0" t="0" r="0" b="0"/>
              <wp:wrapNone/>
              <wp:docPr id="1492" name="Shape 1492"/>
              <wp:cNvGraphicFramePr/>
              <a:graphic xmlns:a="http://schemas.openxmlformats.org/drawingml/2006/main">
                <a:graphicData uri="http://schemas.microsoft.com/office/word/2010/wordprocessingShape">
                  <wps:wsp>
                    <wps:cNvSpPr txBox="1"/>
                    <wps:spPr>
                      <a:xfrm>
                        <a:off x="0" y="0"/>
                        <a:ext cx="3044825" cy="79375"/>
                      </a:xfrm>
                      <a:prstGeom prst="rect">
                        <a:avLst/>
                      </a:prstGeom>
                      <a:noFill/>
                    </wps:spPr>
                    <wps:txbx>
                      <w:txbxContent>
                        <w:p w14:paraId="5C5F1600" w14:textId="77777777" w:rsidR="00D03C17" w:rsidRDefault="00D03C17">
                          <w:pPr>
                            <w:pStyle w:val="Headerorfooter0"/>
                            <w:tabs>
                              <w:tab w:val="right" w:pos="4795"/>
                            </w:tabs>
                          </w:pPr>
                          <w:r>
                            <w:rPr>
                              <w:sz w:val="16"/>
                              <w:szCs w:val="16"/>
                            </w:rPr>
                            <w:t>550</w:t>
                          </w:r>
                          <w:r>
                            <w:rPr>
                              <w:sz w:val="16"/>
                              <w:szCs w:val="16"/>
                            </w:rPr>
                            <w:tab/>
                          </w:r>
                          <w:r>
                            <w:rPr>
                              <w:i/>
                              <w:iCs/>
                              <w:sz w:val="13"/>
                              <w:szCs w:val="13"/>
                            </w:rPr>
                            <w:t>PNEUMOCYSTIS JIROVECI,</w:t>
                          </w:r>
                          <w:r>
                            <w:t xml:space="preserve"> INFECCIONES</w:t>
                          </w:r>
                        </w:p>
                      </w:txbxContent>
                    </wps:txbx>
                    <wps:bodyPr lIns="0" tIns="0" rIns="0" bIns="0">
                      <a:spAutoFit/>
                    </wps:bodyPr>
                  </wps:wsp>
                </a:graphicData>
              </a:graphic>
            </wp:anchor>
          </w:drawing>
        </mc:Choice>
        <mc:Fallback>
          <w:pict>
            <v:shapetype w14:anchorId="3F644D6C" id="_x0000_t202" coordsize="21600,21600" o:spt="202" path="m,l,21600r21600,l21600,xe">
              <v:stroke joinstyle="miter"/>
              <v:path gradientshapeok="t" o:connecttype="rect"/>
            </v:shapetype>
            <v:shape id="Shape 1492" o:spid="_x0000_s1142" type="#_x0000_t202" style="position:absolute;margin-left:41.75pt;margin-top:24.15pt;width:239.75pt;height:6.25pt;z-index:-251366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" filled="f" stroked="f">
              <v:textbox style="mso-fit-shape-to-text:t" inset="0,0,0,0">
                <w:txbxContent>
                  <w:p w14:paraId="5C5F1600" w14:textId="77777777" w:rsidR="00D03C17" w:rsidRDefault="00D03C17">
                    <w:pPr>
                      <w:pStyle w:val="Headerorfooter0"/>
                      <w:tabs>
                        <w:tab w:val="right" w:pos="4795"/>
                      </w:tabs>
                    </w:pPr>
                    <w:r>
                      <w:rPr>
                        <w:sz w:val="16"/>
                        <w:szCs w:val="16"/>
                      </w:rPr>
                      <w:t>550</w:t>
                    </w:r>
                    <w:r>
                      <w:rPr>
                        <w:sz w:val="16"/>
                        <w:szCs w:val="16"/>
                      </w:rPr>
                      <w:tab/>
                    </w:r>
                    <w:r>
                      <w:rPr>
                        <w:i/>
                        <w:iCs/>
                        <w:sz w:val="13"/>
                        <w:szCs w:val="13"/>
                      </w:rPr>
                      <w:t>PNEUMOCYSTIS JIROVECI,</w:t>
                    </w:r>
                    <w:r>
                      <w:t xml:space="preserve"> INFECCIONES</w:t>
                    </w:r>
                  </w:p>
                </w:txbxContent>
              </v:textbox>
              <w10:wrap anchorx="page" anchory="page"/>
            </v:shape>
          </w:pict>
        </mc:Fallback>
      </mc:AlternateContent>
    </w:r>
    <w:r>
      <w:rPr>
        <w:noProof/>
      </w:rPr>
      <mc:AlternateContent>
        <mc:Choice Requires="wps">
          <w:drawing>
            <wp:anchor distT="0" distB="0" distL="114300" distR="114300" simplePos="0" relativeHeight="251749376" behindDoc="1" locked="0" layoutInCell="1" allowOverlap="1" wp14:anchorId="070D414A" wp14:editId="228E6111">
              <wp:simplePos x="0" y="0"/>
              <wp:positionH relativeFrom="page">
                <wp:posOffset>514985</wp:posOffset>
              </wp:positionH>
              <wp:positionV relativeFrom="page">
                <wp:posOffset>414655</wp:posOffset>
              </wp:positionV>
              <wp:extent cx="4358640" cy="0"/>
              <wp:effectExtent l="0" t="0" r="0" b="0"/>
              <wp:wrapNone/>
              <wp:docPr id="1494" name="Shape 1494"/>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1F49848F" id="_x0000_t32" coordsize="21600,21600" o:spt="32" o:oned="t" path="m,l21600,21600e" filled="f">
              <v:path arrowok="t" fillok="f" o:connecttype="none"/>
              <o:lock v:ext="edit" shapetype="t"/>
            </v:shapetype>
            <v:shape id="Shape 1494" o:spid="_x0000_s1026" type="#_x0000_t32" style="position:absolute;margin-left:40.55pt;margin-top:32.65pt;width:343.2pt;height:0;z-index:-25156710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" strokeweight="1pt">
              <w10:wrap anchorx="page" anchory="page"/>
            </v:shape>
          </w:pict>
        </mc:Fallback>
      </mc:AlternateContent>
    </w:r>
  </w:p>
</w:hdr>
</file>

<file path=word/header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DD56A" w14:textId="77777777" w:rsidR="00D03C17" w:rsidRDefault="00D03C17">
    <w:pPr>
      <w:spacing w:line="1" w:lineRule="exact"/>
    </w:pPr>
    <w:r>
      <w:rPr>
        <w:noProof/>
      </w:rPr>
      <mc:AlternateContent>
        <mc:Choice Requires="wps">
          <w:drawing>
            <wp:anchor distT="0" distB="0" distL="0" distR="0" simplePos="0" relativeHeight="251952128" behindDoc="1" locked="0" layoutInCell="1" allowOverlap="1" wp14:anchorId="4B2E90F5" wp14:editId="547BE14B">
              <wp:simplePos x="0" y="0"/>
              <wp:positionH relativeFrom="page">
                <wp:posOffset>2560320</wp:posOffset>
              </wp:positionH>
              <wp:positionV relativeFrom="page">
                <wp:posOffset>315595</wp:posOffset>
              </wp:positionV>
              <wp:extent cx="2298065" cy="69850"/>
              <wp:effectExtent l="0" t="0" r="0" b="0"/>
              <wp:wrapNone/>
              <wp:docPr id="1498" name="Shape 1498"/>
              <wp:cNvGraphicFramePr/>
              <a:graphic xmlns:a="http://schemas.openxmlformats.org/drawingml/2006/main">
                <a:graphicData uri="http://schemas.microsoft.com/office/word/2010/wordprocessingShape">
                  <wps:wsp>
                    <wps:cNvSpPr txBox="1"/>
                    <wps:spPr>
                      <a:xfrm>
                        <a:off x="0" y="0"/>
                        <a:ext cx="2298065" cy="69850"/>
                      </a:xfrm>
                      <a:prstGeom prst="rect">
                        <a:avLst/>
                      </a:prstGeom>
                      <a:noFill/>
                    </wps:spPr>
                    <wps:txbx>
                      <w:txbxContent>
                        <w:p w14:paraId="7FCB0D09" w14:textId="77777777" w:rsidR="00D03C17" w:rsidRDefault="00D03C17">
                          <w:pPr>
                            <w:pStyle w:val="Headerorfooter0"/>
                            <w:tabs>
                              <w:tab w:val="right" w:pos="3619"/>
                            </w:tabs>
                            <w:rPr>
                              <w:sz w:val="16"/>
                              <w:szCs w:val="16"/>
                            </w:rPr>
                          </w:pPr>
                          <w:r>
                            <w:t>PESTE</w:t>
                          </w:r>
                          <w:r>
                            <w:tab/>
                          </w:r>
                          <w:r>
                            <w:rPr>
                              <w:sz w:val="16"/>
                              <w:szCs w:val="16"/>
                            </w:rPr>
                            <w:t>549</w:t>
                          </w:r>
                        </w:p>
                      </w:txbxContent>
                    </wps:txbx>
                    <wps:bodyPr lIns="0" tIns="0" rIns="0" bIns="0">
                      <a:spAutoFit/>
                    </wps:bodyPr>
                  </wps:wsp>
                </a:graphicData>
              </a:graphic>
            </wp:anchor>
          </w:drawing>
        </mc:Choice>
        <mc:Fallback>
          <w:pict>
            <v:shapetype w14:anchorId="4B2E90F5" id="_x0000_t202" coordsize="21600,21600" o:spt="202" path="m,l,21600r21600,l21600,xe">
              <v:stroke joinstyle="miter"/>
              <v:path gradientshapeok="t" o:connecttype="rect"/>
            </v:shapetype>
            <v:shape id="Shape 1498" o:spid="_x0000_s1143" type="#_x0000_t202" style="position:absolute;margin-left:201.6pt;margin-top:24.85pt;width:180.95pt;height:5.5pt;z-index:-251364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" filled="f" stroked="f">
              <v:textbox style="mso-fit-shape-to-text:t" inset="0,0,0,0">
                <w:txbxContent>
                  <w:p w14:paraId="7FCB0D09" w14:textId="77777777" w:rsidR="00D03C17" w:rsidRDefault="00D03C17">
                    <w:pPr>
                      <w:pStyle w:val="Headerorfooter0"/>
                      <w:tabs>
                        <w:tab w:val="right" w:pos="3619"/>
                      </w:tabs>
                      <w:rPr>
                        <w:sz w:val="16"/>
                        <w:szCs w:val="16"/>
                      </w:rPr>
                    </w:pPr>
                    <w:r>
                      <w:t>PESTE</w:t>
                    </w:r>
                    <w:r>
                      <w:tab/>
                    </w:r>
                    <w:r>
                      <w:rPr>
                        <w:sz w:val="16"/>
                        <w:szCs w:val="16"/>
                      </w:rPr>
                      <w:t>549</w:t>
                    </w:r>
                  </w:p>
                </w:txbxContent>
              </v:textbox>
              <w10:wrap anchorx="page" anchory="page"/>
            </v:shape>
          </w:pict>
        </mc:Fallback>
      </mc:AlternateContent>
    </w:r>
    <w:r>
      <w:rPr>
        <w:noProof/>
      </w:rPr>
      <mc:AlternateContent>
        <mc:Choice Requires="wps">
          <w:drawing>
            <wp:anchor distT="0" distB="0" distL="114300" distR="114300" simplePos="0" relativeHeight="251751424" behindDoc="1" locked="0" layoutInCell="1" allowOverlap="1" wp14:anchorId="2F7ECF5E" wp14:editId="2EE609D0">
              <wp:simplePos x="0" y="0"/>
              <wp:positionH relativeFrom="page">
                <wp:posOffset>521335</wp:posOffset>
              </wp:positionH>
              <wp:positionV relativeFrom="page">
                <wp:posOffset>423545</wp:posOffset>
              </wp:positionV>
              <wp:extent cx="4358640" cy="0"/>
              <wp:effectExtent l="0" t="0" r="0" b="0"/>
              <wp:wrapNone/>
              <wp:docPr id="1500" name="Shape 1500"/>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75149C65" id="_x0000_t32" coordsize="21600,21600" o:spt="32" o:oned="t" path="m,l21600,21600e" filled="f">
              <v:path arrowok="t" fillok="f" o:connecttype="none"/>
              <o:lock v:ext="edit" shapetype="t"/>
            </v:shapetype>
            <v:shape id="Shape 1500" o:spid="_x0000_s1026" type="#_x0000_t32" style="position:absolute;margin-left:41.05pt;margin-top:33.35pt;width:343.2pt;height:0;z-index:-25156505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" strokeweight="1pt">
              <w10:wrap anchorx="page" anchory="page"/>
            </v:shape>
          </w:pict>
        </mc:Fallback>
      </mc:AlternateContent>
    </w:r>
  </w:p>
</w:hdr>
</file>

<file path=word/header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BC627" w14:textId="77777777" w:rsidR="00D03C17" w:rsidRDefault="00D03C17">
    <w:pPr>
      <w:spacing w:line="1" w:lineRule="exact"/>
    </w:pPr>
    <w:r>
      <w:rPr>
        <w:noProof/>
      </w:rPr>
      <mc:AlternateContent>
        <mc:Choice Requires="wps">
          <w:drawing>
            <wp:anchor distT="0" distB="0" distL="0" distR="0" simplePos="0" relativeHeight="251954176" behindDoc="1" locked="0" layoutInCell="1" allowOverlap="1" wp14:anchorId="4A134109" wp14:editId="5FB2D341">
              <wp:simplePos x="0" y="0"/>
              <wp:positionH relativeFrom="page">
                <wp:posOffset>522605</wp:posOffset>
              </wp:positionH>
              <wp:positionV relativeFrom="page">
                <wp:posOffset>306705</wp:posOffset>
              </wp:positionV>
              <wp:extent cx="2816225" cy="79375"/>
              <wp:effectExtent l="0" t="0" r="0" b="0"/>
              <wp:wrapNone/>
              <wp:docPr id="1518" name="Shape 1518"/>
              <wp:cNvGraphicFramePr/>
              <a:graphic xmlns:a="http://schemas.openxmlformats.org/drawingml/2006/main">
                <a:graphicData uri="http://schemas.microsoft.com/office/word/2010/wordprocessingShape">
                  <wps:wsp>
                    <wps:cNvSpPr txBox="1"/>
                    <wps:spPr>
                      <a:xfrm>
                        <a:off x="0" y="0"/>
                        <a:ext cx="2816225" cy="79375"/>
                      </a:xfrm>
                      <a:prstGeom prst="rect">
                        <a:avLst/>
                      </a:prstGeom>
                      <a:noFill/>
                    </wps:spPr>
                    <wps:txbx>
                      <w:txbxContent>
                        <w:p w14:paraId="00C87232" w14:textId="77777777" w:rsidR="00D03C17" w:rsidRDefault="00D03C17">
                          <w:pPr>
                            <w:pStyle w:val="Headerorfooter0"/>
                            <w:tabs>
                              <w:tab w:val="right" w:pos="4435"/>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NEUMOCOCOS, INFECCIONES</w:t>
                          </w:r>
                        </w:p>
                      </w:txbxContent>
                    </wps:txbx>
                    <wps:bodyPr lIns="0" tIns="0" rIns="0" bIns="0">
                      <a:spAutoFit/>
                    </wps:bodyPr>
                  </wps:wsp>
                </a:graphicData>
              </a:graphic>
            </wp:anchor>
          </w:drawing>
        </mc:Choice>
        <mc:Fallback>
          <w:pict>
            <v:shapetype w14:anchorId="4A134109" id="_x0000_t202" coordsize="21600,21600" o:spt="202" path="m,l,21600r21600,l21600,xe">
              <v:stroke joinstyle="miter"/>
              <v:path gradientshapeok="t" o:connecttype="rect"/>
            </v:shapetype>
            <v:shape id="Shape 1518" o:spid="_x0000_s1144" type="#_x0000_t202" style="position:absolute;margin-left:41.15pt;margin-top:24.15pt;width:221.75pt;height:6.25pt;z-index:-251362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" filled="f" stroked="f">
              <v:textbox style="mso-fit-shape-to-text:t" inset="0,0,0,0">
                <w:txbxContent>
                  <w:p w14:paraId="00C87232" w14:textId="77777777" w:rsidR="00D03C17" w:rsidRDefault="00D03C17">
                    <w:pPr>
                      <w:pStyle w:val="Headerorfooter0"/>
                      <w:tabs>
                        <w:tab w:val="right" w:pos="4435"/>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NEUMOCOCOS, INFECCIONES</w:t>
                    </w:r>
                  </w:p>
                </w:txbxContent>
              </v:textbox>
              <w10:wrap anchorx="page" anchory="page"/>
            </v:shape>
          </w:pict>
        </mc:Fallback>
      </mc:AlternateContent>
    </w:r>
    <w:r>
      <w:rPr>
        <w:noProof/>
      </w:rPr>
      <mc:AlternateContent>
        <mc:Choice Requires="wps">
          <w:drawing>
            <wp:anchor distT="0" distB="0" distL="114300" distR="114300" simplePos="0" relativeHeight="251753472" behindDoc="1" locked="0" layoutInCell="1" allowOverlap="1" wp14:anchorId="6A5F4E69" wp14:editId="654FFE44">
              <wp:simplePos x="0" y="0"/>
              <wp:positionH relativeFrom="page">
                <wp:posOffset>507365</wp:posOffset>
              </wp:positionH>
              <wp:positionV relativeFrom="page">
                <wp:posOffset>414655</wp:posOffset>
              </wp:positionV>
              <wp:extent cx="4358640" cy="0"/>
              <wp:effectExtent l="0" t="0" r="0" b="0"/>
              <wp:wrapNone/>
              <wp:docPr id="1520" name="Shape 1520"/>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1F5CD7DE" id="_x0000_t32" coordsize="21600,21600" o:spt="32" o:oned="t" path="m,l21600,21600e" filled="f">
              <v:path arrowok="t" fillok="f" o:connecttype="none"/>
              <o:lock v:ext="edit" shapetype="t"/>
            </v:shapetype>
            <v:shape id="Shape 1520" o:spid="_x0000_s1026" type="#_x0000_t32" style="position:absolute;margin-left:39.95pt;margin-top:32.65pt;width:343.2pt;height:0;z-index:-25156300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" strokeweight="1pt">
              <w10:wrap anchorx="page" anchory="page"/>
            </v:shape>
          </w:pict>
        </mc:Fallback>
      </mc:AlternateContent>
    </w:r>
  </w:p>
</w:hdr>
</file>

<file path=word/header1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7DF2E" w14:textId="77777777" w:rsidR="00D03C17" w:rsidRDefault="00D03C17">
    <w:pPr>
      <w:spacing w:line="1" w:lineRule="exact"/>
    </w:pPr>
    <w:r>
      <w:rPr>
        <w:noProof/>
      </w:rPr>
      <mc:AlternateContent>
        <mc:Choice Requires="wps">
          <w:drawing>
            <wp:anchor distT="0" distB="0" distL="0" distR="0" simplePos="0" relativeHeight="251953152" behindDoc="1" locked="0" layoutInCell="1" allowOverlap="1" wp14:anchorId="48DA54AA" wp14:editId="7AEECF0D">
              <wp:simplePos x="0" y="0"/>
              <wp:positionH relativeFrom="page">
                <wp:posOffset>2036445</wp:posOffset>
              </wp:positionH>
              <wp:positionV relativeFrom="page">
                <wp:posOffset>306705</wp:posOffset>
              </wp:positionV>
              <wp:extent cx="2810510" cy="79375"/>
              <wp:effectExtent l="0" t="0" r="0" b="0"/>
              <wp:wrapNone/>
              <wp:docPr id="1515" name="Shape 1515"/>
              <wp:cNvGraphicFramePr/>
              <a:graphic xmlns:a="http://schemas.openxmlformats.org/drawingml/2006/main">
                <a:graphicData uri="http://schemas.microsoft.com/office/word/2010/wordprocessingShape">
                  <wps:wsp>
                    <wps:cNvSpPr txBox="1"/>
                    <wps:spPr>
                      <a:xfrm>
                        <a:off x="0" y="0"/>
                        <a:ext cx="2810510" cy="79375"/>
                      </a:xfrm>
                      <a:prstGeom prst="rect">
                        <a:avLst/>
                      </a:prstGeom>
                      <a:noFill/>
                    </wps:spPr>
                    <wps:txbx>
                      <w:txbxContent>
                        <w:p w14:paraId="18B14FBA" w14:textId="77777777" w:rsidR="00D03C17" w:rsidRDefault="00D03C17">
                          <w:pPr>
                            <w:pStyle w:val="Headerorfooter0"/>
                            <w:tabs>
                              <w:tab w:val="right" w:pos="4426"/>
                            </w:tabs>
                            <w:rPr>
                              <w:sz w:val="16"/>
                              <w:szCs w:val="16"/>
                            </w:rPr>
                          </w:pPr>
                          <w:r>
                            <w:t>NEUMOCOCOS, INFECCIONES</w:t>
                          </w:r>
                          <w:r>
                            <w:tab/>
                          </w:r>
                          <w:r>
                            <w:fldChar w:fldCharType="begin"/>
                          </w:r>
                          <w:r>
                            <w:instrText xml:space="preserve"> PAGE \* MERGEFORMAT </w:instrText>
                          </w:r>
                          <w:r>
                            <w:fldChar w:fldCharType="separate"/>
                          </w:r>
                          <w:r>
                            <w:rPr>
                              <w:sz w:val="16"/>
                              <w:szCs w:val="16"/>
                            </w:rPr>
                            <w:t>#</w:t>
                          </w:r>
                          <w:r>
                            <w:rPr>
                              <w:sz w:val="16"/>
                              <w:szCs w:val="16"/>
                            </w:rPr>
                            <w:fldChar w:fldCharType="end"/>
                          </w:r>
                        </w:p>
                      </w:txbxContent>
                    </wps:txbx>
                    <wps:bodyPr lIns="0" tIns="0" rIns="0" bIns="0">
                      <a:spAutoFit/>
                    </wps:bodyPr>
                  </wps:wsp>
                </a:graphicData>
              </a:graphic>
            </wp:anchor>
          </w:drawing>
        </mc:Choice>
        <mc:Fallback>
          <w:pict>
            <v:shapetype w14:anchorId="48DA54AA" id="_x0000_t202" coordsize="21600,21600" o:spt="202" path="m,l,21600r21600,l21600,xe">
              <v:stroke joinstyle="miter"/>
              <v:path gradientshapeok="t" o:connecttype="rect"/>
            </v:shapetype>
            <v:shape id="Shape 1515" o:spid="_x0000_s1145" type="#_x0000_t202" style="position:absolute;margin-left:160.35pt;margin-top:24.15pt;width:221.3pt;height:6.25pt;z-index:-251363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" filled="f" stroked="f">
              <v:textbox style="mso-fit-shape-to-text:t" inset="0,0,0,0">
                <w:txbxContent>
                  <w:p w14:paraId="18B14FBA" w14:textId="77777777" w:rsidR="00D03C17" w:rsidRDefault="00D03C17">
                    <w:pPr>
                      <w:pStyle w:val="Headerorfooter0"/>
                      <w:tabs>
                        <w:tab w:val="right" w:pos="4426"/>
                      </w:tabs>
                      <w:rPr>
                        <w:sz w:val="16"/>
                        <w:szCs w:val="16"/>
                      </w:rPr>
                    </w:pPr>
                    <w:r>
                      <w:t>NEUMOCOCOS, INFECCIONES</w:t>
                    </w:r>
                    <w:r>
                      <w:tab/>
                    </w:r>
                    <w:r>
                      <w:fldChar w:fldCharType="begin"/>
                    </w:r>
                    <w:r>
                      <w:instrText xml:space="preserve"> PAGE \* MERGEFORMAT </w:instrText>
                    </w:r>
                    <w:r>
                      <w:fldChar w:fldCharType="separate"/>
                    </w:r>
                    <w:r>
                      <w:rPr>
                        <w:sz w:val="16"/>
                        <w:szCs w:val="16"/>
                      </w:rPr>
                      <w:t>#</w:t>
                    </w:r>
                    <w:r>
                      <w:rPr>
                        <w:sz w:val="16"/>
                        <w:szCs w:val="1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752448" behindDoc="1" locked="0" layoutInCell="1" allowOverlap="1" wp14:anchorId="368A28FF" wp14:editId="6D53A177">
              <wp:simplePos x="0" y="0"/>
              <wp:positionH relativeFrom="page">
                <wp:posOffset>509270</wp:posOffset>
              </wp:positionH>
              <wp:positionV relativeFrom="page">
                <wp:posOffset>414655</wp:posOffset>
              </wp:positionV>
              <wp:extent cx="4358640" cy="0"/>
              <wp:effectExtent l="0" t="0" r="0" b="0"/>
              <wp:wrapNone/>
              <wp:docPr id="1517" name="Shape 1517"/>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0E718648" id="_x0000_t32" coordsize="21600,21600" o:spt="32" o:oned="t" path="m,l21600,21600e" filled="f">
              <v:path arrowok="t" fillok="f" o:connecttype="none"/>
              <o:lock v:ext="edit" shapetype="t"/>
            </v:shapetype>
            <v:shape id="Shape 1517" o:spid="_x0000_s1026" type="#_x0000_t32" style="position:absolute;margin-left:40.1pt;margin-top:32.65pt;width:343.2pt;height:0;z-index:-25156403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" strokeweight="1pt">
              <w10:wrap anchorx="page" anchory="page"/>
            </v:shape>
          </w:pict>
        </mc:Fallback>
      </mc:AlternateContent>
    </w:r>
  </w:p>
</w:hdr>
</file>

<file path=word/header1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277F3" w14:textId="77777777" w:rsidR="00D03C17" w:rsidRDefault="00D03C17">
    <w:pPr>
      <w:spacing w:line="1" w:lineRule="exact"/>
    </w:pPr>
    <w:r>
      <w:rPr>
        <w:noProof/>
      </w:rPr>
      <mc:AlternateContent>
        <mc:Choice Requires="wps">
          <w:drawing>
            <wp:anchor distT="0" distB="0" distL="0" distR="0" simplePos="0" relativeHeight="251956224" behindDoc="1" locked="0" layoutInCell="1" allowOverlap="1" wp14:anchorId="3C664279" wp14:editId="3A10F9B1">
              <wp:simplePos x="0" y="0"/>
              <wp:positionH relativeFrom="page">
                <wp:posOffset>522605</wp:posOffset>
              </wp:positionH>
              <wp:positionV relativeFrom="page">
                <wp:posOffset>315595</wp:posOffset>
              </wp:positionV>
              <wp:extent cx="2468880" cy="69850"/>
              <wp:effectExtent l="0" t="0" r="0" b="0"/>
              <wp:wrapNone/>
              <wp:docPr id="1524" name="Shape 1524"/>
              <wp:cNvGraphicFramePr/>
              <a:graphic xmlns:a="http://schemas.openxmlformats.org/drawingml/2006/main">
                <a:graphicData uri="http://schemas.microsoft.com/office/word/2010/wordprocessingShape">
                  <wps:wsp>
                    <wps:cNvSpPr txBox="1"/>
                    <wps:spPr>
                      <a:xfrm>
                        <a:off x="0" y="0"/>
                        <a:ext cx="2468880" cy="69850"/>
                      </a:xfrm>
                      <a:prstGeom prst="rect">
                        <a:avLst/>
                      </a:prstGeom>
                      <a:noFill/>
                    </wps:spPr>
                    <wps:txbx>
                      <w:txbxContent>
                        <w:p w14:paraId="3D31990D" w14:textId="77777777" w:rsidR="00D03C17" w:rsidRDefault="00D03C17">
                          <w:pPr>
                            <w:pStyle w:val="Headerorfooter0"/>
                            <w:tabs>
                              <w:tab w:val="right" w:pos="3888"/>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NOCARDIOSIS</w:t>
                          </w:r>
                        </w:p>
                      </w:txbxContent>
                    </wps:txbx>
                    <wps:bodyPr lIns="0" tIns="0" rIns="0" bIns="0">
                      <a:spAutoFit/>
                    </wps:bodyPr>
                  </wps:wsp>
                </a:graphicData>
              </a:graphic>
            </wp:anchor>
          </w:drawing>
        </mc:Choice>
        <mc:Fallback>
          <w:pict>
            <v:shapetype w14:anchorId="3C664279" id="_x0000_t202" coordsize="21600,21600" o:spt="202" path="m,l,21600r21600,l21600,xe">
              <v:stroke joinstyle="miter"/>
              <v:path gradientshapeok="t" o:connecttype="rect"/>
            </v:shapetype>
            <v:shape id="Shape 1524" o:spid="_x0000_s1146" type="#_x0000_t202" style="position:absolute;margin-left:41.15pt;margin-top:24.85pt;width:194.4pt;height:5.5pt;z-index:-251360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" filled="f" stroked="f">
              <v:textbox style="mso-fit-shape-to-text:t" inset="0,0,0,0">
                <w:txbxContent>
                  <w:p w14:paraId="3D31990D" w14:textId="77777777" w:rsidR="00D03C17" w:rsidRDefault="00D03C17">
                    <w:pPr>
                      <w:pStyle w:val="Headerorfooter0"/>
                      <w:tabs>
                        <w:tab w:val="right" w:pos="3888"/>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NOCARDIOSIS</w:t>
                    </w:r>
                  </w:p>
                </w:txbxContent>
              </v:textbox>
              <w10:wrap anchorx="page" anchory="page"/>
            </v:shape>
          </w:pict>
        </mc:Fallback>
      </mc:AlternateContent>
    </w:r>
    <w:r>
      <w:rPr>
        <w:noProof/>
      </w:rPr>
      <mc:AlternateContent>
        <mc:Choice Requires="wps">
          <w:drawing>
            <wp:anchor distT="0" distB="0" distL="114300" distR="114300" simplePos="0" relativeHeight="251755520" behindDoc="1" locked="0" layoutInCell="1" allowOverlap="1" wp14:anchorId="3847DE0F" wp14:editId="381EA85C">
              <wp:simplePos x="0" y="0"/>
              <wp:positionH relativeFrom="page">
                <wp:posOffset>507365</wp:posOffset>
              </wp:positionH>
              <wp:positionV relativeFrom="page">
                <wp:posOffset>423545</wp:posOffset>
              </wp:positionV>
              <wp:extent cx="4358640" cy="0"/>
              <wp:effectExtent l="0" t="0" r="0" b="0"/>
              <wp:wrapNone/>
              <wp:docPr id="1526" name="Shape 1526"/>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1AED2345" id="_x0000_t32" coordsize="21600,21600" o:spt="32" o:oned="t" path="m,l21600,21600e" filled="f">
              <v:path arrowok="t" fillok="f" o:connecttype="none"/>
              <o:lock v:ext="edit" shapetype="t"/>
            </v:shapetype>
            <v:shape id="Shape 1526" o:spid="_x0000_s1026" type="#_x0000_t32" style="position:absolute;margin-left:39.95pt;margin-top:33.35pt;width:343.2pt;height:0;z-index:-25156096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" strokeweight="1pt">
              <w10:wrap anchorx="page" anchory="page"/>
            </v:shape>
          </w:pict>
        </mc:Fallback>
      </mc:AlternateContent>
    </w:r>
  </w:p>
</w:hdr>
</file>

<file path=word/header1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70BD3" w14:textId="77777777" w:rsidR="00D03C17" w:rsidRDefault="00D03C17">
    <w:pPr>
      <w:spacing w:line="1" w:lineRule="exact"/>
    </w:pPr>
    <w:r>
      <w:rPr>
        <w:noProof/>
      </w:rPr>
      <mc:AlternateContent>
        <mc:Choice Requires="wps">
          <w:drawing>
            <wp:anchor distT="0" distB="0" distL="0" distR="0" simplePos="0" relativeHeight="251955200" behindDoc="1" locked="0" layoutInCell="1" allowOverlap="1" wp14:anchorId="0B2DB322" wp14:editId="733DCD6E">
              <wp:simplePos x="0" y="0"/>
              <wp:positionH relativeFrom="page">
                <wp:posOffset>522605</wp:posOffset>
              </wp:positionH>
              <wp:positionV relativeFrom="page">
                <wp:posOffset>315595</wp:posOffset>
              </wp:positionV>
              <wp:extent cx="2468880" cy="69850"/>
              <wp:effectExtent l="0" t="0" r="0" b="0"/>
              <wp:wrapNone/>
              <wp:docPr id="1521" name="Shape 1521"/>
              <wp:cNvGraphicFramePr/>
              <a:graphic xmlns:a="http://schemas.openxmlformats.org/drawingml/2006/main">
                <a:graphicData uri="http://schemas.microsoft.com/office/word/2010/wordprocessingShape">
                  <wps:wsp>
                    <wps:cNvSpPr txBox="1"/>
                    <wps:spPr>
                      <a:xfrm>
                        <a:off x="0" y="0"/>
                        <a:ext cx="2468880" cy="69850"/>
                      </a:xfrm>
                      <a:prstGeom prst="rect">
                        <a:avLst/>
                      </a:prstGeom>
                      <a:noFill/>
                    </wps:spPr>
                    <wps:txbx>
                      <w:txbxContent>
                        <w:p w14:paraId="6F6C289E" w14:textId="77777777" w:rsidR="00D03C17" w:rsidRDefault="00D03C17">
                          <w:pPr>
                            <w:pStyle w:val="Headerorfooter0"/>
                            <w:tabs>
                              <w:tab w:val="right" w:pos="3888"/>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NOCARDIOSIS</w:t>
                          </w:r>
                        </w:p>
                      </w:txbxContent>
                    </wps:txbx>
                    <wps:bodyPr lIns="0" tIns="0" rIns="0" bIns="0">
                      <a:spAutoFit/>
                    </wps:bodyPr>
                  </wps:wsp>
                </a:graphicData>
              </a:graphic>
            </wp:anchor>
          </w:drawing>
        </mc:Choice>
        <mc:Fallback>
          <w:pict>
            <v:shapetype w14:anchorId="0B2DB322" id="_x0000_t202" coordsize="21600,21600" o:spt="202" path="m,l,21600r21600,l21600,xe">
              <v:stroke joinstyle="miter"/>
              <v:path gradientshapeok="t" o:connecttype="rect"/>
            </v:shapetype>
            <v:shape id="Shape 1521" o:spid="_x0000_s1147" type="#_x0000_t202" style="position:absolute;margin-left:41.15pt;margin-top:24.85pt;width:194.4pt;height:5.5pt;z-index:-251361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" filled="f" stroked="f">
              <v:textbox style="mso-fit-shape-to-text:t" inset="0,0,0,0">
                <w:txbxContent>
                  <w:p w14:paraId="6F6C289E" w14:textId="77777777" w:rsidR="00D03C17" w:rsidRDefault="00D03C17">
                    <w:pPr>
                      <w:pStyle w:val="Headerorfooter0"/>
                      <w:tabs>
                        <w:tab w:val="right" w:pos="3888"/>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NOCARDIOSIS</w:t>
                    </w:r>
                  </w:p>
                </w:txbxContent>
              </v:textbox>
              <w10:wrap anchorx="page" anchory="page"/>
            </v:shape>
          </w:pict>
        </mc:Fallback>
      </mc:AlternateContent>
    </w:r>
    <w:r>
      <w:rPr>
        <w:noProof/>
      </w:rPr>
      <mc:AlternateContent>
        <mc:Choice Requires="wps">
          <w:drawing>
            <wp:anchor distT="0" distB="0" distL="114300" distR="114300" simplePos="0" relativeHeight="251754496" behindDoc="1" locked="0" layoutInCell="1" allowOverlap="1" wp14:anchorId="24FEEA00" wp14:editId="6263D159">
              <wp:simplePos x="0" y="0"/>
              <wp:positionH relativeFrom="page">
                <wp:posOffset>507365</wp:posOffset>
              </wp:positionH>
              <wp:positionV relativeFrom="page">
                <wp:posOffset>423545</wp:posOffset>
              </wp:positionV>
              <wp:extent cx="4358640" cy="0"/>
              <wp:effectExtent l="0" t="0" r="0" b="0"/>
              <wp:wrapNone/>
              <wp:docPr id="1523" name="Shape 1523"/>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1932D9DD" id="_x0000_t32" coordsize="21600,21600" o:spt="32" o:oned="t" path="m,l21600,21600e" filled="f">
              <v:path arrowok="t" fillok="f" o:connecttype="none"/>
              <o:lock v:ext="edit" shapetype="t"/>
            </v:shapetype>
            <v:shape id="Shape 1523" o:spid="_x0000_s1026" type="#_x0000_t32" style="position:absolute;margin-left:39.95pt;margin-top:33.35pt;width:343.2pt;height:0;z-index:-25156198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" strokeweight="1pt">
              <w10:wrap anchorx="page" anchory="page"/>
            </v:shape>
          </w:pict>
        </mc:Fallback>
      </mc:AlternateContent>
    </w:r>
  </w:p>
</w:hdr>
</file>

<file path=word/header1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750AA" w14:textId="77777777" w:rsidR="00D03C17" w:rsidRDefault="00D03C17">
    <w:pPr>
      <w:spacing w:line="1" w:lineRule="exact"/>
    </w:pPr>
    <w:r>
      <w:rPr>
        <w:noProof/>
      </w:rPr>
      <mc:AlternateContent>
        <mc:Choice Requires="wps">
          <w:drawing>
            <wp:anchor distT="0" distB="0" distL="0" distR="0" simplePos="0" relativeHeight="251957248" behindDoc="1" locked="0" layoutInCell="1" allowOverlap="1" wp14:anchorId="2A632AE2" wp14:editId="3970FAFE">
              <wp:simplePos x="0" y="0"/>
              <wp:positionH relativeFrom="page">
                <wp:posOffset>2376170</wp:posOffset>
              </wp:positionH>
              <wp:positionV relativeFrom="page">
                <wp:posOffset>315595</wp:posOffset>
              </wp:positionV>
              <wp:extent cx="2447290" cy="69850"/>
              <wp:effectExtent l="0" t="0" r="0" b="0"/>
              <wp:wrapNone/>
              <wp:docPr id="1527" name="Shape 1527"/>
              <wp:cNvGraphicFramePr/>
              <a:graphic xmlns:a="http://schemas.openxmlformats.org/drawingml/2006/main">
                <a:graphicData uri="http://schemas.microsoft.com/office/word/2010/wordprocessingShape">
                  <wps:wsp>
                    <wps:cNvSpPr txBox="1"/>
                    <wps:spPr>
                      <a:xfrm>
                        <a:off x="0" y="0"/>
                        <a:ext cx="2447290" cy="69850"/>
                      </a:xfrm>
                      <a:prstGeom prst="rect">
                        <a:avLst/>
                      </a:prstGeom>
                      <a:noFill/>
                    </wps:spPr>
                    <wps:txbx>
                      <w:txbxContent>
                        <w:p w14:paraId="12457890" w14:textId="77777777" w:rsidR="00D03C17" w:rsidRDefault="00D03C17">
                          <w:pPr>
                            <w:pStyle w:val="Headerorfooter0"/>
                            <w:tabs>
                              <w:tab w:val="right" w:pos="3854"/>
                            </w:tabs>
                            <w:rPr>
                              <w:sz w:val="16"/>
                              <w:szCs w:val="16"/>
                            </w:rPr>
                          </w:pPr>
                          <w:r>
                            <w:t>NOCARDIOSIS</w:t>
                          </w:r>
                          <w:r>
                            <w:tab/>
                          </w:r>
                          <w:r>
                            <w:fldChar w:fldCharType="begin"/>
                          </w:r>
                          <w:r>
                            <w:instrText xml:space="preserve"> PAGE \* MERGEFORMAT </w:instrText>
                          </w:r>
                          <w:r>
                            <w:fldChar w:fldCharType="separate"/>
                          </w:r>
                          <w:r>
                            <w:rPr>
                              <w:sz w:val="16"/>
                              <w:szCs w:val="16"/>
                            </w:rPr>
                            <w:t>#</w:t>
                          </w:r>
                          <w:r>
                            <w:rPr>
                              <w:sz w:val="16"/>
                              <w:szCs w:val="16"/>
                            </w:rPr>
                            <w:fldChar w:fldCharType="end"/>
                          </w:r>
                        </w:p>
                      </w:txbxContent>
                    </wps:txbx>
                    <wps:bodyPr lIns="0" tIns="0" rIns="0" bIns="0">
                      <a:spAutoFit/>
                    </wps:bodyPr>
                  </wps:wsp>
                </a:graphicData>
              </a:graphic>
            </wp:anchor>
          </w:drawing>
        </mc:Choice>
        <mc:Fallback>
          <w:pict>
            <v:shapetype w14:anchorId="2A632AE2" id="_x0000_t202" coordsize="21600,21600" o:spt="202" path="m,l,21600r21600,l21600,xe">
              <v:stroke joinstyle="miter"/>
              <v:path gradientshapeok="t" o:connecttype="rect"/>
            </v:shapetype>
            <v:shape id="Shape 1527" o:spid="_x0000_s1148" type="#_x0000_t202" style="position:absolute;margin-left:187.1pt;margin-top:24.85pt;width:192.7pt;height:5.5pt;z-index:-251359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" filled="f" stroked="f">
              <v:textbox style="mso-fit-shape-to-text:t" inset="0,0,0,0">
                <w:txbxContent>
                  <w:p w14:paraId="12457890" w14:textId="77777777" w:rsidR="00D03C17" w:rsidRDefault="00D03C17">
                    <w:pPr>
                      <w:pStyle w:val="Headerorfooter0"/>
                      <w:tabs>
                        <w:tab w:val="right" w:pos="3854"/>
                      </w:tabs>
                      <w:rPr>
                        <w:sz w:val="16"/>
                        <w:szCs w:val="16"/>
                      </w:rPr>
                    </w:pPr>
                    <w:r>
                      <w:t>NOCARDIOSIS</w:t>
                    </w:r>
                    <w:r>
                      <w:tab/>
                    </w:r>
                    <w:r>
                      <w:fldChar w:fldCharType="begin"/>
                    </w:r>
                    <w:r>
                      <w:instrText xml:space="preserve"> PAGE \* MERGEFORMAT </w:instrText>
                    </w:r>
                    <w:r>
                      <w:fldChar w:fldCharType="separate"/>
                    </w:r>
                    <w:r>
                      <w:rPr>
                        <w:sz w:val="16"/>
                        <w:szCs w:val="16"/>
                      </w:rPr>
                      <w:t>#</w:t>
                    </w:r>
                    <w:r>
                      <w:rPr>
                        <w:sz w:val="16"/>
                        <w:szCs w:val="1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756544" behindDoc="1" locked="0" layoutInCell="1" allowOverlap="1" wp14:anchorId="3E59A26A" wp14:editId="0FB88292">
              <wp:simplePos x="0" y="0"/>
              <wp:positionH relativeFrom="page">
                <wp:posOffset>501650</wp:posOffset>
              </wp:positionH>
              <wp:positionV relativeFrom="page">
                <wp:posOffset>423545</wp:posOffset>
              </wp:positionV>
              <wp:extent cx="4358640" cy="0"/>
              <wp:effectExtent l="0" t="0" r="0" b="0"/>
              <wp:wrapNone/>
              <wp:docPr id="1529" name="Shape 1529"/>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23025570" id="_x0000_t32" coordsize="21600,21600" o:spt="32" o:oned="t" path="m,l21600,21600e" filled="f">
              <v:path arrowok="t" fillok="f" o:connecttype="none"/>
              <o:lock v:ext="edit" shapetype="t"/>
            </v:shapetype>
            <v:shape id="Shape 1529" o:spid="_x0000_s1026" type="#_x0000_t32" style="position:absolute;margin-left:39.5pt;margin-top:33.35pt;width:343.2pt;height:0;z-index:-25155993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" strokeweight="1pt">
              <w10:wrap anchorx="page" anchory="page"/>
            </v:shape>
          </w:pict>
        </mc:Fallback>
      </mc:AlternateContent>
    </w:r>
  </w:p>
</w:hdr>
</file>

<file path=word/header1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C9EF4" w14:textId="77777777" w:rsidR="00D03C17" w:rsidRDefault="00D03C17">
    <w:pPr>
      <w:spacing w:line="1" w:lineRule="exact"/>
    </w:pPr>
    <w:r>
      <w:rPr>
        <w:noProof/>
      </w:rPr>
      <mc:AlternateContent>
        <mc:Choice Requires="wps">
          <w:drawing>
            <wp:anchor distT="0" distB="0" distL="0" distR="0" simplePos="0" relativeHeight="251959296" behindDoc="1" locked="0" layoutInCell="1" allowOverlap="1" wp14:anchorId="3475C826" wp14:editId="258C1A9F">
              <wp:simplePos x="0" y="0"/>
              <wp:positionH relativeFrom="page">
                <wp:posOffset>520065</wp:posOffset>
              </wp:positionH>
              <wp:positionV relativeFrom="page">
                <wp:posOffset>306705</wp:posOffset>
              </wp:positionV>
              <wp:extent cx="3044825" cy="79375"/>
              <wp:effectExtent l="0" t="0" r="0" b="0"/>
              <wp:wrapNone/>
              <wp:docPr id="1533" name="Shape 1533"/>
              <wp:cNvGraphicFramePr/>
              <a:graphic xmlns:a="http://schemas.openxmlformats.org/drawingml/2006/main">
                <a:graphicData uri="http://schemas.microsoft.com/office/word/2010/wordprocessingShape">
                  <wps:wsp>
                    <wps:cNvSpPr txBox="1"/>
                    <wps:spPr>
                      <a:xfrm>
                        <a:off x="0" y="0"/>
                        <a:ext cx="3044825" cy="79375"/>
                      </a:xfrm>
                      <a:prstGeom prst="rect">
                        <a:avLst/>
                      </a:prstGeom>
                      <a:noFill/>
                    </wps:spPr>
                    <wps:txbx>
                      <w:txbxContent>
                        <w:p w14:paraId="359FCD53" w14:textId="77777777" w:rsidR="00D03C17" w:rsidRDefault="00D03C17">
                          <w:pPr>
                            <w:pStyle w:val="Headerorfooter0"/>
                            <w:tabs>
                              <w:tab w:val="right" w:pos="4795"/>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rPr>
                              <w:i/>
                              <w:iCs/>
                              <w:sz w:val="13"/>
                              <w:szCs w:val="13"/>
                            </w:rPr>
                            <w:t>PNEUMOCYSTIS JIROVECI,</w:t>
                          </w:r>
                          <w:r>
                            <w:t xml:space="preserve"> INFECCIONES</w:t>
                          </w:r>
                        </w:p>
                      </w:txbxContent>
                    </wps:txbx>
                    <wps:bodyPr lIns="0" tIns="0" rIns="0" bIns="0">
                      <a:spAutoFit/>
                    </wps:bodyPr>
                  </wps:wsp>
                </a:graphicData>
              </a:graphic>
            </wp:anchor>
          </w:drawing>
        </mc:Choice>
        <mc:Fallback>
          <w:pict>
            <v:shapetype w14:anchorId="3475C826" id="_x0000_t202" coordsize="21600,21600" o:spt="202" path="m,l,21600r21600,l21600,xe">
              <v:stroke joinstyle="miter"/>
              <v:path gradientshapeok="t" o:connecttype="rect"/>
            </v:shapetype>
            <v:shape id="Shape 1533" o:spid="_x0000_s1149" type="#_x0000_t202" style="position:absolute;margin-left:40.95pt;margin-top:24.15pt;width:239.75pt;height:6.25pt;z-index:-251357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" filled="f" stroked="f">
              <v:textbox style="mso-fit-shape-to-text:t" inset="0,0,0,0">
                <w:txbxContent>
                  <w:p w14:paraId="359FCD53" w14:textId="77777777" w:rsidR="00D03C17" w:rsidRDefault="00D03C17">
                    <w:pPr>
                      <w:pStyle w:val="Headerorfooter0"/>
                      <w:tabs>
                        <w:tab w:val="right" w:pos="4795"/>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rPr>
                        <w:i/>
                        <w:iCs/>
                        <w:sz w:val="13"/>
                        <w:szCs w:val="13"/>
                      </w:rPr>
                      <w:t>PNEUMOCYSTIS JIROVECI,</w:t>
                    </w:r>
                    <w:r>
                      <w:t xml:space="preserve"> INFECCIONES</w:t>
                    </w:r>
                  </w:p>
                </w:txbxContent>
              </v:textbox>
              <w10:wrap anchorx="page" anchory="page"/>
            </v:shape>
          </w:pict>
        </mc:Fallback>
      </mc:AlternateContent>
    </w:r>
    <w:r>
      <w:rPr>
        <w:noProof/>
      </w:rPr>
      <mc:AlternateContent>
        <mc:Choice Requires="wps">
          <w:drawing>
            <wp:anchor distT="0" distB="0" distL="114300" distR="114300" simplePos="0" relativeHeight="251758592" behindDoc="1" locked="0" layoutInCell="1" allowOverlap="1" wp14:anchorId="0AE5FDD0" wp14:editId="3446C2F2">
              <wp:simplePos x="0" y="0"/>
              <wp:positionH relativeFrom="page">
                <wp:posOffset>504825</wp:posOffset>
              </wp:positionH>
              <wp:positionV relativeFrom="page">
                <wp:posOffset>414655</wp:posOffset>
              </wp:positionV>
              <wp:extent cx="4358640" cy="0"/>
              <wp:effectExtent l="0" t="0" r="0" b="0"/>
              <wp:wrapNone/>
              <wp:docPr id="1535" name="Shape 1535"/>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3DB1B572" id="_x0000_t32" coordsize="21600,21600" o:spt="32" o:oned="t" path="m,l21600,21600e" filled="f">
              <v:path arrowok="t" fillok="f" o:connecttype="none"/>
              <o:lock v:ext="edit" shapetype="t"/>
            </v:shapetype>
            <v:shape id="Shape 1535" o:spid="_x0000_s1026" type="#_x0000_t32" style="position:absolute;margin-left:39.75pt;margin-top:32.65pt;width:343.2pt;height:0;z-index:-25155788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" strokeweight="1pt">
              <w10:wrap anchorx="page" anchory="page"/>
            </v:shape>
          </w:pict>
        </mc:Fallback>
      </mc:AlternateContent>
    </w:r>
  </w:p>
</w:hdr>
</file>

<file path=word/header1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9AA04" w14:textId="77777777" w:rsidR="00D03C17" w:rsidRDefault="00D03C17">
    <w:pPr>
      <w:spacing w:line="1" w:lineRule="exact"/>
    </w:pPr>
    <w:r>
      <w:rPr>
        <w:noProof/>
      </w:rPr>
      <mc:AlternateContent>
        <mc:Choice Requires="wps">
          <w:drawing>
            <wp:anchor distT="0" distB="0" distL="0" distR="0" simplePos="0" relativeHeight="251958272" behindDoc="1" locked="0" layoutInCell="1" allowOverlap="1" wp14:anchorId="19B1821A" wp14:editId="49D8DE29">
              <wp:simplePos x="0" y="0"/>
              <wp:positionH relativeFrom="page">
                <wp:posOffset>1809115</wp:posOffset>
              </wp:positionH>
              <wp:positionV relativeFrom="page">
                <wp:posOffset>306705</wp:posOffset>
              </wp:positionV>
              <wp:extent cx="3026410" cy="79375"/>
              <wp:effectExtent l="0" t="0" r="0" b="0"/>
              <wp:wrapNone/>
              <wp:docPr id="1530" name="Shape 1530"/>
              <wp:cNvGraphicFramePr/>
              <a:graphic xmlns:a="http://schemas.openxmlformats.org/drawingml/2006/main">
                <a:graphicData uri="http://schemas.microsoft.com/office/word/2010/wordprocessingShape">
                  <wps:wsp>
                    <wps:cNvSpPr txBox="1"/>
                    <wps:spPr>
                      <a:xfrm>
                        <a:off x="0" y="0"/>
                        <a:ext cx="3026410" cy="79375"/>
                      </a:xfrm>
                      <a:prstGeom prst="rect">
                        <a:avLst/>
                      </a:prstGeom>
                      <a:noFill/>
                    </wps:spPr>
                    <wps:txbx>
                      <w:txbxContent>
                        <w:p w14:paraId="3C00BC55" w14:textId="77777777" w:rsidR="00D03C17" w:rsidRDefault="00D03C17">
                          <w:pPr>
                            <w:pStyle w:val="Headerorfooter0"/>
                            <w:tabs>
                              <w:tab w:val="right" w:pos="4766"/>
                            </w:tabs>
                            <w:rPr>
                              <w:sz w:val="16"/>
                              <w:szCs w:val="16"/>
                            </w:rPr>
                          </w:pPr>
                          <w:r>
                            <w:rPr>
                              <w:i/>
                              <w:iCs/>
                              <w:sz w:val="13"/>
                              <w:szCs w:val="13"/>
                            </w:rPr>
                            <w:t>PNEUMOCYSTIS JIROVECI,</w:t>
                          </w:r>
                          <w:r>
                            <w:t xml:space="preserve"> INFECCIONES</w:t>
                          </w:r>
                          <w:r>
                            <w:tab/>
                          </w:r>
                          <w:r>
                            <w:fldChar w:fldCharType="begin"/>
                          </w:r>
                          <w:r>
                            <w:instrText xml:space="preserve"> PAGE \* MERGEFORMAT </w:instrText>
                          </w:r>
                          <w:r>
                            <w:fldChar w:fldCharType="separate"/>
                          </w:r>
                          <w:r>
                            <w:rPr>
                              <w:sz w:val="16"/>
                              <w:szCs w:val="16"/>
                            </w:rPr>
                            <w:t>#</w:t>
                          </w:r>
                          <w:r>
                            <w:rPr>
                              <w:sz w:val="16"/>
                              <w:szCs w:val="16"/>
                            </w:rPr>
                            <w:fldChar w:fldCharType="end"/>
                          </w:r>
                        </w:p>
                      </w:txbxContent>
                    </wps:txbx>
                    <wps:bodyPr lIns="0" tIns="0" rIns="0" bIns="0">
                      <a:spAutoFit/>
                    </wps:bodyPr>
                  </wps:wsp>
                </a:graphicData>
              </a:graphic>
            </wp:anchor>
          </w:drawing>
        </mc:Choice>
        <mc:Fallback>
          <w:pict>
            <v:shapetype w14:anchorId="19B1821A" id="_x0000_t202" coordsize="21600,21600" o:spt="202" path="m,l,21600r21600,l21600,xe">
              <v:stroke joinstyle="miter"/>
              <v:path gradientshapeok="t" o:connecttype="rect"/>
            </v:shapetype>
            <v:shape id="Shape 1530" o:spid="_x0000_s1150" type="#_x0000_t202" style="position:absolute;margin-left:142.45pt;margin-top:24.15pt;width:238.3pt;height:6.25pt;z-index:-251358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" filled="f" stroked="f">
              <v:textbox style="mso-fit-shape-to-text:t" inset="0,0,0,0">
                <w:txbxContent>
                  <w:p w14:paraId="3C00BC55" w14:textId="77777777" w:rsidR="00D03C17" w:rsidRDefault="00D03C17">
                    <w:pPr>
                      <w:pStyle w:val="Headerorfooter0"/>
                      <w:tabs>
                        <w:tab w:val="right" w:pos="4766"/>
                      </w:tabs>
                      <w:rPr>
                        <w:sz w:val="16"/>
                        <w:szCs w:val="16"/>
                      </w:rPr>
                    </w:pPr>
                    <w:r>
                      <w:rPr>
                        <w:i/>
                        <w:iCs/>
                        <w:sz w:val="13"/>
                        <w:szCs w:val="13"/>
                      </w:rPr>
                      <w:t>PNEUMOCYSTIS JIROVECI,</w:t>
                    </w:r>
                    <w:r>
                      <w:t xml:space="preserve"> INFECCIONES</w:t>
                    </w:r>
                    <w:r>
                      <w:tab/>
                    </w:r>
                    <w:r>
                      <w:fldChar w:fldCharType="begin"/>
                    </w:r>
                    <w:r>
                      <w:instrText xml:space="preserve"> PAGE \* MERGEFORMAT </w:instrText>
                    </w:r>
                    <w:r>
                      <w:fldChar w:fldCharType="separate"/>
                    </w:r>
                    <w:r>
                      <w:rPr>
                        <w:sz w:val="16"/>
                        <w:szCs w:val="16"/>
                      </w:rPr>
                      <w:t>#</w:t>
                    </w:r>
                    <w:r>
                      <w:rPr>
                        <w:sz w:val="16"/>
                        <w:szCs w:val="1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757568" behindDoc="1" locked="0" layoutInCell="1" allowOverlap="1" wp14:anchorId="1FCFA602" wp14:editId="7C206FC4">
              <wp:simplePos x="0" y="0"/>
              <wp:positionH relativeFrom="page">
                <wp:posOffset>513715</wp:posOffset>
              </wp:positionH>
              <wp:positionV relativeFrom="page">
                <wp:posOffset>414655</wp:posOffset>
              </wp:positionV>
              <wp:extent cx="4358640" cy="0"/>
              <wp:effectExtent l="0" t="0" r="0" b="0"/>
              <wp:wrapNone/>
              <wp:docPr id="1532" name="Shape 1532"/>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25932D33" id="_x0000_t32" coordsize="21600,21600" o:spt="32" o:oned="t" path="m,l21600,21600e" filled="f">
              <v:path arrowok="t" fillok="f" o:connecttype="none"/>
              <o:lock v:ext="edit" shapetype="t"/>
            </v:shapetype>
            <v:shape id="Shape 1532" o:spid="_x0000_s1026" type="#_x0000_t32" style="position:absolute;margin-left:40.45pt;margin-top:32.65pt;width:343.2pt;height:0;z-index:-25155891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" strokeweight="1pt">
              <w10:wrap anchorx="page" anchory="page"/>
            </v:shape>
          </w:pict>
        </mc:Fallback>
      </mc:AlternateContent>
    </w:r>
  </w:p>
</w:hdr>
</file>

<file path=word/header1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E9EFF" w14:textId="77777777" w:rsidR="00D03C17" w:rsidRDefault="00D03C17">
    <w:pPr>
      <w:spacing w:line="1" w:lineRule="exact"/>
    </w:pPr>
    <w:r>
      <w:rPr>
        <w:noProof/>
      </w:rPr>
      <mc:AlternateContent>
        <mc:Choice Requires="wps">
          <w:drawing>
            <wp:anchor distT="0" distB="0" distL="0" distR="0" simplePos="0" relativeHeight="251961344" behindDoc="1" locked="0" layoutInCell="1" allowOverlap="1" wp14:anchorId="036CB8A1" wp14:editId="7CF3A6DE">
              <wp:simplePos x="0" y="0"/>
              <wp:positionH relativeFrom="page">
                <wp:posOffset>522605</wp:posOffset>
              </wp:positionH>
              <wp:positionV relativeFrom="page">
                <wp:posOffset>291465</wp:posOffset>
              </wp:positionV>
              <wp:extent cx="3002280" cy="94615"/>
              <wp:effectExtent l="0" t="0" r="0" b="0"/>
              <wp:wrapNone/>
              <wp:docPr id="1539" name="Shape 1539"/>
              <wp:cNvGraphicFramePr/>
              <a:graphic xmlns:a="http://schemas.openxmlformats.org/drawingml/2006/main">
                <a:graphicData uri="http://schemas.microsoft.com/office/word/2010/wordprocessingShape">
                  <wps:wsp>
                    <wps:cNvSpPr txBox="1"/>
                    <wps:spPr>
                      <a:xfrm>
                        <a:off x="0" y="0"/>
                        <a:ext cx="3002280" cy="94615"/>
                      </a:xfrm>
                      <a:prstGeom prst="rect">
                        <a:avLst/>
                      </a:prstGeom>
                      <a:noFill/>
                    </wps:spPr>
                    <wps:txbx>
                      <w:txbxContent>
                        <w:p w14:paraId="2CE089F4" w14:textId="77777777" w:rsidR="00D03C17" w:rsidRDefault="00D03C17">
                          <w:pPr>
                            <w:pStyle w:val="Headerorfooter0"/>
                            <w:tabs>
                              <w:tab w:val="right" w:pos="4728"/>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POLIOMIELÌTICO, VIRUS, INFECCIONES</w:t>
                          </w:r>
                        </w:p>
                      </w:txbxContent>
                    </wps:txbx>
                    <wps:bodyPr lIns="0" tIns="0" rIns="0" bIns="0">
                      <a:spAutoFit/>
                    </wps:bodyPr>
                  </wps:wsp>
                </a:graphicData>
              </a:graphic>
            </wp:anchor>
          </w:drawing>
        </mc:Choice>
        <mc:Fallback>
          <w:pict>
            <v:shapetype w14:anchorId="036CB8A1" id="_x0000_t202" coordsize="21600,21600" o:spt="202" path="m,l,21600r21600,l21600,xe">
              <v:stroke joinstyle="miter"/>
              <v:path gradientshapeok="t" o:connecttype="rect"/>
            </v:shapetype>
            <v:shape id="Shape 1539" o:spid="_x0000_s1151" type="#_x0000_t202" style="position:absolute;margin-left:41.15pt;margin-top:22.95pt;width:236.4pt;height:7.45pt;z-index:-251355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" filled="f" stroked="f">
              <v:textbox style="mso-fit-shape-to-text:t" inset="0,0,0,0">
                <w:txbxContent>
                  <w:p w14:paraId="2CE089F4" w14:textId="77777777" w:rsidR="00D03C17" w:rsidRDefault="00D03C17">
                    <w:pPr>
                      <w:pStyle w:val="Headerorfooter0"/>
                      <w:tabs>
                        <w:tab w:val="right" w:pos="4728"/>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POLIOMIELÌTICO, VIRUS, INFECCIONES</w:t>
                    </w:r>
                  </w:p>
                </w:txbxContent>
              </v:textbox>
              <w10:wrap anchorx="page" anchory="page"/>
            </v:shape>
          </w:pict>
        </mc:Fallback>
      </mc:AlternateContent>
    </w:r>
    <w:r>
      <w:rPr>
        <w:noProof/>
      </w:rPr>
      <mc:AlternateContent>
        <mc:Choice Requires="wps">
          <w:drawing>
            <wp:anchor distT="0" distB="0" distL="114300" distR="114300" simplePos="0" relativeHeight="251760640" behindDoc="1" locked="0" layoutInCell="1" allowOverlap="1" wp14:anchorId="2A557D33" wp14:editId="2CB0CC65">
              <wp:simplePos x="0" y="0"/>
              <wp:positionH relativeFrom="page">
                <wp:posOffset>507365</wp:posOffset>
              </wp:positionH>
              <wp:positionV relativeFrom="page">
                <wp:posOffset>414655</wp:posOffset>
              </wp:positionV>
              <wp:extent cx="4358640" cy="0"/>
              <wp:effectExtent l="0" t="0" r="0" b="0"/>
              <wp:wrapNone/>
              <wp:docPr id="1541" name="Shape 1541"/>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7F53E03C" id="_x0000_t32" coordsize="21600,21600" o:spt="32" o:oned="t" path="m,l21600,21600e" filled="f">
              <v:path arrowok="t" fillok="f" o:connecttype="none"/>
              <o:lock v:ext="edit" shapetype="t"/>
            </v:shapetype>
            <v:shape id="Shape 1541" o:spid="_x0000_s1026" type="#_x0000_t32" style="position:absolute;margin-left:39.95pt;margin-top:32.65pt;width:343.2pt;height:0;z-index:-25155584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" strokeweight="1pt">
              <w10:wrap anchorx="page" anchory="page"/>
            </v:shape>
          </w:pict>
        </mc:Fallback>
      </mc:AlternateContent>
    </w:r>
  </w:p>
</w:hdr>
</file>

<file path=word/header1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B038F" w14:textId="77777777" w:rsidR="00D03C17" w:rsidRDefault="00D03C17">
    <w:pPr>
      <w:spacing w:line="1" w:lineRule="exact"/>
    </w:pPr>
    <w:r>
      <w:rPr>
        <w:noProof/>
      </w:rPr>
      <mc:AlternateContent>
        <mc:Choice Requires="wps">
          <w:drawing>
            <wp:anchor distT="0" distB="0" distL="0" distR="0" simplePos="0" relativeHeight="251960320" behindDoc="1" locked="0" layoutInCell="1" allowOverlap="1" wp14:anchorId="159E0161" wp14:editId="69A7B30A">
              <wp:simplePos x="0" y="0"/>
              <wp:positionH relativeFrom="page">
                <wp:posOffset>522605</wp:posOffset>
              </wp:positionH>
              <wp:positionV relativeFrom="page">
                <wp:posOffset>291465</wp:posOffset>
              </wp:positionV>
              <wp:extent cx="3002280" cy="94615"/>
              <wp:effectExtent l="0" t="0" r="0" b="0"/>
              <wp:wrapNone/>
              <wp:docPr id="1536" name="Shape 1536"/>
              <wp:cNvGraphicFramePr/>
              <a:graphic xmlns:a="http://schemas.openxmlformats.org/drawingml/2006/main">
                <a:graphicData uri="http://schemas.microsoft.com/office/word/2010/wordprocessingShape">
                  <wps:wsp>
                    <wps:cNvSpPr txBox="1"/>
                    <wps:spPr>
                      <a:xfrm>
                        <a:off x="0" y="0"/>
                        <a:ext cx="3002280" cy="94615"/>
                      </a:xfrm>
                      <a:prstGeom prst="rect">
                        <a:avLst/>
                      </a:prstGeom>
                      <a:noFill/>
                    </wps:spPr>
                    <wps:txbx>
                      <w:txbxContent>
                        <w:p w14:paraId="09B85071" w14:textId="77777777" w:rsidR="00D03C17" w:rsidRDefault="00D03C17">
                          <w:pPr>
                            <w:pStyle w:val="Headerorfooter0"/>
                            <w:tabs>
                              <w:tab w:val="right" w:pos="4728"/>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POLIOMIELÌTICO, VIRUS, INFECCIONES</w:t>
                          </w:r>
                        </w:p>
                      </w:txbxContent>
                    </wps:txbx>
                    <wps:bodyPr lIns="0" tIns="0" rIns="0" bIns="0">
                      <a:spAutoFit/>
                    </wps:bodyPr>
                  </wps:wsp>
                </a:graphicData>
              </a:graphic>
            </wp:anchor>
          </w:drawing>
        </mc:Choice>
        <mc:Fallback>
          <w:pict>
            <v:shapetype w14:anchorId="159E0161" id="_x0000_t202" coordsize="21600,21600" o:spt="202" path="m,l,21600r21600,l21600,xe">
              <v:stroke joinstyle="miter"/>
              <v:path gradientshapeok="t" o:connecttype="rect"/>
            </v:shapetype>
            <v:shape id="Shape 1536" o:spid="_x0000_s1152" type="#_x0000_t202" style="position:absolute;margin-left:41.15pt;margin-top:22.95pt;width:236.4pt;height:7.45pt;z-index:-251356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" filled="f" stroked="f">
              <v:textbox style="mso-fit-shape-to-text:t" inset="0,0,0,0">
                <w:txbxContent>
                  <w:p w14:paraId="09B85071" w14:textId="77777777" w:rsidR="00D03C17" w:rsidRDefault="00D03C17">
                    <w:pPr>
                      <w:pStyle w:val="Headerorfooter0"/>
                      <w:tabs>
                        <w:tab w:val="right" w:pos="4728"/>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POLIOMIELÌTICO, VIRUS, INFECCIONES</w:t>
                    </w:r>
                  </w:p>
                </w:txbxContent>
              </v:textbox>
              <w10:wrap anchorx="page" anchory="page"/>
            </v:shape>
          </w:pict>
        </mc:Fallback>
      </mc:AlternateContent>
    </w:r>
    <w:r>
      <w:rPr>
        <w:noProof/>
      </w:rPr>
      <mc:AlternateContent>
        <mc:Choice Requires="wps">
          <w:drawing>
            <wp:anchor distT="0" distB="0" distL="114300" distR="114300" simplePos="0" relativeHeight="251759616" behindDoc="1" locked="0" layoutInCell="1" allowOverlap="1" wp14:anchorId="618C6770" wp14:editId="6269279A">
              <wp:simplePos x="0" y="0"/>
              <wp:positionH relativeFrom="page">
                <wp:posOffset>507365</wp:posOffset>
              </wp:positionH>
              <wp:positionV relativeFrom="page">
                <wp:posOffset>414655</wp:posOffset>
              </wp:positionV>
              <wp:extent cx="4358640" cy="0"/>
              <wp:effectExtent l="0" t="0" r="0" b="0"/>
              <wp:wrapNone/>
              <wp:docPr id="1538" name="Shape 1538"/>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042224D6" id="_x0000_t32" coordsize="21600,21600" o:spt="32" o:oned="t" path="m,l21600,21600e" filled="f">
              <v:path arrowok="t" fillok="f" o:connecttype="none"/>
              <o:lock v:ext="edit" shapetype="t"/>
            </v:shapetype>
            <v:shape id="Shape 1538" o:spid="_x0000_s1026" type="#_x0000_t32" style="position:absolute;margin-left:39.95pt;margin-top:32.65pt;width:343.2pt;height:0;z-index:-25155686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" strokeweight="1pt">
              <w10:wrap anchorx="page" anchory="page"/>
            </v:shape>
          </w:pict>
        </mc:Fallback>
      </mc:AlternateContent>
    </w:r>
  </w:p>
</w:hdr>
</file>

<file path=word/header1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B02A5" w14:textId="77777777" w:rsidR="00D03C17" w:rsidRDefault="00D03C17">
    <w:pPr>
      <w:spacing w:line="1" w:lineRule="exact"/>
    </w:pPr>
    <w:r>
      <w:rPr>
        <w:noProof/>
      </w:rPr>
      <mc:AlternateContent>
        <mc:Choice Requires="wps">
          <w:drawing>
            <wp:anchor distT="0" distB="0" distL="0" distR="0" simplePos="0" relativeHeight="251962368" behindDoc="1" locked="0" layoutInCell="1" allowOverlap="1" wp14:anchorId="772118B5" wp14:editId="4BBDC8D2">
              <wp:simplePos x="0" y="0"/>
              <wp:positionH relativeFrom="page">
                <wp:posOffset>1850390</wp:posOffset>
              </wp:positionH>
              <wp:positionV relativeFrom="page">
                <wp:posOffset>291465</wp:posOffset>
              </wp:positionV>
              <wp:extent cx="2995930" cy="94615"/>
              <wp:effectExtent l="0" t="0" r="0" b="0"/>
              <wp:wrapNone/>
              <wp:docPr id="1542" name="Shape 1542"/>
              <wp:cNvGraphicFramePr/>
              <a:graphic xmlns:a="http://schemas.openxmlformats.org/drawingml/2006/main">
                <a:graphicData uri="http://schemas.microsoft.com/office/word/2010/wordprocessingShape">
                  <wps:wsp>
                    <wps:cNvSpPr txBox="1"/>
                    <wps:spPr>
                      <a:xfrm>
                        <a:off x="0" y="0"/>
                        <a:ext cx="2995930" cy="94615"/>
                      </a:xfrm>
                      <a:prstGeom prst="rect">
                        <a:avLst/>
                      </a:prstGeom>
                      <a:noFill/>
                    </wps:spPr>
                    <wps:txbx>
                      <w:txbxContent>
                        <w:p w14:paraId="3E9283E8" w14:textId="77777777" w:rsidR="00D03C17" w:rsidRDefault="00D03C17">
                          <w:pPr>
                            <w:pStyle w:val="Headerorfooter0"/>
                            <w:tabs>
                              <w:tab w:val="right" w:pos="4718"/>
                            </w:tabs>
                            <w:rPr>
                              <w:sz w:val="16"/>
                              <w:szCs w:val="16"/>
                            </w:rPr>
                          </w:pPr>
                          <w:r>
                            <w:rPr>
                              <w:smallCaps/>
                              <w:sz w:val="17"/>
                              <w:szCs w:val="17"/>
                            </w:rPr>
                            <w:t>poliomielìtico, virus, infecciones</w:t>
                          </w:r>
                          <w:r>
                            <w:rPr>
                              <w:smallCaps/>
                              <w:sz w:val="17"/>
                              <w:szCs w:val="17"/>
                            </w:rPr>
                            <w:tab/>
                          </w:r>
                          <w:r>
                            <w:fldChar w:fldCharType="begin"/>
                          </w:r>
                          <w:r>
                            <w:instrText xml:space="preserve"> PAGE \* MERGEFORMAT </w:instrText>
                          </w:r>
                          <w:r>
                            <w:fldChar w:fldCharType="separate"/>
                          </w:r>
                          <w:r>
                            <w:rPr>
                              <w:sz w:val="16"/>
                              <w:szCs w:val="16"/>
                            </w:rPr>
                            <w:t>#</w:t>
                          </w:r>
                          <w:r>
                            <w:rPr>
                              <w:sz w:val="16"/>
                              <w:szCs w:val="16"/>
                            </w:rPr>
                            <w:fldChar w:fldCharType="end"/>
                          </w:r>
                        </w:p>
                      </w:txbxContent>
                    </wps:txbx>
                    <wps:bodyPr lIns="0" tIns="0" rIns="0" bIns="0">
                      <a:spAutoFit/>
                    </wps:bodyPr>
                  </wps:wsp>
                </a:graphicData>
              </a:graphic>
            </wp:anchor>
          </w:drawing>
        </mc:Choice>
        <mc:Fallback>
          <w:pict>
            <v:shapetype w14:anchorId="772118B5" id="_x0000_t202" coordsize="21600,21600" o:spt="202" path="m,l,21600r21600,l21600,xe">
              <v:stroke joinstyle="miter"/>
              <v:path gradientshapeok="t" o:connecttype="rect"/>
            </v:shapetype>
            <v:shape id="Shape 1542" o:spid="_x0000_s1153" type="#_x0000_t202" style="position:absolute;margin-left:145.7pt;margin-top:22.95pt;width:235.9pt;height:7.45pt;z-index:-25135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" filled="f" stroked="f">
              <v:textbox style="mso-fit-shape-to-text:t" inset="0,0,0,0">
                <w:txbxContent>
                  <w:p w14:paraId="3E9283E8" w14:textId="77777777" w:rsidR="00D03C17" w:rsidRDefault="00D03C17">
                    <w:pPr>
                      <w:pStyle w:val="Headerorfooter0"/>
                      <w:tabs>
                        <w:tab w:val="right" w:pos="4718"/>
                      </w:tabs>
                      <w:rPr>
                        <w:sz w:val="16"/>
                        <w:szCs w:val="16"/>
                      </w:rPr>
                    </w:pPr>
                    <w:r>
                      <w:rPr>
                        <w:smallCaps/>
                        <w:sz w:val="17"/>
                        <w:szCs w:val="17"/>
                      </w:rPr>
                      <w:t>poliomielìtico, virus, infecciones</w:t>
                    </w:r>
                    <w:r>
                      <w:rPr>
                        <w:smallCaps/>
                        <w:sz w:val="17"/>
                        <w:szCs w:val="17"/>
                      </w:rPr>
                      <w:tab/>
                    </w:r>
                    <w:r>
                      <w:fldChar w:fldCharType="begin"/>
                    </w:r>
                    <w:r>
                      <w:instrText xml:space="preserve"> PAGE \* MERGEFORMAT </w:instrText>
                    </w:r>
                    <w:r>
                      <w:fldChar w:fldCharType="separate"/>
                    </w:r>
                    <w:r>
                      <w:rPr>
                        <w:sz w:val="16"/>
                        <w:szCs w:val="16"/>
                      </w:rPr>
                      <w:t>#</w:t>
                    </w:r>
                    <w:r>
                      <w:rPr>
                        <w:sz w:val="16"/>
                        <w:szCs w:val="1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761664" behindDoc="1" locked="0" layoutInCell="1" allowOverlap="1" wp14:anchorId="4ACDFDE0" wp14:editId="5B914F31">
              <wp:simplePos x="0" y="0"/>
              <wp:positionH relativeFrom="page">
                <wp:posOffset>509270</wp:posOffset>
              </wp:positionH>
              <wp:positionV relativeFrom="page">
                <wp:posOffset>414655</wp:posOffset>
              </wp:positionV>
              <wp:extent cx="4358640" cy="0"/>
              <wp:effectExtent l="0" t="0" r="0" b="0"/>
              <wp:wrapNone/>
              <wp:docPr id="1544" name="Shape 1544"/>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79D7FDF9" id="_x0000_t32" coordsize="21600,21600" o:spt="32" o:oned="t" path="m,l21600,21600e" filled="f">
              <v:path arrowok="t" fillok="f" o:connecttype="none"/>
              <o:lock v:ext="edit" shapetype="t"/>
            </v:shapetype>
            <v:shape id="Shape 1544" o:spid="_x0000_s1026" type="#_x0000_t32" style="position:absolute;margin-left:40.1pt;margin-top:32.65pt;width:343.2pt;height:0;z-index:-25155481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" strokeweight="1pt">
              <w10:wrap anchorx="page" anchory="page"/>
            </v:shape>
          </w:pict>
        </mc:Fallback>
      </mc:AlternateContent>
    </w:r>
  </w:p>
</w:hdr>
</file>

<file path=word/header1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B6D14" w14:textId="77777777" w:rsidR="00D03C17" w:rsidRDefault="00D03C17">
    <w:pPr>
      <w:spacing w:line="1" w:lineRule="exact"/>
    </w:pPr>
    <w:r>
      <w:rPr>
        <w:noProof/>
      </w:rPr>
      <mc:AlternateContent>
        <mc:Choice Requires="wps">
          <w:drawing>
            <wp:anchor distT="0" distB="0" distL="0" distR="0" simplePos="0" relativeHeight="251964416" behindDoc="1" locked="0" layoutInCell="1" allowOverlap="1" wp14:anchorId="7097FC51" wp14:editId="11B79063">
              <wp:simplePos x="0" y="0"/>
              <wp:positionH relativeFrom="page">
                <wp:posOffset>522605</wp:posOffset>
              </wp:positionH>
              <wp:positionV relativeFrom="page">
                <wp:posOffset>291465</wp:posOffset>
              </wp:positionV>
              <wp:extent cx="3002280" cy="94615"/>
              <wp:effectExtent l="0" t="0" r="0" b="0"/>
              <wp:wrapNone/>
              <wp:docPr id="1548" name="Shape 1548"/>
              <wp:cNvGraphicFramePr/>
              <a:graphic xmlns:a="http://schemas.openxmlformats.org/drawingml/2006/main">
                <a:graphicData uri="http://schemas.microsoft.com/office/word/2010/wordprocessingShape">
                  <wps:wsp>
                    <wps:cNvSpPr txBox="1"/>
                    <wps:spPr>
                      <a:xfrm>
                        <a:off x="0" y="0"/>
                        <a:ext cx="3002280" cy="94615"/>
                      </a:xfrm>
                      <a:prstGeom prst="rect">
                        <a:avLst/>
                      </a:prstGeom>
                      <a:noFill/>
                    </wps:spPr>
                    <wps:txbx>
                      <w:txbxContent>
                        <w:p w14:paraId="15413B8F" w14:textId="77777777" w:rsidR="00D03C17" w:rsidRDefault="00D03C17">
                          <w:pPr>
                            <w:pStyle w:val="Headerorfooter0"/>
                            <w:tabs>
                              <w:tab w:val="right" w:pos="4728"/>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POLIOMIELÌTICO, VIRUS, INFECCIONES</w:t>
                          </w:r>
                        </w:p>
                      </w:txbxContent>
                    </wps:txbx>
                    <wps:bodyPr lIns="0" tIns="0" rIns="0" bIns="0">
                      <a:spAutoFit/>
                    </wps:bodyPr>
                  </wps:wsp>
                </a:graphicData>
              </a:graphic>
            </wp:anchor>
          </w:drawing>
        </mc:Choice>
        <mc:Fallback>
          <w:pict>
            <v:shapetype w14:anchorId="7097FC51" id="_x0000_t202" coordsize="21600,21600" o:spt="202" path="m,l,21600r21600,l21600,xe">
              <v:stroke joinstyle="miter"/>
              <v:path gradientshapeok="t" o:connecttype="rect"/>
            </v:shapetype>
            <v:shape id="Shape 1548" o:spid="_x0000_s1154" type="#_x0000_t202" style="position:absolute;margin-left:41.15pt;margin-top:22.95pt;width:236.4pt;height:7.45pt;z-index:-251352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" filled="f" stroked="f">
              <v:textbox style="mso-fit-shape-to-text:t" inset="0,0,0,0">
                <w:txbxContent>
                  <w:p w14:paraId="15413B8F" w14:textId="77777777" w:rsidR="00D03C17" w:rsidRDefault="00D03C17">
                    <w:pPr>
                      <w:pStyle w:val="Headerorfooter0"/>
                      <w:tabs>
                        <w:tab w:val="right" w:pos="4728"/>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POLIOMIELÌTICO, VIRUS, INFECCIONES</w:t>
                    </w:r>
                  </w:p>
                </w:txbxContent>
              </v:textbox>
              <w10:wrap anchorx="page" anchory="page"/>
            </v:shape>
          </w:pict>
        </mc:Fallback>
      </mc:AlternateContent>
    </w:r>
    <w:r>
      <w:rPr>
        <w:noProof/>
      </w:rPr>
      <mc:AlternateContent>
        <mc:Choice Requires="wps">
          <w:drawing>
            <wp:anchor distT="0" distB="0" distL="114300" distR="114300" simplePos="0" relativeHeight="251763712" behindDoc="1" locked="0" layoutInCell="1" allowOverlap="1" wp14:anchorId="4A2ADB3D" wp14:editId="6929929E">
              <wp:simplePos x="0" y="0"/>
              <wp:positionH relativeFrom="page">
                <wp:posOffset>507365</wp:posOffset>
              </wp:positionH>
              <wp:positionV relativeFrom="page">
                <wp:posOffset>414655</wp:posOffset>
              </wp:positionV>
              <wp:extent cx="4358640" cy="0"/>
              <wp:effectExtent l="0" t="0" r="0" b="0"/>
              <wp:wrapNone/>
              <wp:docPr id="1550" name="Shape 1550"/>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0DF0B684" id="_x0000_t32" coordsize="21600,21600" o:spt="32" o:oned="t" path="m,l21600,21600e" filled="f">
              <v:path arrowok="t" fillok="f" o:connecttype="none"/>
              <o:lock v:ext="edit" shapetype="t"/>
            </v:shapetype>
            <v:shape id="Shape 1550" o:spid="_x0000_s1026" type="#_x0000_t32" style="position:absolute;margin-left:39.95pt;margin-top:32.65pt;width:343.2pt;height:0;z-index:-25155276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" strokeweight="1pt">
              <w10:wrap anchorx="page" anchory="page"/>
            </v:shape>
          </w:pict>
        </mc:Fallback>
      </mc:AlternateContent>
    </w:r>
  </w:p>
</w:hdr>
</file>

<file path=word/header1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40B5C" w14:textId="77777777" w:rsidR="00D03C17" w:rsidRDefault="00D03C17">
    <w:pPr>
      <w:spacing w:line="1" w:lineRule="exact"/>
    </w:pPr>
    <w:r>
      <w:rPr>
        <w:noProof/>
      </w:rPr>
      <mc:AlternateContent>
        <mc:Choice Requires="wps">
          <w:drawing>
            <wp:anchor distT="0" distB="0" distL="0" distR="0" simplePos="0" relativeHeight="251963392" behindDoc="1" locked="0" layoutInCell="1" allowOverlap="1" wp14:anchorId="7AEAA0F8" wp14:editId="162E47AD">
              <wp:simplePos x="0" y="0"/>
              <wp:positionH relativeFrom="page">
                <wp:posOffset>1859280</wp:posOffset>
              </wp:positionH>
              <wp:positionV relativeFrom="page">
                <wp:posOffset>291465</wp:posOffset>
              </wp:positionV>
              <wp:extent cx="2995930" cy="94615"/>
              <wp:effectExtent l="0" t="0" r="0" b="0"/>
              <wp:wrapNone/>
              <wp:docPr id="1545" name="Shape 1545"/>
              <wp:cNvGraphicFramePr/>
              <a:graphic xmlns:a="http://schemas.openxmlformats.org/drawingml/2006/main">
                <a:graphicData uri="http://schemas.microsoft.com/office/word/2010/wordprocessingShape">
                  <wps:wsp>
                    <wps:cNvSpPr txBox="1"/>
                    <wps:spPr>
                      <a:xfrm>
                        <a:off x="0" y="0"/>
                        <a:ext cx="2995930" cy="94615"/>
                      </a:xfrm>
                      <a:prstGeom prst="rect">
                        <a:avLst/>
                      </a:prstGeom>
                      <a:noFill/>
                    </wps:spPr>
                    <wps:txbx>
                      <w:txbxContent>
                        <w:p w14:paraId="6529B787" w14:textId="77777777" w:rsidR="00D03C17" w:rsidRDefault="00D03C17">
                          <w:pPr>
                            <w:pStyle w:val="Headerorfooter0"/>
                            <w:tabs>
                              <w:tab w:val="right" w:pos="4718"/>
                            </w:tabs>
                            <w:rPr>
                              <w:sz w:val="16"/>
                              <w:szCs w:val="16"/>
                            </w:rPr>
                          </w:pPr>
                          <w:r>
                            <w:rPr>
                              <w:smallCaps/>
                              <w:sz w:val="17"/>
                              <w:szCs w:val="17"/>
                            </w:rPr>
                            <w:t>poliomielìtico, virus, infecciones</w:t>
                          </w:r>
                          <w:r>
                            <w:rPr>
                              <w:smallCaps/>
                              <w:sz w:val="17"/>
                              <w:szCs w:val="17"/>
                            </w:rPr>
                            <w:tab/>
                          </w:r>
                          <w:r>
                            <w:fldChar w:fldCharType="begin"/>
                          </w:r>
                          <w:r>
                            <w:instrText xml:space="preserve"> PAGE \* MERGEFORMAT </w:instrText>
                          </w:r>
                          <w:r>
                            <w:fldChar w:fldCharType="separate"/>
                          </w:r>
                          <w:r>
                            <w:rPr>
                              <w:sz w:val="16"/>
                              <w:szCs w:val="16"/>
                            </w:rPr>
                            <w:t>#</w:t>
                          </w:r>
                          <w:r>
                            <w:rPr>
                              <w:sz w:val="16"/>
                              <w:szCs w:val="16"/>
                            </w:rPr>
                            <w:fldChar w:fldCharType="end"/>
                          </w:r>
                        </w:p>
                      </w:txbxContent>
                    </wps:txbx>
                    <wps:bodyPr lIns="0" tIns="0" rIns="0" bIns="0">
                      <a:spAutoFit/>
                    </wps:bodyPr>
                  </wps:wsp>
                </a:graphicData>
              </a:graphic>
            </wp:anchor>
          </w:drawing>
        </mc:Choice>
        <mc:Fallback>
          <w:pict>
            <v:shapetype w14:anchorId="7AEAA0F8" id="_x0000_t202" coordsize="21600,21600" o:spt="202" path="m,l,21600r21600,l21600,xe">
              <v:stroke joinstyle="miter"/>
              <v:path gradientshapeok="t" o:connecttype="rect"/>
            </v:shapetype>
            <v:shape id="Shape 1545" o:spid="_x0000_s1155" type="#_x0000_t202" style="position:absolute;margin-left:146.4pt;margin-top:22.95pt;width:235.9pt;height:7.45pt;z-index:-251353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" filled="f" stroked="f">
              <v:textbox style="mso-fit-shape-to-text:t" inset="0,0,0,0">
                <w:txbxContent>
                  <w:p w14:paraId="6529B787" w14:textId="77777777" w:rsidR="00D03C17" w:rsidRDefault="00D03C17">
                    <w:pPr>
                      <w:pStyle w:val="Headerorfooter0"/>
                      <w:tabs>
                        <w:tab w:val="right" w:pos="4718"/>
                      </w:tabs>
                      <w:rPr>
                        <w:sz w:val="16"/>
                        <w:szCs w:val="16"/>
                      </w:rPr>
                    </w:pPr>
                    <w:r>
                      <w:rPr>
                        <w:smallCaps/>
                        <w:sz w:val="17"/>
                        <w:szCs w:val="17"/>
                      </w:rPr>
                      <w:t>poliomielìtico, virus, infecciones</w:t>
                    </w:r>
                    <w:r>
                      <w:rPr>
                        <w:smallCaps/>
                        <w:sz w:val="17"/>
                        <w:szCs w:val="17"/>
                      </w:rPr>
                      <w:tab/>
                    </w:r>
                    <w:r>
                      <w:fldChar w:fldCharType="begin"/>
                    </w:r>
                    <w:r>
                      <w:instrText xml:space="preserve"> PAGE \* MERGEFORMAT </w:instrText>
                    </w:r>
                    <w:r>
                      <w:fldChar w:fldCharType="separate"/>
                    </w:r>
                    <w:r>
                      <w:rPr>
                        <w:sz w:val="16"/>
                        <w:szCs w:val="16"/>
                      </w:rPr>
                      <w:t>#</w:t>
                    </w:r>
                    <w:r>
                      <w:rPr>
                        <w:sz w:val="16"/>
                        <w:szCs w:val="1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762688" behindDoc="1" locked="0" layoutInCell="1" allowOverlap="1" wp14:anchorId="08807BD0" wp14:editId="441A845F">
              <wp:simplePos x="0" y="0"/>
              <wp:positionH relativeFrom="page">
                <wp:posOffset>518160</wp:posOffset>
              </wp:positionH>
              <wp:positionV relativeFrom="page">
                <wp:posOffset>414655</wp:posOffset>
              </wp:positionV>
              <wp:extent cx="4358640" cy="0"/>
              <wp:effectExtent l="0" t="0" r="0" b="0"/>
              <wp:wrapNone/>
              <wp:docPr id="1547" name="Shape 1547"/>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57CB665A" id="_x0000_t32" coordsize="21600,21600" o:spt="32" o:oned="t" path="m,l21600,21600e" filled="f">
              <v:path arrowok="t" fillok="f" o:connecttype="none"/>
              <o:lock v:ext="edit" shapetype="t"/>
            </v:shapetype>
            <v:shape id="Shape 1547" o:spid="_x0000_s1026" type="#_x0000_t32" style="position:absolute;margin-left:40.8pt;margin-top:32.65pt;width:343.2pt;height:0;z-index:-25155379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" strokeweight="1pt">
              <w10:wrap anchorx="page" anchory="page"/>
            </v:shape>
          </w:pict>
        </mc:Fallback>
      </mc:AlternateContent>
    </w:r>
  </w:p>
</w:hdr>
</file>

<file path=word/header1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FE136" w14:textId="77777777" w:rsidR="00D03C17" w:rsidRDefault="00D03C17">
    <w:pPr>
      <w:spacing w:line="1" w:lineRule="exact"/>
    </w:pPr>
    <w:r>
      <w:rPr>
        <w:noProof/>
      </w:rPr>
      <mc:AlternateContent>
        <mc:Choice Requires="wps">
          <w:drawing>
            <wp:anchor distT="0" distB="0" distL="0" distR="0" simplePos="0" relativeHeight="251966464" behindDoc="1" locked="0" layoutInCell="1" allowOverlap="1" wp14:anchorId="485517FD" wp14:editId="038618D5">
              <wp:simplePos x="0" y="0"/>
              <wp:positionH relativeFrom="page">
                <wp:posOffset>513715</wp:posOffset>
              </wp:positionH>
              <wp:positionV relativeFrom="page">
                <wp:posOffset>291465</wp:posOffset>
              </wp:positionV>
              <wp:extent cx="3328670" cy="94615"/>
              <wp:effectExtent l="0" t="0" r="0" b="0"/>
              <wp:wrapNone/>
              <wp:docPr id="1554" name="Shape 1554"/>
              <wp:cNvGraphicFramePr/>
              <a:graphic xmlns:a="http://schemas.openxmlformats.org/drawingml/2006/main">
                <a:graphicData uri="http://schemas.microsoft.com/office/word/2010/wordprocessingShape">
                  <wps:wsp>
                    <wps:cNvSpPr txBox="1"/>
                    <wps:spPr>
                      <a:xfrm>
                        <a:off x="0" y="0"/>
                        <a:ext cx="3328670" cy="94615"/>
                      </a:xfrm>
                      <a:prstGeom prst="rect">
                        <a:avLst/>
                      </a:prstGeom>
                      <a:noFill/>
                    </wps:spPr>
                    <wps:txbx>
                      <w:txbxContent>
                        <w:p w14:paraId="2331AC54" w14:textId="77777777" w:rsidR="00D03C17" w:rsidRDefault="00D03C17">
                          <w:pPr>
                            <w:pStyle w:val="Headerorfooter0"/>
                            <w:tabs>
                              <w:tab w:val="right" w:pos="5242"/>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TRANSMISIBLES, ENCEFALOPATÍAS ESPONGIFORMES</w:t>
                          </w:r>
                        </w:p>
                      </w:txbxContent>
                    </wps:txbx>
                    <wps:bodyPr lIns="0" tIns="0" rIns="0" bIns="0">
                      <a:spAutoFit/>
                    </wps:bodyPr>
                  </wps:wsp>
                </a:graphicData>
              </a:graphic>
            </wp:anchor>
          </w:drawing>
        </mc:Choice>
        <mc:Fallback>
          <w:pict>
            <v:shapetype w14:anchorId="485517FD" id="_x0000_t202" coordsize="21600,21600" o:spt="202" path="m,l,21600r21600,l21600,xe">
              <v:stroke joinstyle="miter"/>
              <v:path gradientshapeok="t" o:connecttype="rect"/>
            </v:shapetype>
            <v:shape id="Shape 1554" o:spid="_x0000_s1156" type="#_x0000_t202" style="position:absolute;margin-left:40.45pt;margin-top:22.95pt;width:262.1pt;height:7.45pt;z-index:-251350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" filled="f" stroked="f">
              <v:textbox style="mso-fit-shape-to-text:t" inset="0,0,0,0">
                <w:txbxContent>
                  <w:p w14:paraId="2331AC54" w14:textId="77777777" w:rsidR="00D03C17" w:rsidRDefault="00D03C17">
                    <w:pPr>
                      <w:pStyle w:val="Headerorfooter0"/>
                      <w:tabs>
                        <w:tab w:val="right" w:pos="5242"/>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TRANSMISIBLES, ENCEFALOPATÍAS ESPONGIFORMES</w:t>
                    </w:r>
                  </w:p>
                </w:txbxContent>
              </v:textbox>
              <w10:wrap anchorx="page" anchory="page"/>
            </v:shape>
          </w:pict>
        </mc:Fallback>
      </mc:AlternateContent>
    </w:r>
    <w:r>
      <w:rPr>
        <w:noProof/>
      </w:rPr>
      <mc:AlternateContent>
        <mc:Choice Requires="wps">
          <w:drawing>
            <wp:anchor distT="0" distB="0" distL="114300" distR="114300" simplePos="0" relativeHeight="251765760" behindDoc="1" locked="0" layoutInCell="1" allowOverlap="1" wp14:anchorId="4A7367A3" wp14:editId="485BC443">
              <wp:simplePos x="0" y="0"/>
              <wp:positionH relativeFrom="page">
                <wp:posOffset>498475</wp:posOffset>
              </wp:positionH>
              <wp:positionV relativeFrom="page">
                <wp:posOffset>414655</wp:posOffset>
              </wp:positionV>
              <wp:extent cx="4358640" cy="0"/>
              <wp:effectExtent l="0" t="0" r="0" b="0"/>
              <wp:wrapNone/>
              <wp:docPr id="1556" name="Shape 1556"/>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68EF1405" id="_x0000_t32" coordsize="21600,21600" o:spt="32" o:oned="t" path="m,l21600,21600e" filled="f">
              <v:path arrowok="t" fillok="f" o:connecttype="none"/>
              <o:lock v:ext="edit" shapetype="t"/>
            </v:shapetype>
            <v:shape id="Shape 1556" o:spid="_x0000_s1026" type="#_x0000_t32" style="position:absolute;margin-left:39.25pt;margin-top:32.65pt;width:343.2pt;height:0;z-index:-25155072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" strokeweight="1pt">
              <w10:wrap anchorx="page" anchory="page"/>
            </v:shape>
          </w:pict>
        </mc:Fallback>
      </mc:AlternateContent>
    </w:r>
  </w:p>
</w:hdr>
</file>

<file path=word/header1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38D05" w14:textId="77777777" w:rsidR="00D03C17" w:rsidRDefault="00D03C17">
    <w:pPr>
      <w:spacing w:line="1" w:lineRule="exact"/>
    </w:pPr>
    <w:r>
      <w:rPr>
        <w:noProof/>
      </w:rPr>
      <mc:AlternateContent>
        <mc:Choice Requires="wps">
          <w:drawing>
            <wp:anchor distT="0" distB="0" distL="0" distR="0" simplePos="0" relativeHeight="251965440" behindDoc="1" locked="0" layoutInCell="1" allowOverlap="1" wp14:anchorId="03851556" wp14:editId="2390334D">
              <wp:simplePos x="0" y="0"/>
              <wp:positionH relativeFrom="page">
                <wp:posOffset>513715</wp:posOffset>
              </wp:positionH>
              <wp:positionV relativeFrom="page">
                <wp:posOffset>291465</wp:posOffset>
              </wp:positionV>
              <wp:extent cx="3328670" cy="94615"/>
              <wp:effectExtent l="0" t="0" r="0" b="0"/>
              <wp:wrapNone/>
              <wp:docPr id="1551" name="Shape 1551"/>
              <wp:cNvGraphicFramePr/>
              <a:graphic xmlns:a="http://schemas.openxmlformats.org/drawingml/2006/main">
                <a:graphicData uri="http://schemas.microsoft.com/office/word/2010/wordprocessingShape">
                  <wps:wsp>
                    <wps:cNvSpPr txBox="1"/>
                    <wps:spPr>
                      <a:xfrm>
                        <a:off x="0" y="0"/>
                        <a:ext cx="3328670" cy="94615"/>
                      </a:xfrm>
                      <a:prstGeom prst="rect">
                        <a:avLst/>
                      </a:prstGeom>
                      <a:noFill/>
                    </wps:spPr>
                    <wps:txbx>
                      <w:txbxContent>
                        <w:p w14:paraId="598A2C89" w14:textId="77777777" w:rsidR="00D03C17" w:rsidRDefault="00D03C17">
                          <w:pPr>
                            <w:pStyle w:val="Headerorfooter0"/>
                            <w:tabs>
                              <w:tab w:val="right" w:pos="5242"/>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TRANSMISIBLES, ENCEFALOPATÍAS ESPONGIFORMES</w:t>
                          </w:r>
                        </w:p>
                      </w:txbxContent>
                    </wps:txbx>
                    <wps:bodyPr lIns="0" tIns="0" rIns="0" bIns="0">
                      <a:spAutoFit/>
                    </wps:bodyPr>
                  </wps:wsp>
                </a:graphicData>
              </a:graphic>
            </wp:anchor>
          </w:drawing>
        </mc:Choice>
        <mc:Fallback>
          <w:pict>
            <v:shapetype w14:anchorId="03851556" id="_x0000_t202" coordsize="21600,21600" o:spt="202" path="m,l,21600r21600,l21600,xe">
              <v:stroke joinstyle="miter"/>
              <v:path gradientshapeok="t" o:connecttype="rect"/>
            </v:shapetype>
            <v:shape id="Shape 1551" o:spid="_x0000_s1157" type="#_x0000_t202" style="position:absolute;margin-left:40.45pt;margin-top:22.95pt;width:262.1pt;height:7.45pt;z-index:-251351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" filled="f" stroked="f">
              <v:textbox style="mso-fit-shape-to-text:t" inset="0,0,0,0">
                <w:txbxContent>
                  <w:p w14:paraId="598A2C89" w14:textId="77777777" w:rsidR="00D03C17" w:rsidRDefault="00D03C17">
                    <w:pPr>
                      <w:pStyle w:val="Headerorfooter0"/>
                      <w:tabs>
                        <w:tab w:val="right" w:pos="5242"/>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TRANSMISIBLES, ENCEFALOPATÍAS ESPONGIFORMES</w:t>
                    </w:r>
                  </w:p>
                </w:txbxContent>
              </v:textbox>
              <w10:wrap anchorx="page" anchory="page"/>
            </v:shape>
          </w:pict>
        </mc:Fallback>
      </mc:AlternateContent>
    </w:r>
    <w:r>
      <w:rPr>
        <w:noProof/>
      </w:rPr>
      <mc:AlternateContent>
        <mc:Choice Requires="wps">
          <w:drawing>
            <wp:anchor distT="0" distB="0" distL="114300" distR="114300" simplePos="0" relativeHeight="251764736" behindDoc="1" locked="0" layoutInCell="1" allowOverlap="1" wp14:anchorId="6E0CC725" wp14:editId="7B40BCCA">
              <wp:simplePos x="0" y="0"/>
              <wp:positionH relativeFrom="page">
                <wp:posOffset>498475</wp:posOffset>
              </wp:positionH>
              <wp:positionV relativeFrom="page">
                <wp:posOffset>414655</wp:posOffset>
              </wp:positionV>
              <wp:extent cx="4358640" cy="0"/>
              <wp:effectExtent l="0" t="0" r="0" b="0"/>
              <wp:wrapNone/>
              <wp:docPr id="1553" name="Shape 1553"/>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79D66F93" id="_x0000_t32" coordsize="21600,21600" o:spt="32" o:oned="t" path="m,l21600,21600e" filled="f">
              <v:path arrowok="t" fillok="f" o:connecttype="none"/>
              <o:lock v:ext="edit" shapetype="t"/>
            </v:shapetype>
            <v:shape id="Shape 1553" o:spid="_x0000_s1026" type="#_x0000_t32" style="position:absolute;margin-left:39.25pt;margin-top:32.65pt;width:343.2pt;height:0;z-index:-25155174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" strokeweight="1pt">
              <w10:wrap anchorx="page" anchory="page"/>
            </v:shape>
          </w:pict>
        </mc:Fallback>
      </mc:AlternateContent>
    </w:r>
  </w:p>
</w:hdr>
</file>

<file path=word/header1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7F626" w14:textId="77777777" w:rsidR="00D03C17" w:rsidRDefault="00D03C17">
    <w:pPr>
      <w:spacing w:line="1" w:lineRule="exact"/>
    </w:pPr>
    <w:r>
      <w:rPr>
        <w:noProof/>
      </w:rPr>
      <mc:AlternateContent>
        <mc:Choice Requires="wps">
          <w:drawing>
            <wp:anchor distT="0" distB="0" distL="0" distR="0" simplePos="0" relativeHeight="251967488" behindDoc="1" locked="0" layoutInCell="1" allowOverlap="1" wp14:anchorId="7D979661" wp14:editId="3B70F0F6">
              <wp:simplePos x="0" y="0"/>
              <wp:positionH relativeFrom="page">
                <wp:posOffset>1851660</wp:posOffset>
              </wp:positionH>
              <wp:positionV relativeFrom="page">
                <wp:posOffset>291465</wp:posOffset>
              </wp:positionV>
              <wp:extent cx="2995930" cy="94615"/>
              <wp:effectExtent l="0" t="0" r="0" b="0"/>
              <wp:wrapNone/>
              <wp:docPr id="1557" name="Shape 1557"/>
              <wp:cNvGraphicFramePr/>
              <a:graphic xmlns:a="http://schemas.openxmlformats.org/drawingml/2006/main">
                <a:graphicData uri="http://schemas.microsoft.com/office/word/2010/wordprocessingShape">
                  <wps:wsp>
                    <wps:cNvSpPr txBox="1"/>
                    <wps:spPr>
                      <a:xfrm>
                        <a:off x="0" y="0"/>
                        <a:ext cx="2995930" cy="94615"/>
                      </a:xfrm>
                      <a:prstGeom prst="rect">
                        <a:avLst/>
                      </a:prstGeom>
                      <a:noFill/>
                    </wps:spPr>
                    <wps:txbx>
                      <w:txbxContent>
                        <w:p w14:paraId="0F1E95C9" w14:textId="77777777" w:rsidR="00D03C17" w:rsidRDefault="00D03C17">
                          <w:pPr>
                            <w:pStyle w:val="Headerorfooter0"/>
                            <w:tabs>
                              <w:tab w:val="right" w:pos="4718"/>
                            </w:tabs>
                            <w:rPr>
                              <w:sz w:val="16"/>
                              <w:szCs w:val="16"/>
                            </w:rPr>
                          </w:pPr>
                          <w:r>
                            <w:t>POLIOMIELÍTICO, VIRUS, INFECCIONES</w:t>
                          </w:r>
                          <w:r>
                            <w:tab/>
                          </w:r>
                          <w:r>
                            <w:fldChar w:fldCharType="begin"/>
                          </w:r>
                          <w:r>
                            <w:instrText xml:space="preserve"> PAGE \* MERGEFORMAT </w:instrText>
                          </w:r>
                          <w:r>
                            <w:fldChar w:fldCharType="separate"/>
                          </w:r>
                          <w:r>
                            <w:rPr>
                              <w:sz w:val="16"/>
                              <w:szCs w:val="16"/>
                            </w:rPr>
                            <w:t>#</w:t>
                          </w:r>
                          <w:r>
                            <w:rPr>
                              <w:sz w:val="16"/>
                              <w:szCs w:val="16"/>
                            </w:rPr>
                            <w:fldChar w:fldCharType="end"/>
                          </w:r>
                        </w:p>
                      </w:txbxContent>
                    </wps:txbx>
                    <wps:bodyPr lIns="0" tIns="0" rIns="0" bIns="0">
                      <a:spAutoFit/>
                    </wps:bodyPr>
                  </wps:wsp>
                </a:graphicData>
              </a:graphic>
            </wp:anchor>
          </w:drawing>
        </mc:Choice>
        <mc:Fallback>
          <w:pict>
            <v:shapetype w14:anchorId="7D979661" id="_x0000_t202" coordsize="21600,21600" o:spt="202" path="m,l,21600r21600,l21600,xe">
              <v:stroke joinstyle="miter"/>
              <v:path gradientshapeok="t" o:connecttype="rect"/>
            </v:shapetype>
            <v:shape id="Shape 1557" o:spid="_x0000_s1158" type="#_x0000_t202" style="position:absolute;margin-left:145.8pt;margin-top:22.95pt;width:235.9pt;height:7.45pt;z-index:-25134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" filled="f" stroked="f">
              <v:textbox style="mso-fit-shape-to-text:t" inset="0,0,0,0">
                <w:txbxContent>
                  <w:p w14:paraId="0F1E95C9" w14:textId="77777777" w:rsidR="00D03C17" w:rsidRDefault="00D03C17">
                    <w:pPr>
                      <w:pStyle w:val="Headerorfooter0"/>
                      <w:tabs>
                        <w:tab w:val="right" w:pos="4718"/>
                      </w:tabs>
                      <w:rPr>
                        <w:sz w:val="16"/>
                        <w:szCs w:val="16"/>
                      </w:rPr>
                    </w:pPr>
                    <w:r>
                      <w:t>POLIOMIELÍTICO, VIRUS, INFECCIONES</w:t>
                    </w:r>
                    <w:r>
                      <w:tab/>
                    </w:r>
                    <w:r>
                      <w:fldChar w:fldCharType="begin"/>
                    </w:r>
                    <w:r>
                      <w:instrText xml:space="preserve"> PAGE \* MERGEFORMAT </w:instrText>
                    </w:r>
                    <w:r>
                      <w:fldChar w:fldCharType="separate"/>
                    </w:r>
                    <w:r>
                      <w:rPr>
                        <w:sz w:val="16"/>
                        <w:szCs w:val="16"/>
                      </w:rPr>
                      <w:t>#</w:t>
                    </w:r>
                    <w:r>
                      <w:rPr>
                        <w:sz w:val="16"/>
                        <w:szCs w:val="1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766784" behindDoc="1" locked="0" layoutInCell="1" allowOverlap="1" wp14:anchorId="76D8F298" wp14:editId="7BDF9A44">
              <wp:simplePos x="0" y="0"/>
              <wp:positionH relativeFrom="page">
                <wp:posOffset>510540</wp:posOffset>
              </wp:positionH>
              <wp:positionV relativeFrom="page">
                <wp:posOffset>414655</wp:posOffset>
              </wp:positionV>
              <wp:extent cx="4358640" cy="0"/>
              <wp:effectExtent l="0" t="0" r="0" b="0"/>
              <wp:wrapNone/>
              <wp:docPr id="1559" name="Shape 1559"/>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52B0AEC2" id="_x0000_t32" coordsize="21600,21600" o:spt="32" o:oned="t" path="m,l21600,21600e" filled="f">
              <v:path arrowok="t" fillok="f" o:connecttype="none"/>
              <o:lock v:ext="edit" shapetype="t"/>
            </v:shapetype>
            <v:shape id="Shape 1559" o:spid="_x0000_s1026" type="#_x0000_t32" style="position:absolute;margin-left:40.2pt;margin-top:32.65pt;width:343.2pt;height:0;z-index:-25154969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" strokeweight="1pt">
              <w10:wrap anchorx="page" anchory="page"/>
            </v:shape>
          </w:pict>
        </mc:Fallback>
      </mc:AlternateContent>
    </w:r>
  </w:p>
</w:hdr>
</file>

<file path=word/header1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2D384" w14:textId="77777777" w:rsidR="00D03C17" w:rsidRDefault="00D03C17">
    <w:pPr>
      <w:spacing w:line="1" w:lineRule="exact"/>
    </w:pPr>
    <w:r>
      <w:rPr>
        <w:noProof/>
      </w:rPr>
      <mc:AlternateContent>
        <mc:Choice Requires="wps">
          <w:drawing>
            <wp:anchor distT="0" distB="0" distL="0" distR="0" simplePos="0" relativeHeight="251970560" behindDoc="1" locked="0" layoutInCell="1" allowOverlap="1" wp14:anchorId="4C2E1604" wp14:editId="1F0F8646">
              <wp:simplePos x="0" y="0"/>
              <wp:positionH relativeFrom="page">
                <wp:posOffset>1731010</wp:posOffset>
              </wp:positionH>
              <wp:positionV relativeFrom="page">
                <wp:posOffset>295910</wp:posOffset>
              </wp:positionV>
              <wp:extent cx="3313430" cy="94615"/>
              <wp:effectExtent l="0" t="0" r="0" b="0"/>
              <wp:wrapNone/>
              <wp:docPr id="1565" name="Shape 1565"/>
              <wp:cNvGraphicFramePr/>
              <a:graphic xmlns:a="http://schemas.openxmlformats.org/drawingml/2006/main">
                <a:graphicData uri="http://schemas.microsoft.com/office/word/2010/wordprocessingShape">
                  <wps:wsp>
                    <wps:cNvSpPr txBox="1"/>
                    <wps:spPr>
                      <a:xfrm>
                        <a:off x="0" y="0"/>
                        <a:ext cx="3313430" cy="94615"/>
                      </a:xfrm>
                      <a:prstGeom prst="rect">
                        <a:avLst/>
                      </a:prstGeom>
                      <a:noFill/>
                    </wps:spPr>
                    <wps:txbx>
                      <w:txbxContent>
                        <w:p w14:paraId="74FD685D" w14:textId="77777777" w:rsidR="00D03C17" w:rsidRDefault="00D03C17">
                          <w:pPr>
                            <w:pStyle w:val="Headerorfooter0"/>
                            <w:tabs>
                              <w:tab w:val="right" w:pos="5218"/>
                            </w:tabs>
                            <w:rPr>
                              <w:sz w:val="16"/>
                              <w:szCs w:val="16"/>
                            </w:rPr>
                          </w:pPr>
                          <w:r>
                            <w:t>TRANSMISIBLES, ENCEFALOPATÍAS ESPONGIFORMES</w:t>
                          </w:r>
                          <w:r>
                            <w:tab/>
                          </w:r>
                          <w:r>
                            <w:fldChar w:fldCharType="begin"/>
                          </w:r>
                          <w:r>
                            <w:instrText xml:space="preserve"> PAGE \* MERGEFORMAT </w:instrText>
                          </w:r>
                          <w:r>
                            <w:fldChar w:fldCharType="separate"/>
                          </w:r>
                          <w:r>
                            <w:rPr>
                              <w:sz w:val="16"/>
                              <w:szCs w:val="16"/>
                            </w:rPr>
                            <w:t>#</w:t>
                          </w:r>
                          <w:r>
                            <w:rPr>
                              <w:sz w:val="16"/>
                              <w:szCs w:val="16"/>
                            </w:rPr>
                            <w:fldChar w:fldCharType="end"/>
                          </w:r>
                        </w:p>
                      </w:txbxContent>
                    </wps:txbx>
                    <wps:bodyPr lIns="0" tIns="0" rIns="0" bIns="0">
                      <a:spAutoFit/>
                    </wps:bodyPr>
                  </wps:wsp>
                </a:graphicData>
              </a:graphic>
            </wp:anchor>
          </w:drawing>
        </mc:Choice>
        <mc:Fallback>
          <w:pict>
            <v:shapetype w14:anchorId="4C2E1604" id="_x0000_t202" coordsize="21600,21600" o:spt="202" path="m,l,21600r21600,l21600,xe">
              <v:stroke joinstyle="miter"/>
              <v:path gradientshapeok="t" o:connecttype="rect"/>
            </v:shapetype>
            <v:shape id="Shape 1565" o:spid="_x0000_s1159" type="#_x0000_t202" style="position:absolute;margin-left:136.3pt;margin-top:23.3pt;width:260.9pt;height:7.45pt;z-index:-251345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" filled="f" stroked="f">
              <v:textbox style="mso-fit-shape-to-text:t" inset="0,0,0,0">
                <w:txbxContent>
                  <w:p w14:paraId="74FD685D" w14:textId="77777777" w:rsidR="00D03C17" w:rsidRDefault="00D03C17">
                    <w:pPr>
                      <w:pStyle w:val="Headerorfooter0"/>
                      <w:tabs>
                        <w:tab w:val="right" w:pos="5218"/>
                      </w:tabs>
                      <w:rPr>
                        <w:sz w:val="16"/>
                        <w:szCs w:val="16"/>
                      </w:rPr>
                    </w:pPr>
                    <w:r>
                      <w:t>TRANSMISIBLES, ENCEFALOPATÍAS ESPONGIFORMES</w:t>
                    </w:r>
                    <w:r>
                      <w:tab/>
                    </w:r>
                    <w:r>
                      <w:fldChar w:fldCharType="begin"/>
                    </w:r>
                    <w:r>
                      <w:instrText xml:space="preserve"> PAGE \* MERGEFORMAT </w:instrText>
                    </w:r>
                    <w:r>
                      <w:fldChar w:fldCharType="separate"/>
                    </w:r>
                    <w:r>
                      <w:rPr>
                        <w:sz w:val="16"/>
                        <w:szCs w:val="16"/>
                      </w:rPr>
                      <w:t>#</w:t>
                    </w:r>
                    <w:r>
                      <w:rPr>
                        <w:sz w:val="16"/>
                        <w:szCs w:val="1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768832" behindDoc="1" locked="0" layoutInCell="1" allowOverlap="1" wp14:anchorId="319EF7B5" wp14:editId="3A91B126">
              <wp:simplePos x="0" y="0"/>
              <wp:positionH relativeFrom="page">
                <wp:posOffset>722630</wp:posOffset>
              </wp:positionH>
              <wp:positionV relativeFrom="page">
                <wp:posOffset>419100</wp:posOffset>
              </wp:positionV>
              <wp:extent cx="4358640" cy="0"/>
              <wp:effectExtent l="0" t="0" r="0" b="0"/>
              <wp:wrapNone/>
              <wp:docPr id="1567" name="Shape 1567"/>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3ACA2ED7" id="_x0000_t32" coordsize="21600,21600" o:spt="32" o:oned="t" path="m,l21600,21600e" filled="f">
              <v:path arrowok="t" fillok="f" o:connecttype="none"/>
              <o:lock v:ext="edit" shapetype="t"/>
            </v:shapetype>
            <v:shape id="Shape 1567" o:spid="_x0000_s1026" type="#_x0000_t32" style="position:absolute;margin-left:56.9pt;margin-top:33pt;width:343.2pt;height:0;z-index:-25154764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" strokeweight="1pt">
              <w10:wrap anchorx="page" anchory="page"/>
            </v:shape>
          </w:pict>
        </mc:Fallback>
      </mc:AlternateContent>
    </w:r>
  </w:p>
</w:hdr>
</file>

<file path=word/header1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E24FD" w14:textId="77777777" w:rsidR="00D03C17" w:rsidRDefault="00D03C17">
    <w:pPr>
      <w:spacing w:line="1" w:lineRule="exact"/>
    </w:pPr>
    <w:r>
      <w:rPr>
        <w:noProof/>
      </w:rPr>
      <mc:AlternateContent>
        <mc:Choice Requires="wps">
          <w:drawing>
            <wp:anchor distT="0" distB="0" distL="0" distR="0" simplePos="0" relativeHeight="251968512" behindDoc="1" locked="0" layoutInCell="1" allowOverlap="1" wp14:anchorId="0245C2D8" wp14:editId="4950893F">
              <wp:simplePos x="0" y="0"/>
              <wp:positionH relativeFrom="page">
                <wp:posOffset>1731010</wp:posOffset>
              </wp:positionH>
              <wp:positionV relativeFrom="page">
                <wp:posOffset>295910</wp:posOffset>
              </wp:positionV>
              <wp:extent cx="3313430" cy="94615"/>
              <wp:effectExtent l="0" t="0" r="0" b="0"/>
              <wp:wrapNone/>
              <wp:docPr id="1560" name="Shape 1560"/>
              <wp:cNvGraphicFramePr/>
              <a:graphic xmlns:a="http://schemas.openxmlformats.org/drawingml/2006/main">
                <a:graphicData uri="http://schemas.microsoft.com/office/word/2010/wordprocessingShape">
                  <wps:wsp>
                    <wps:cNvSpPr txBox="1"/>
                    <wps:spPr>
                      <a:xfrm>
                        <a:off x="0" y="0"/>
                        <a:ext cx="3313430" cy="94615"/>
                      </a:xfrm>
                      <a:prstGeom prst="rect">
                        <a:avLst/>
                      </a:prstGeom>
                      <a:noFill/>
                    </wps:spPr>
                    <wps:txbx>
                      <w:txbxContent>
                        <w:p w14:paraId="7A656B8D" w14:textId="77777777" w:rsidR="00D03C17" w:rsidRDefault="00D03C17">
                          <w:pPr>
                            <w:pStyle w:val="Headerorfooter0"/>
                            <w:tabs>
                              <w:tab w:val="right" w:pos="5218"/>
                            </w:tabs>
                            <w:rPr>
                              <w:sz w:val="16"/>
                              <w:szCs w:val="16"/>
                            </w:rPr>
                          </w:pPr>
                          <w:r>
                            <w:t>TRANSMISIBLES, ENCEFALOPATÍAS ESPONGIFORMES</w:t>
                          </w:r>
                          <w:r>
                            <w:tab/>
                          </w:r>
                          <w:r>
                            <w:fldChar w:fldCharType="begin"/>
                          </w:r>
                          <w:r>
                            <w:instrText xml:space="preserve"> PAGE \* MERGEFORMAT </w:instrText>
                          </w:r>
                          <w:r>
                            <w:fldChar w:fldCharType="separate"/>
                          </w:r>
                          <w:r>
                            <w:rPr>
                              <w:sz w:val="16"/>
                              <w:szCs w:val="16"/>
                            </w:rPr>
                            <w:t>#</w:t>
                          </w:r>
                          <w:r>
                            <w:rPr>
                              <w:sz w:val="16"/>
                              <w:szCs w:val="16"/>
                            </w:rPr>
                            <w:fldChar w:fldCharType="end"/>
                          </w:r>
                        </w:p>
                      </w:txbxContent>
                    </wps:txbx>
                    <wps:bodyPr lIns="0" tIns="0" rIns="0" bIns="0">
                      <a:spAutoFit/>
                    </wps:bodyPr>
                  </wps:wsp>
                </a:graphicData>
              </a:graphic>
            </wp:anchor>
          </w:drawing>
        </mc:Choice>
        <mc:Fallback>
          <w:pict>
            <v:shapetype w14:anchorId="0245C2D8" id="_x0000_t202" coordsize="21600,21600" o:spt="202" path="m,l,21600r21600,l21600,xe">
              <v:stroke joinstyle="miter"/>
              <v:path gradientshapeok="t" o:connecttype="rect"/>
            </v:shapetype>
            <v:shape id="Shape 1560" o:spid="_x0000_s1160" type="#_x0000_t202" style="position:absolute;margin-left:136.3pt;margin-top:23.3pt;width:260.9pt;height:7.45pt;z-index:-25134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" filled="f" stroked="f">
              <v:textbox style="mso-fit-shape-to-text:t" inset="0,0,0,0">
                <w:txbxContent>
                  <w:p w14:paraId="7A656B8D" w14:textId="77777777" w:rsidR="00D03C17" w:rsidRDefault="00D03C17">
                    <w:pPr>
                      <w:pStyle w:val="Headerorfooter0"/>
                      <w:tabs>
                        <w:tab w:val="right" w:pos="5218"/>
                      </w:tabs>
                      <w:rPr>
                        <w:sz w:val="16"/>
                        <w:szCs w:val="16"/>
                      </w:rPr>
                    </w:pPr>
                    <w:r>
                      <w:t>TRANSMISIBLES, ENCEFALOPATÍAS ESPONGIFORMES</w:t>
                    </w:r>
                    <w:r>
                      <w:tab/>
                    </w:r>
                    <w:r>
                      <w:fldChar w:fldCharType="begin"/>
                    </w:r>
                    <w:r>
                      <w:instrText xml:space="preserve"> PAGE \* MERGEFORMAT </w:instrText>
                    </w:r>
                    <w:r>
                      <w:fldChar w:fldCharType="separate"/>
                    </w:r>
                    <w:r>
                      <w:rPr>
                        <w:sz w:val="16"/>
                        <w:szCs w:val="16"/>
                      </w:rPr>
                      <w:t>#</w:t>
                    </w:r>
                    <w:r>
                      <w:rPr>
                        <w:sz w:val="16"/>
                        <w:szCs w:val="1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767808" behindDoc="1" locked="0" layoutInCell="1" allowOverlap="1" wp14:anchorId="31AE193F" wp14:editId="7F0B4AD1">
              <wp:simplePos x="0" y="0"/>
              <wp:positionH relativeFrom="page">
                <wp:posOffset>722630</wp:posOffset>
              </wp:positionH>
              <wp:positionV relativeFrom="page">
                <wp:posOffset>419100</wp:posOffset>
              </wp:positionV>
              <wp:extent cx="4358640" cy="0"/>
              <wp:effectExtent l="0" t="0" r="0" b="0"/>
              <wp:wrapNone/>
              <wp:docPr id="1562" name="Shape 1562"/>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0C801B4A" id="_x0000_t32" coordsize="21600,21600" o:spt="32" o:oned="t" path="m,l21600,21600e" filled="f">
              <v:path arrowok="t" fillok="f" o:connecttype="none"/>
              <o:lock v:ext="edit" shapetype="t"/>
            </v:shapetype>
            <v:shape id="Shape 1562" o:spid="_x0000_s1026" type="#_x0000_t32" style="position:absolute;margin-left:56.9pt;margin-top:33pt;width:343.2pt;height:0;z-index:-25154867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" strokeweight="1pt">
              <w10:wrap anchorx="page" anchory="page"/>
            </v:shape>
          </w:pict>
        </mc:Fallback>
      </mc:AlternateContent>
    </w:r>
  </w:p>
</w:hdr>
</file>

<file path=word/header1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99CE2" w14:textId="77777777" w:rsidR="00D03C17" w:rsidRDefault="00D03C17">
    <w:pPr>
      <w:spacing w:line="1" w:lineRule="exact"/>
    </w:pPr>
    <w:r>
      <w:rPr>
        <w:noProof/>
      </w:rPr>
      <mc:AlternateContent>
        <mc:Choice Requires="wps">
          <w:drawing>
            <wp:anchor distT="0" distB="0" distL="0" distR="0" simplePos="0" relativeHeight="251973632" behindDoc="1" locked="0" layoutInCell="1" allowOverlap="1" wp14:anchorId="29BBFB66" wp14:editId="2BA83DE4">
              <wp:simplePos x="0" y="0"/>
              <wp:positionH relativeFrom="page">
                <wp:posOffset>2533650</wp:posOffset>
              </wp:positionH>
              <wp:positionV relativeFrom="page">
                <wp:posOffset>311150</wp:posOffset>
              </wp:positionV>
              <wp:extent cx="2377440" cy="79375"/>
              <wp:effectExtent l="0" t="0" r="0" b="0"/>
              <wp:wrapNone/>
              <wp:docPr id="1573" name="Shape 1573"/>
              <wp:cNvGraphicFramePr/>
              <a:graphic xmlns:a="http://schemas.openxmlformats.org/drawingml/2006/main">
                <a:graphicData uri="http://schemas.microsoft.com/office/word/2010/wordprocessingShape">
                  <wps:wsp>
                    <wps:cNvSpPr txBox="1"/>
                    <wps:spPr>
                      <a:xfrm>
                        <a:off x="0" y="0"/>
                        <a:ext cx="2377440" cy="79375"/>
                      </a:xfrm>
                      <a:prstGeom prst="rect">
                        <a:avLst/>
                      </a:prstGeom>
                      <a:noFill/>
                    </wps:spPr>
                    <wps:txbx>
                      <w:txbxContent>
                        <w:p w14:paraId="6AB4F671" w14:textId="77777777" w:rsidR="00D03C17" w:rsidRDefault="00D03C17">
                          <w:pPr>
                            <w:pStyle w:val="Headerorfooter0"/>
                            <w:tabs>
                              <w:tab w:val="right" w:pos="3744"/>
                            </w:tabs>
                            <w:rPr>
                              <w:sz w:val="16"/>
                              <w:szCs w:val="16"/>
                            </w:rPr>
                          </w:pPr>
                          <w:r>
                            <w:t>Q, FIEBRE</w:t>
                          </w:r>
                          <w:r>
                            <w:tab/>
                          </w:r>
                          <w:r>
                            <w:fldChar w:fldCharType="begin"/>
                          </w:r>
                          <w:r>
                            <w:instrText xml:space="preserve"> PAGE \* MERGEFORMAT </w:instrText>
                          </w:r>
                          <w:r>
                            <w:fldChar w:fldCharType="separate"/>
                          </w:r>
                          <w:r>
                            <w:rPr>
                              <w:sz w:val="16"/>
                              <w:szCs w:val="16"/>
                            </w:rPr>
                            <w:t>#</w:t>
                          </w:r>
                          <w:r>
                            <w:rPr>
                              <w:sz w:val="16"/>
                              <w:szCs w:val="16"/>
                            </w:rPr>
                            <w:fldChar w:fldCharType="end"/>
                          </w:r>
                        </w:p>
                      </w:txbxContent>
                    </wps:txbx>
                    <wps:bodyPr lIns="0" tIns="0" rIns="0" bIns="0">
                      <a:spAutoFit/>
                    </wps:bodyPr>
                  </wps:wsp>
                </a:graphicData>
              </a:graphic>
            </wp:anchor>
          </w:drawing>
        </mc:Choice>
        <mc:Fallback>
          <w:pict>
            <v:shapetype w14:anchorId="29BBFB66" id="_x0000_t202" coordsize="21600,21600" o:spt="202" path="m,l,21600r21600,l21600,xe">
              <v:stroke joinstyle="miter"/>
              <v:path gradientshapeok="t" o:connecttype="rect"/>
            </v:shapetype>
            <v:shape id="Shape 1573" o:spid="_x0000_s1163" type="#_x0000_t202" style="position:absolute;margin-left:199.5pt;margin-top:24.5pt;width:187.2pt;height:6.25pt;z-index:-251342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" filled="f" stroked="f">
              <v:textbox style="mso-fit-shape-to-text:t" inset="0,0,0,0">
                <w:txbxContent>
                  <w:p w14:paraId="6AB4F671" w14:textId="77777777" w:rsidR="00D03C17" w:rsidRDefault="00D03C17">
                    <w:pPr>
                      <w:pStyle w:val="Headerorfooter0"/>
                      <w:tabs>
                        <w:tab w:val="right" w:pos="3744"/>
                      </w:tabs>
                      <w:rPr>
                        <w:sz w:val="16"/>
                        <w:szCs w:val="16"/>
                      </w:rPr>
                    </w:pPr>
                    <w:r>
                      <w:t>Q, FIEBRE</w:t>
                    </w:r>
                    <w:r>
                      <w:tab/>
                    </w:r>
                    <w:r>
                      <w:fldChar w:fldCharType="begin"/>
                    </w:r>
                    <w:r>
                      <w:instrText xml:space="preserve"> PAGE \* MERGEFORMAT </w:instrText>
                    </w:r>
                    <w:r>
                      <w:fldChar w:fldCharType="separate"/>
                    </w:r>
                    <w:r>
                      <w:rPr>
                        <w:sz w:val="16"/>
                        <w:szCs w:val="16"/>
                      </w:rPr>
                      <w:t>#</w:t>
                    </w:r>
                    <w:r>
                      <w:rPr>
                        <w:sz w:val="16"/>
                        <w:szCs w:val="1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770880" behindDoc="1" locked="0" layoutInCell="1" allowOverlap="1" wp14:anchorId="705B1264" wp14:editId="70DD79DD">
              <wp:simplePos x="0" y="0"/>
              <wp:positionH relativeFrom="page">
                <wp:posOffset>574040</wp:posOffset>
              </wp:positionH>
              <wp:positionV relativeFrom="page">
                <wp:posOffset>419100</wp:posOffset>
              </wp:positionV>
              <wp:extent cx="4358640" cy="0"/>
              <wp:effectExtent l="0" t="0" r="0" b="0"/>
              <wp:wrapNone/>
              <wp:docPr id="1575" name="Shape 1575"/>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63320EC7" id="_x0000_t32" coordsize="21600,21600" o:spt="32" o:oned="t" path="m,l21600,21600e" filled="f">
              <v:path arrowok="t" fillok="f" o:connecttype="none"/>
              <o:lock v:ext="edit" shapetype="t"/>
            </v:shapetype>
            <v:shape id="Shape 1575" o:spid="_x0000_s1026" type="#_x0000_t32" style="position:absolute;margin-left:45.2pt;margin-top:33pt;width:343.2pt;height:0;z-index:-25154560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" strokeweight="1pt">
              <w10:wrap anchorx="page" anchory="page"/>
            </v:shape>
          </w:pict>
        </mc:Fallback>
      </mc:AlternateContent>
    </w:r>
  </w:p>
</w:hdr>
</file>

<file path=word/header1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92479" w14:textId="77777777" w:rsidR="00D03C17" w:rsidRDefault="00D03C17">
    <w:pPr>
      <w:spacing w:line="1" w:lineRule="exact"/>
    </w:pPr>
    <w:r>
      <w:rPr>
        <w:noProof/>
      </w:rPr>
      <mc:AlternateContent>
        <mc:Choice Requires="wps">
          <w:drawing>
            <wp:anchor distT="0" distB="0" distL="0" distR="0" simplePos="0" relativeHeight="251972608" behindDoc="1" locked="0" layoutInCell="1" allowOverlap="1" wp14:anchorId="7B991715" wp14:editId="3B176DF3">
              <wp:simplePos x="0" y="0"/>
              <wp:positionH relativeFrom="page">
                <wp:posOffset>2533650</wp:posOffset>
              </wp:positionH>
              <wp:positionV relativeFrom="page">
                <wp:posOffset>311150</wp:posOffset>
              </wp:positionV>
              <wp:extent cx="2377440" cy="79375"/>
              <wp:effectExtent l="0" t="0" r="0" b="0"/>
              <wp:wrapNone/>
              <wp:docPr id="1570" name="Shape 1570"/>
              <wp:cNvGraphicFramePr/>
              <a:graphic xmlns:a="http://schemas.openxmlformats.org/drawingml/2006/main">
                <a:graphicData uri="http://schemas.microsoft.com/office/word/2010/wordprocessingShape">
                  <wps:wsp>
                    <wps:cNvSpPr txBox="1"/>
                    <wps:spPr>
                      <a:xfrm>
                        <a:off x="0" y="0"/>
                        <a:ext cx="2377440" cy="79375"/>
                      </a:xfrm>
                      <a:prstGeom prst="rect">
                        <a:avLst/>
                      </a:prstGeom>
                      <a:noFill/>
                    </wps:spPr>
                    <wps:txbx>
                      <w:txbxContent>
                        <w:p w14:paraId="51D8CBA6" w14:textId="77777777" w:rsidR="00D03C17" w:rsidRDefault="00D03C17">
                          <w:pPr>
                            <w:pStyle w:val="Headerorfooter0"/>
                            <w:tabs>
                              <w:tab w:val="right" w:pos="3744"/>
                            </w:tabs>
                            <w:rPr>
                              <w:sz w:val="16"/>
                              <w:szCs w:val="16"/>
                            </w:rPr>
                          </w:pPr>
                          <w:r>
                            <w:t>Q, FIEBRE</w:t>
                          </w:r>
                          <w:r>
                            <w:tab/>
                          </w:r>
                          <w:r>
                            <w:fldChar w:fldCharType="begin"/>
                          </w:r>
                          <w:r>
                            <w:instrText xml:space="preserve"> PAGE \* MERGEFORMAT </w:instrText>
                          </w:r>
                          <w:r>
                            <w:fldChar w:fldCharType="separate"/>
                          </w:r>
                          <w:r>
                            <w:rPr>
                              <w:sz w:val="16"/>
                              <w:szCs w:val="16"/>
                            </w:rPr>
                            <w:t>#</w:t>
                          </w:r>
                          <w:r>
                            <w:rPr>
                              <w:sz w:val="16"/>
                              <w:szCs w:val="16"/>
                            </w:rPr>
                            <w:fldChar w:fldCharType="end"/>
                          </w:r>
                        </w:p>
                      </w:txbxContent>
                    </wps:txbx>
                    <wps:bodyPr lIns="0" tIns="0" rIns="0" bIns="0">
                      <a:spAutoFit/>
                    </wps:bodyPr>
                  </wps:wsp>
                </a:graphicData>
              </a:graphic>
            </wp:anchor>
          </w:drawing>
        </mc:Choice>
        <mc:Fallback>
          <w:pict>
            <v:shapetype w14:anchorId="7B991715" id="_x0000_t202" coordsize="21600,21600" o:spt="202" path="m,l,21600r21600,l21600,xe">
              <v:stroke joinstyle="miter"/>
              <v:path gradientshapeok="t" o:connecttype="rect"/>
            </v:shapetype>
            <v:shape id="Shape 1570" o:spid="_x0000_s1164" type="#_x0000_t202" style="position:absolute;margin-left:199.5pt;margin-top:24.5pt;width:187.2pt;height:6.25pt;z-index:-251343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" filled="f" stroked="f">
              <v:textbox style="mso-fit-shape-to-text:t" inset="0,0,0,0">
                <w:txbxContent>
                  <w:p w14:paraId="51D8CBA6" w14:textId="77777777" w:rsidR="00D03C17" w:rsidRDefault="00D03C17">
                    <w:pPr>
                      <w:pStyle w:val="Headerorfooter0"/>
                      <w:tabs>
                        <w:tab w:val="right" w:pos="3744"/>
                      </w:tabs>
                      <w:rPr>
                        <w:sz w:val="16"/>
                        <w:szCs w:val="16"/>
                      </w:rPr>
                    </w:pPr>
                    <w:r>
                      <w:t>Q, FIEBRE</w:t>
                    </w:r>
                    <w:r>
                      <w:tab/>
                    </w:r>
                    <w:r>
                      <w:fldChar w:fldCharType="begin"/>
                    </w:r>
                    <w:r>
                      <w:instrText xml:space="preserve"> PAGE \* MERGEFORMAT </w:instrText>
                    </w:r>
                    <w:r>
                      <w:fldChar w:fldCharType="separate"/>
                    </w:r>
                    <w:r>
                      <w:rPr>
                        <w:sz w:val="16"/>
                        <w:szCs w:val="16"/>
                      </w:rPr>
                      <w:t>#</w:t>
                    </w:r>
                    <w:r>
                      <w:rPr>
                        <w:sz w:val="16"/>
                        <w:szCs w:val="1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769856" behindDoc="1" locked="0" layoutInCell="1" allowOverlap="1" wp14:anchorId="0CE1DDB8" wp14:editId="50039889">
              <wp:simplePos x="0" y="0"/>
              <wp:positionH relativeFrom="page">
                <wp:posOffset>574040</wp:posOffset>
              </wp:positionH>
              <wp:positionV relativeFrom="page">
                <wp:posOffset>419100</wp:posOffset>
              </wp:positionV>
              <wp:extent cx="4358640" cy="0"/>
              <wp:effectExtent l="0" t="0" r="0" b="0"/>
              <wp:wrapNone/>
              <wp:docPr id="1572" name="Shape 1572"/>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15D7D52E" id="_x0000_t32" coordsize="21600,21600" o:spt="32" o:oned="t" path="m,l21600,21600e" filled="f">
              <v:path arrowok="t" fillok="f" o:connecttype="none"/>
              <o:lock v:ext="edit" shapetype="t"/>
            </v:shapetype>
            <v:shape id="Shape 1572" o:spid="_x0000_s1026" type="#_x0000_t32" style="position:absolute;margin-left:45.2pt;margin-top:33pt;width:343.2pt;height:0;z-index:-25154662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" strokeweight="1pt">
              <w10:wrap anchorx="page" anchory="page"/>
            </v:shape>
          </w:pict>
        </mc:Fallback>
      </mc:AlternateContent>
    </w:r>
  </w:p>
</w:hdr>
</file>

<file path=word/header1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F0C41" w14:textId="77777777" w:rsidR="00D03C17" w:rsidRDefault="00D03C17">
    <w:pPr>
      <w:spacing w:line="1" w:lineRule="exact"/>
    </w:pPr>
    <w:r>
      <w:rPr>
        <w:noProof/>
      </w:rPr>
      <mc:AlternateContent>
        <mc:Choice Requires="wps">
          <w:drawing>
            <wp:anchor distT="0" distB="0" distL="0" distR="0" simplePos="0" relativeHeight="251974656" behindDoc="1" locked="0" layoutInCell="1" allowOverlap="1" wp14:anchorId="34FF9E8E" wp14:editId="4D727ECF">
              <wp:simplePos x="0" y="0"/>
              <wp:positionH relativeFrom="page">
                <wp:posOffset>581660</wp:posOffset>
              </wp:positionH>
              <wp:positionV relativeFrom="page">
                <wp:posOffset>295910</wp:posOffset>
              </wp:positionV>
              <wp:extent cx="3328670" cy="94615"/>
              <wp:effectExtent l="0" t="0" r="0" b="0"/>
              <wp:wrapNone/>
              <wp:docPr id="1576" name="Shape 1576"/>
              <wp:cNvGraphicFramePr/>
              <a:graphic xmlns:a="http://schemas.openxmlformats.org/drawingml/2006/main">
                <a:graphicData uri="http://schemas.microsoft.com/office/word/2010/wordprocessingShape">
                  <wps:wsp>
                    <wps:cNvSpPr txBox="1"/>
                    <wps:spPr>
                      <a:xfrm>
                        <a:off x="0" y="0"/>
                        <a:ext cx="3328670" cy="94615"/>
                      </a:xfrm>
                      <a:prstGeom prst="rect">
                        <a:avLst/>
                      </a:prstGeom>
                      <a:noFill/>
                    </wps:spPr>
                    <wps:txbx>
                      <w:txbxContent>
                        <w:p w14:paraId="56376099" w14:textId="77777777" w:rsidR="00D03C17" w:rsidRDefault="00D03C17">
                          <w:pPr>
                            <w:pStyle w:val="Headerorfooter0"/>
                            <w:tabs>
                              <w:tab w:val="right" w:pos="5242"/>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TRANSMISIBLES, ENCEFALOPATÍAS ESPONGIFORMES</w:t>
                          </w:r>
                        </w:p>
                      </w:txbxContent>
                    </wps:txbx>
                    <wps:bodyPr lIns="0" tIns="0" rIns="0" bIns="0">
                      <a:spAutoFit/>
                    </wps:bodyPr>
                  </wps:wsp>
                </a:graphicData>
              </a:graphic>
            </wp:anchor>
          </w:drawing>
        </mc:Choice>
        <mc:Fallback>
          <w:pict>
            <v:shapetype w14:anchorId="34FF9E8E" id="_x0000_t202" coordsize="21600,21600" o:spt="202" path="m,l,21600r21600,l21600,xe">
              <v:stroke joinstyle="miter"/>
              <v:path gradientshapeok="t" o:connecttype="rect"/>
            </v:shapetype>
            <v:shape id="Shape 1576" o:spid="_x0000_s1165" type="#_x0000_t202" style="position:absolute;margin-left:45.8pt;margin-top:23.3pt;width:262.1pt;height:7.45pt;z-index:-251341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" filled="f" stroked="f">
              <v:textbox style="mso-fit-shape-to-text:t" inset="0,0,0,0">
                <w:txbxContent>
                  <w:p w14:paraId="56376099" w14:textId="77777777" w:rsidR="00D03C17" w:rsidRDefault="00D03C17">
                    <w:pPr>
                      <w:pStyle w:val="Headerorfooter0"/>
                      <w:tabs>
                        <w:tab w:val="right" w:pos="5242"/>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TRANSMISIBLES, ENCEFALOPATÍAS ESPONGIFORMES</w:t>
                    </w:r>
                  </w:p>
                </w:txbxContent>
              </v:textbox>
              <w10:wrap anchorx="page" anchory="page"/>
            </v:shape>
          </w:pict>
        </mc:Fallback>
      </mc:AlternateContent>
    </w:r>
    <w:r>
      <w:rPr>
        <w:noProof/>
      </w:rPr>
      <mc:AlternateContent>
        <mc:Choice Requires="wps">
          <w:drawing>
            <wp:anchor distT="0" distB="0" distL="114300" distR="114300" simplePos="0" relativeHeight="251771904" behindDoc="1" locked="0" layoutInCell="1" allowOverlap="1" wp14:anchorId="3C77A124" wp14:editId="546DC907">
              <wp:simplePos x="0" y="0"/>
              <wp:positionH relativeFrom="page">
                <wp:posOffset>566420</wp:posOffset>
              </wp:positionH>
              <wp:positionV relativeFrom="page">
                <wp:posOffset>419100</wp:posOffset>
              </wp:positionV>
              <wp:extent cx="4358640" cy="0"/>
              <wp:effectExtent l="0" t="0" r="0" b="0"/>
              <wp:wrapNone/>
              <wp:docPr id="1578" name="Shape 1578"/>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7001B55A" id="_x0000_t32" coordsize="21600,21600" o:spt="32" o:oned="t" path="m,l21600,21600e" filled="f">
              <v:path arrowok="t" fillok="f" o:connecttype="none"/>
              <o:lock v:ext="edit" shapetype="t"/>
            </v:shapetype>
            <v:shape id="Shape 1578" o:spid="_x0000_s1026" type="#_x0000_t32" style="position:absolute;margin-left:44.6pt;margin-top:33pt;width:343.2pt;height:0;z-index:-25154457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" strokeweight="1pt">
              <w10:wrap anchorx="page" anchory="page"/>
            </v:shape>
          </w:pict>
        </mc:Fallback>
      </mc:AlternateContent>
    </w:r>
  </w:p>
</w:hdr>
</file>

<file path=word/header1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1EEBA" w14:textId="77777777" w:rsidR="00D03C17" w:rsidRDefault="00D03C17">
    <w:pPr>
      <w:spacing w:line="1" w:lineRule="exact"/>
    </w:pPr>
    <w:r>
      <w:rPr>
        <w:noProof/>
      </w:rPr>
      <mc:AlternateContent>
        <mc:Choice Requires="wps">
          <w:drawing>
            <wp:anchor distT="0" distB="0" distL="0" distR="0" simplePos="0" relativeHeight="251976704" behindDoc="1" locked="0" layoutInCell="1" allowOverlap="1" wp14:anchorId="12C6016A" wp14:editId="5130FA40">
              <wp:simplePos x="0" y="0"/>
              <wp:positionH relativeFrom="page">
                <wp:posOffset>596900</wp:posOffset>
              </wp:positionH>
              <wp:positionV relativeFrom="page">
                <wp:posOffset>311150</wp:posOffset>
              </wp:positionV>
              <wp:extent cx="2380615" cy="79375"/>
              <wp:effectExtent l="0" t="0" r="0" b="0"/>
              <wp:wrapNone/>
              <wp:docPr id="1582" name="Shape 1582"/>
              <wp:cNvGraphicFramePr/>
              <a:graphic xmlns:a="http://schemas.openxmlformats.org/drawingml/2006/main">
                <a:graphicData uri="http://schemas.microsoft.com/office/word/2010/wordprocessingShape">
                  <wps:wsp>
                    <wps:cNvSpPr txBox="1"/>
                    <wps:spPr>
                      <a:xfrm>
                        <a:off x="0" y="0"/>
                        <a:ext cx="2380615" cy="79375"/>
                      </a:xfrm>
                      <a:prstGeom prst="rect">
                        <a:avLst/>
                      </a:prstGeom>
                      <a:noFill/>
                    </wps:spPr>
                    <wps:txbx>
                      <w:txbxContent>
                        <w:p w14:paraId="7A1D6A9C" w14:textId="77777777" w:rsidR="00D03C17" w:rsidRDefault="00D03C17">
                          <w:pPr>
                            <w:pStyle w:val="Headerorfooter0"/>
                            <w:tabs>
                              <w:tab w:val="right" w:pos="3749"/>
                            </w:tabs>
                          </w:pPr>
                          <w:r>
                            <w:rPr>
                              <w:sz w:val="16"/>
                              <w:szCs w:val="16"/>
                            </w:rPr>
                            <w:t>564</w:t>
                          </w:r>
                          <w:r>
                            <w:rPr>
                              <w:sz w:val="16"/>
                              <w:szCs w:val="16"/>
                            </w:rPr>
                            <w:tab/>
                          </w:r>
                          <w:r>
                            <w:t>Q, FIEBRE</w:t>
                          </w:r>
                        </w:p>
                      </w:txbxContent>
                    </wps:txbx>
                    <wps:bodyPr lIns="0" tIns="0" rIns="0" bIns="0">
                      <a:spAutoFit/>
                    </wps:bodyPr>
                  </wps:wsp>
                </a:graphicData>
              </a:graphic>
            </wp:anchor>
          </w:drawing>
        </mc:Choice>
        <mc:Fallback>
          <w:pict>
            <v:shapetype w14:anchorId="12C6016A" id="_x0000_t202" coordsize="21600,21600" o:spt="202" path="m,l,21600r21600,l21600,xe">
              <v:stroke joinstyle="miter"/>
              <v:path gradientshapeok="t" o:connecttype="rect"/>
            </v:shapetype>
            <v:shape id="Shape 1582" o:spid="_x0000_s1166" type="#_x0000_t202" style="position:absolute;margin-left:47pt;margin-top:24.5pt;width:187.45pt;height:6.25pt;z-index:-25133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" filled="f" stroked="f">
              <v:textbox style="mso-fit-shape-to-text:t" inset="0,0,0,0">
                <w:txbxContent>
                  <w:p w14:paraId="7A1D6A9C" w14:textId="77777777" w:rsidR="00D03C17" w:rsidRDefault="00D03C17">
                    <w:pPr>
                      <w:pStyle w:val="Headerorfooter0"/>
                      <w:tabs>
                        <w:tab w:val="right" w:pos="3749"/>
                      </w:tabs>
                    </w:pPr>
                    <w:r>
                      <w:rPr>
                        <w:sz w:val="16"/>
                        <w:szCs w:val="16"/>
                      </w:rPr>
                      <w:t>564</w:t>
                    </w:r>
                    <w:r>
                      <w:rPr>
                        <w:sz w:val="16"/>
                        <w:szCs w:val="16"/>
                      </w:rPr>
                      <w:tab/>
                    </w:r>
                    <w:r>
                      <w:t>Q, FIEBRE</w:t>
                    </w:r>
                  </w:p>
                </w:txbxContent>
              </v:textbox>
              <w10:wrap anchorx="page" anchory="page"/>
            </v:shape>
          </w:pict>
        </mc:Fallback>
      </mc:AlternateContent>
    </w:r>
    <w:r>
      <w:rPr>
        <w:noProof/>
      </w:rPr>
      <mc:AlternateContent>
        <mc:Choice Requires="wps">
          <w:drawing>
            <wp:anchor distT="0" distB="0" distL="114300" distR="114300" simplePos="0" relativeHeight="251773952" behindDoc="1" locked="0" layoutInCell="1" allowOverlap="1" wp14:anchorId="5EFD52AC" wp14:editId="37598021">
              <wp:simplePos x="0" y="0"/>
              <wp:positionH relativeFrom="page">
                <wp:posOffset>581660</wp:posOffset>
              </wp:positionH>
              <wp:positionV relativeFrom="page">
                <wp:posOffset>419100</wp:posOffset>
              </wp:positionV>
              <wp:extent cx="4358640" cy="0"/>
              <wp:effectExtent l="0" t="0" r="0" b="0"/>
              <wp:wrapNone/>
              <wp:docPr id="1584" name="Shape 1584"/>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42D1BF10" id="_x0000_t32" coordsize="21600,21600" o:spt="32" o:oned="t" path="m,l21600,21600e" filled="f">
              <v:path arrowok="t" fillok="f" o:connecttype="none"/>
              <o:lock v:ext="edit" shapetype="t"/>
            </v:shapetype>
            <v:shape id="Shape 1584" o:spid="_x0000_s1026" type="#_x0000_t32" style="position:absolute;margin-left:45.8pt;margin-top:33pt;width:343.2pt;height:0;z-index:-25154252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" strokeweight="1pt">
              <w10:wrap anchorx="page" anchory="page"/>
            </v:shape>
          </w:pict>
        </mc:Fallback>
      </mc:AlternateContent>
    </w:r>
  </w:p>
</w:hdr>
</file>

<file path=word/header1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52CC6" w14:textId="77777777" w:rsidR="00D03C17" w:rsidRDefault="00D03C17">
    <w:pPr>
      <w:spacing w:line="1" w:lineRule="exact"/>
    </w:pPr>
    <w:r>
      <w:rPr>
        <w:noProof/>
      </w:rPr>
      <mc:AlternateContent>
        <mc:Choice Requires="wps">
          <w:drawing>
            <wp:anchor distT="0" distB="0" distL="0" distR="0" simplePos="0" relativeHeight="251975680" behindDoc="1" locked="0" layoutInCell="1" allowOverlap="1" wp14:anchorId="7F953E30" wp14:editId="1B7FAD3A">
              <wp:simplePos x="0" y="0"/>
              <wp:positionH relativeFrom="page">
                <wp:posOffset>596900</wp:posOffset>
              </wp:positionH>
              <wp:positionV relativeFrom="page">
                <wp:posOffset>311150</wp:posOffset>
              </wp:positionV>
              <wp:extent cx="2380615" cy="79375"/>
              <wp:effectExtent l="0" t="0" r="0" b="0"/>
              <wp:wrapNone/>
              <wp:docPr id="1579" name="Shape 1579"/>
              <wp:cNvGraphicFramePr/>
              <a:graphic xmlns:a="http://schemas.openxmlformats.org/drawingml/2006/main">
                <a:graphicData uri="http://schemas.microsoft.com/office/word/2010/wordprocessingShape">
                  <wps:wsp>
                    <wps:cNvSpPr txBox="1"/>
                    <wps:spPr>
                      <a:xfrm>
                        <a:off x="0" y="0"/>
                        <a:ext cx="2380615" cy="79375"/>
                      </a:xfrm>
                      <a:prstGeom prst="rect">
                        <a:avLst/>
                      </a:prstGeom>
                      <a:noFill/>
                    </wps:spPr>
                    <wps:txbx>
                      <w:txbxContent>
                        <w:p w14:paraId="0B8102D1" w14:textId="77777777" w:rsidR="00D03C17" w:rsidRDefault="00D03C17">
                          <w:pPr>
                            <w:pStyle w:val="Headerorfooter0"/>
                            <w:tabs>
                              <w:tab w:val="right" w:pos="3749"/>
                            </w:tabs>
                          </w:pPr>
                          <w:r>
                            <w:rPr>
                              <w:sz w:val="16"/>
                              <w:szCs w:val="16"/>
                            </w:rPr>
                            <w:t>564</w:t>
                          </w:r>
                          <w:r>
                            <w:rPr>
                              <w:sz w:val="16"/>
                              <w:szCs w:val="16"/>
                            </w:rPr>
                            <w:tab/>
                          </w:r>
                          <w:r>
                            <w:t>Q, FIEBRE</w:t>
                          </w:r>
                        </w:p>
                      </w:txbxContent>
                    </wps:txbx>
                    <wps:bodyPr lIns="0" tIns="0" rIns="0" bIns="0">
                      <a:spAutoFit/>
                    </wps:bodyPr>
                  </wps:wsp>
                </a:graphicData>
              </a:graphic>
            </wp:anchor>
          </w:drawing>
        </mc:Choice>
        <mc:Fallback>
          <w:pict>
            <v:shapetype w14:anchorId="7F953E30" id="_x0000_t202" coordsize="21600,21600" o:spt="202" path="m,l,21600r21600,l21600,xe">
              <v:stroke joinstyle="miter"/>
              <v:path gradientshapeok="t" o:connecttype="rect"/>
            </v:shapetype>
            <v:shape id="Shape 1579" o:spid="_x0000_s1167" type="#_x0000_t202" style="position:absolute;margin-left:47pt;margin-top:24.5pt;width:187.45pt;height:6.25pt;z-index:-25134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" filled="f" stroked="f">
              <v:textbox style="mso-fit-shape-to-text:t" inset="0,0,0,0">
                <w:txbxContent>
                  <w:p w14:paraId="0B8102D1" w14:textId="77777777" w:rsidR="00D03C17" w:rsidRDefault="00D03C17">
                    <w:pPr>
                      <w:pStyle w:val="Headerorfooter0"/>
                      <w:tabs>
                        <w:tab w:val="right" w:pos="3749"/>
                      </w:tabs>
                    </w:pPr>
                    <w:r>
                      <w:rPr>
                        <w:sz w:val="16"/>
                        <w:szCs w:val="16"/>
                      </w:rPr>
                      <w:t>564</w:t>
                    </w:r>
                    <w:r>
                      <w:rPr>
                        <w:sz w:val="16"/>
                        <w:szCs w:val="16"/>
                      </w:rPr>
                      <w:tab/>
                    </w:r>
                    <w:r>
                      <w:t>Q, FIEBRE</w:t>
                    </w:r>
                  </w:p>
                </w:txbxContent>
              </v:textbox>
              <w10:wrap anchorx="page" anchory="page"/>
            </v:shape>
          </w:pict>
        </mc:Fallback>
      </mc:AlternateContent>
    </w:r>
    <w:r>
      <w:rPr>
        <w:noProof/>
      </w:rPr>
      <mc:AlternateContent>
        <mc:Choice Requires="wps">
          <w:drawing>
            <wp:anchor distT="0" distB="0" distL="114300" distR="114300" simplePos="0" relativeHeight="251772928" behindDoc="1" locked="0" layoutInCell="1" allowOverlap="1" wp14:anchorId="0C25523B" wp14:editId="0ED051D7">
              <wp:simplePos x="0" y="0"/>
              <wp:positionH relativeFrom="page">
                <wp:posOffset>581660</wp:posOffset>
              </wp:positionH>
              <wp:positionV relativeFrom="page">
                <wp:posOffset>419100</wp:posOffset>
              </wp:positionV>
              <wp:extent cx="4358640" cy="0"/>
              <wp:effectExtent l="0" t="0" r="0" b="0"/>
              <wp:wrapNone/>
              <wp:docPr id="1581" name="Shape 1581"/>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6D3BD47F" id="_x0000_t32" coordsize="21600,21600" o:spt="32" o:oned="t" path="m,l21600,21600e" filled="f">
              <v:path arrowok="t" fillok="f" o:connecttype="none"/>
              <o:lock v:ext="edit" shapetype="t"/>
            </v:shapetype>
            <v:shape id="Shape 1581" o:spid="_x0000_s1026" type="#_x0000_t32" style="position:absolute;margin-left:45.8pt;margin-top:33pt;width:343.2pt;height:0;z-index:-25154355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" strokeweight="1pt">
              <w10:wrap anchorx="page" anchory="page"/>
            </v:shape>
          </w:pict>
        </mc:Fallback>
      </mc:AlternateContent>
    </w:r>
  </w:p>
</w:hdr>
</file>

<file path=word/header1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60AF8" w14:textId="77777777" w:rsidR="00D03C17" w:rsidRDefault="00D03C17">
    <w:pPr>
      <w:spacing w:line="1" w:lineRule="exact"/>
    </w:pPr>
    <w:r>
      <w:rPr>
        <w:noProof/>
      </w:rPr>
      <mc:AlternateContent>
        <mc:Choice Requires="wps">
          <w:drawing>
            <wp:anchor distT="0" distB="0" distL="0" distR="0" simplePos="0" relativeHeight="251977728" behindDoc="1" locked="0" layoutInCell="1" allowOverlap="1" wp14:anchorId="68E0659E" wp14:editId="03A7474D">
              <wp:simplePos x="0" y="0"/>
              <wp:positionH relativeFrom="page">
                <wp:posOffset>2533650</wp:posOffset>
              </wp:positionH>
              <wp:positionV relativeFrom="page">
                <wp:posOffset>311150</wp:posOffset>
              </wp:positionV>
              <wp:extent cx="2377440" cy="79375"/>
              <wp:effectExtent l="0" t="0" r="0" b="0"/>
              <wp:wrapNone/>
              <wp:docPr id="1585" name="Shape 1585"/>
              <wp:cNvGraphicFramePr/>
              <a:graphic xmlns:a="http://schemas.openxmlformats.org/drawingml/2006/main">
                <a:graphicData uri="http://schemas.microsoft.com/office/word/2010/wordprocessingShape">
                  <wps:wsp>
                    <wps:cNvSpPr txBox="1"/>
                    <wps:spPr>
                      <a:xfrm>
                        <a:off x="0" y="0"/>
                        <a:ext cx="2377440" cy="79375"/>
                      </a:xfrm>
                      <a:prstGeom prst="rect">
                        <a:avLst/>
                      </a:prstGeom>
                      <a:noFill/>
                    </wps:spPr>
                    <wps:txbx>
                      <w:txbxContent>
                        <w:p w14:paraId="47044AF2" w14:textId="77777777" w:rsidR="00D03C17" w:rsidRDefault="00D03C17">
                          <w:pPr>
                            <w:pStyle w:val="Headerorfooter0"/>
                            <w:tabs>
                              <w:tab w:val="right" w:pos="3744"/>
                            </w:tabs>
                            <w:rPr>
                              <w:sz w:val="16"/>
                              <w:szCs w:val="16"/>
                            </w:rPr>
                          </w:pPr>
                          <w:r>
                            <w:t>Q, FIEBRE</w:t>
                          </w:r>
                          <w:r>
                            <w:tab/>
                          </w:r>
                          <w:r>
                            <w:fldChar w:fldCharType="begin"/>
                          </w:r>
                          <w:r>
                            <w:instrText xml:space="preserve"> PAGE \* MERGEFORMAT </w:instrText>
                          </w:r>
                          <w:r>
                            <w:fldChar w:fldCharType="separate"/>
                          </w:r>
                          <w:r>
                            <w:rPr>
                              <w:sz w:val="16"/>
                              <w:szCs w:val="16"/>
                            </w:rPr>
                            <w:t>#</w:t>
                          </w:r>
                          <w:r>
                            <w:rPr>
                              <w:sz w:val="16"/>
                              <w:szCs w:val="16"/>
                            </w:rPr>
                            <w:fldChar w:fldCharType="end"/>
                          </w:r>
                        </w:p>
                      </w:txbxContent>
                    </wps:txbx>
                    <wps:bodyPr lIns="0" tIns="0" rIns="0" bIns="0">
                      <a:spAutoFit/>
                    </wps:bodyPr>
                  </wps:wsp>
                </a:graphicData>
              </a:graphic>
            </wp:anchor>
          </w:drawing>
        </mc:Choice>
        <mc:Fallback>
          <w:pict>
            <v:shapetype w14:anchorId="68E0659E" id="_x0000_t202" coordsize="21600,21600" o:spt="202" path="m,l,21600r21600,l21600,xe">
              <v:stroke joinstyle="miter"/>
              <v:path gradientshapeok="t" o:connecttype="rect"/>
            </v:shapetype>
            <v:shape id="Shape 1585" o:spid="_x0000_s1168" type="#_x0000_t202" style="position:absolute;margin-left:199.5pt;margin-top:24.5pt;width:187.2pt;height:6.25pt;z-index:-25133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" filled="f" stroked="f">
              <v:textbox style="mso-fit-shape-to-text:t" inset="0,0,0,0">
                <w:txbxContent>
                  <w:p w14:paraId="47044AF2" w14:textId="77777777" w:rsidR="00D03C17" w:rsidRDefault="00D03C17">
                    <w:pPr>
                      <w:pStyle w:val="Headerorfooter0"/>
                      <w:tabs>
                        <w:tab w:val="right" w:pos="3744"/>
                      </w:tabs>
                      <w:rPr>
                        <w:sz w:val="16"/>
                        <w:szCs w:val="16"/>
                      </w:rPr>
                    </w:pPr>
                    <w:r>
                      <w:t>Q, FIEBRE</w:t>
                    </w:r>
                    <w:r>
                      <w:tab/>
                    </w:r>
                    <w:r>
                      <w:fldChar w:fldCharType="begin"/>
                    </w:r>
                    <w:r>
                      <w:instrText xml:space="preserve"> PAGE \* MERGEFORMAT </w:instrText>
                    </w:r>
                    <w:r>
                      <w:fldChar w:fldCharType="separate"/>
                    </w:r>
                    <w:r>
                      <w:rPr>
                        <w:sz w:val="16"/>
                        <w:szCs w:val="16"/>
                      </w:rPr>
                      <w:t>#</w:t>
                    </w:r>
                    <w:r>
                      <w:rPr>
                        <w:sz w:val="16"/>
                        <w:szCs w:val="1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774976" behindDoc="1" locked="0" layoutInCell="1" allowOverlap="1" wp14:anchorId="436713D6" wp14:editId="6470E1CA">
              <wp:simplePos x="0" y="0"/>
              <wp:positionH relativeFrom="page">
                <wp:posOffset>574040</wp:posOffset>
              </wp:positionH>
              <wp:positionV relativeFrom="page">
                <wp:posOffset>419100</wp:posOffset>
              </wp:positionV>
              <wp:extent cx="4358640" cy="0"/>
              <wp:effectExtent l="0" t="0" r="0" b="0"/>
              <wp:wrapNone/>
              <wp:docPr id="1587" name="Shape 1587"/>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16924592" id="_x0000_t32" coordsize="21600,21600" o:spt="32" o:oned="t" path="m,l21600,21600e" filled="f">
              <v:path arrowok="t" fillok="f" o:connecttype="none"/>
              <o:lock v:ext="edit" shapetype="t"/>
            </v:shapetype>
            <v:shape id="Shape 1587" o:spid="_x0000_s1026" type="#_x0000_t32" style="position:absolute;margin-left:45.2pt;margin-top:33pt;width:343.2pt;height:0;z-index:-25154150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" strokeweight="1pt">
              <w10:wrap anchorx="page" anchory="page"/>
            </v:shape>
          </w:pict>
        </mc:Fallback>
      </mc:AlternateContent>
    </w:r>
  </w:p>
</w:hdr>
</file>

<file path=word/header1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F279B" w14:textId="77777777" w:rsidR="00D03C17" w:rsidRDefault="00D03C17">
    <w:pPr>
      <w:spacing w:line="1" w:lineRule="exact"/>
    </w:pPr>
    <w:r>
      <w:rPr>
        <w:noProof/>
      </w:rPr>
      <mc:AlternateContent>
        <mc:Choice Requires="wps">
          <w:drawing>
            <wp:anchor distT="0" distB="0" distL="0" distR="0" simplePos="0" relativeHeight="251979776" behindDoc="1" locked="0" layoutInCell="1" allowOverlap="1" wp14:anchorId="5992F58C" wp14:editId="75E2DCAA">
              <wp:simplePos x="0" y="0"/>
              <wp:positionH relativeFrom="page">
                <wp:posOffset>2625090</wp:posOffset>
              </wp:positionH>
              <wp:positionV relativeFrom="page">
                <wp:posOffset>311150</wp:posOffset>
              </wp:positionV>
              <wp:extent cx="2286000" cy="69850"/>
              <wp:effectExtent l="0" t="0" r="0" b="0"/>
              <wp:wrapNone/>
              <wp:docPr id="1591" name="Shape 1591"/>
              <wp:cNvGraphicFramePr/>
              <a:graphic xmlns:a="http://schemas.openxmlformats.org/drawingml/2006/main">
                <a:graphicData uri="http://schemas.microsoft.com/office/word/2010/wordprocessingShape">
                  <wps:wsp>
                    <wps:cNvSpPr txBox="1"/>
                    <wps:spPr>
                      <a:xfrm>
                        <a:off x="0" y="0"/>
                        <a:ext cx="2286000" cy="69850"/>
                      </a:xfrm>
                      <a:prstGeom prst="rect">
                        <a:avLst/>
                      </a:prstGeom>
                      <a:noFill/>
                    </wps:spPr>
                    <wps:txbx>
                      <w:txbxContent>
                        <w:p w14:paraId="677DB5BC" w14:textId="77777777" w:rsidR="00D03C17" w:rsidRDefault="00D03C17">
                          <w:pPr>
                            <w:pStyle w:val="Headerorfooter0"/>
                            <w:tabs>
                              <w:tab w:val="right" w:pos="3600"/>
                            </w:tabs>
                            <w:rPr>
                              <w:sz w:val="16"/>
                              <w:szCs w:val="16"/>
                            </w:rPr>
                          </w:pPr>
                          <w:r>
                            <w:t>RABIA</w:t>
                          </w:r>
                          <w:r>
                            <w:tab/>
                          </w:r>
                          <w:r>
                            <w:rPr>
                              <w:sz w:val="16"/>
                              <w:szCs w:val="16"/>
                            </w:rPr>
                            <w:t>565</w:t>
                          </w:r>
                        </w:p>
                      </w:txbxContent>
                    </wps:txbx>
                    <wps:bodyPr lIns="0" tIns="0" rIns="0" bIns="0">
                      <a:spAutoFit/>
                    </wps:bodyPr>
                  </wps:wsp>
                </a:graphicData>
              </a:graphic>
            </wp:anchor>
          </w:drawing>
        </mc:Choice>
        <mc:Fallback>
          <w:pict>
            <v:shapetype w14:anchorId="5992F58C" id="_x0000_t202" coordsize="21600,21600" o:spt="202" path="m,l,21600r21600,l21600,xe">
              <v:stroke joinstyle="miter"/>
              <v:path gradientshapeok="t" o:connecttype="rect"/>
            </v:shapetype>
            <v:shape id="Shape 1591" o:spid="_x0000_s1169" type="#_x0000_t202" style="position:absolute;margin-left:206.7pt;margin-top:24.5pt;width:180pt;height:5.5pt;z-index:-25133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" filled="f" stroked="f">
              <v:textbox style="mso-fit-shape-to-text:t" inset="0,0,0,0">
                <w:txbxContent>
                  <w:p w14:paraId="677DB5BC" w14:textId="77777777" w:rsidR="00D03C17" w:rsidRDefault="00D03C17">
                    <w:pPr>
                      <w:pStyle w:val="Headerorfooter0"/>
                      <w:tabs>
                        <w:tab w:val="right" w:pos="3600"/>
                      </w:tabs>
                      <w:rPr>
                        <w:sz w:val="16"/>
                        <w:szCs w:val="16"/>
                      </w:rPr>
                    </w:pPr>
                    <w:r>
                      <w:t>RABIA</w:t>
                    </w:r>
                    <w:r>
                      <w:tab/>
                    </w:r>
                    <w:r>
                      <w:rPr>
                        <w:sz w:val="16"/>
                        <w:szCs w:val="16"/>
                      </w:rPr>
                      <w:t>565</w:t>
                    </w:r>
                  </w:p>
                </w:txbxContent>
              </v:textbox>
              <w10:wrap anchorx="page" anchory="page"/>
            </v:shape>
          </w:pict>
        </mc:Fallback>
      </mc:AlternateContent>
    </w:r>
    <w:r>
      <w:rPr>
        <w:noProof/>
      </w:rPr>
      <mc:AlternateContent>
        <mc:Choice Requires="wps">
          <w:drawing>
            <wp:anchor distT="0" distB="0" distL="114300" distR="114300" simplePos="0" relativeHeight="251777024" behindDoc="1" locked="0" layoutInCell="1" allowOverlap="1" wp14:anchorId="1B3859AD" wp14:editId="5BD4F552">
              <wp:simplePos x="0" y="0"/>
              <wp:positionH relativeFrom="page">
                <wp:posOffset>574040</wp:posOffset>
              </wp:positionH>
              <wp:positionV relativeFrom="page">
                <wp:posOffset>419100</wp:posOffset>
              </wp:positionV>
              <wp:extent cx="4358640" cy="0"/>
              <wp:effectExtent l="0" t="0" r="0" b="0"/>
              <wp:wrapNone/>
              <wp:docPr id="1593" name="Shape 1593"/>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0CE967A6" id="_x0000_t32" coordsize="21600,21600" o:spt="32" o:oned="t" path="m,l21600,21600e" filled="f">
              <v:path arrowok="t" fillok="f" o:connecttype="none"/>
              <o:lock v:ext="edit" shapetype="t"/>
            </v:shapetype>
            <v:shape id="Shape 1593" o:spid="_x0000_s1026" type="#_x0000_t32" style="position:absolute;margin-left:45.2pt;margin-top:33pt;width:343.2pt;height:0;z-index:-25153945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" strokeweight="1pt">
              <w10:wrap anchorx="page" anchory="page"/>
            </v:shape>
          </w:pict>
        </mc:Fallback>
      </mc:AlternateContent>
    </w:r>
  </w:p>
</w:hdr>
</file>

<file path=word/header1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42246" w14:textId="77777777" w:rsidR="00D03C17" w:rsidRDefault="00D03C17">
    <w:pPr>
      <w:spacing w:line="1" w:lineRule="exact"/>
    </w:pPr>
    <w:r>
      <w:rPr>
        <w:noProof/>
      </w:rPr>
      <mc:AlternateContent>
        <mc:Choice Requires="wps">
          <w:drawing>
            <wp:anchor distT="0" distB="0" distL="0" distR="0" simplePos="0" relativeHeight="251978752" behindDoc="1" locked="0" layoutInCell="1" allowOverlap="1" wp14:anchorId="13D442D4" wp14:editId="5114720B">
              <wp:simplePos x="0" y="0"/>
              <wp:positionH relativeFrom="page">
                <wp:posOffset>2625090</wp:posOffset>
              </wp:positionH>
              <wp:positionV relativeFrom="page">
                <wp:posOffset>311150</wp:posOffset>
              </wp:positionV>
              <wp:extent cx="2286000" cy="69850"/>
              <wp:effectExtent l="0" t="0" r="0" b="0"/>
              <wp:wrapNone/>
              <wp:docPr id="1588" name="Shape 1588"/>
              <wp:cNvGraphicFramePr/>
              <a:graphic xmlns:a="http://schemas.openxmlformats.org/drawingml/2006/main">
                <a:graphicData uri="http://schemas.microsoft.com/office/word/2010/wordprocessingShape">
                  <wps:wsp>
                    <wps:cNvSpPr txBox="1"/>
                    <wps:spPr>
                      <a:xfrm>
                        <a:off x="0" y="0"/>
                        <a:ext cx="2286000" cy="69850"/>
                      </a:xfrm>
                      <a:prstGeom prst="rect">
                        <a:avLst/>
                      </a:prstGeom>
                      <a:noFill/>
                    </wps:spPr>
                    <wps:txbx>
                      <w:txbxContent>
                        <w:p w14:paraId="2D704186" w14:textId="77777777" w:rsidR="00D03C17" w:rsidRDefault="00D03C17">
                          <w:pPr>
                            <w:pStyle w:val="Headerorfooter0"/>
                            <w:tabs>
                              <w:tab w:val="right" w:pos="3600"/>
                            </w:tabs>
                            <w:rPr>
                              <w:sz w:val="16"/>
                              <w:szCs w:val="16"/>
                            </w:rPr>
                          </w:pPr>
                          <w:r>
                            <w:t>RABIA</w:t>
                          </w:r>
                          <w:r>
                            <w:tab/>
                          </w:r>
                          <w:r>
                            <w:rPr>
                              <w:sz w:val="16"/>
                              <w:szCs w:val="16"/>
                            </w:rPr>
                            <w:t>565</w:t>
                          </w:r>
                        </w:p>
                      </w:txbxContent>
                    </wps:txbx>
                    <wps:bodyPr lIns="0" tIns="0" rIns="0" bIns="0">
                      <a:spAutoFit/>
                    </wps:bodyPr>
                  </wps:wsp>
                </a:graphicData>
              </a:graphic>
            </wp:anchor>
          </w:drawing>
        </mc:Choice>
        <mc:Fallback>
          <w:pict>
            <v:shapetype w14:anchorId="13D442D4" id="_x0000_t202" coordsize="21600,21600" o:spt="202" path="m,l,21600r21600,l21600,xe">
              <v:stroke joinstyle="miter"/>
              <v:path gradientshapeok="t" o:connecttype="rect"/>
            </v:shapetype>
            <v:shape id="Shape 1588" o:spid="_x0000_s1170" type="#_x0000_t202" style="position:absolute;margin-left:206.7pt;margin-top:24.5pt;width:180pt;height:5.5pt;z-index:-25133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" filled="f" stroked="f">
              <v:textbox style="mso-fit-shape-to-text:t" inset="0,0,0,0">
                <w:txbxContent>
                  <w:p w14:paraId="2D704186" w14:textId="77777777" w:rsidR="00D03C17" w:rsidRDefault="00D03C17">
                    <w:pPr>
                      <w:pStyle w:val="Headerorfooter0"/>
                      <w:tabs>
                        <w:tab w:val="right" w:pos="3600"/>
                      </w:tabs>
                      <w:rPr>
                        <w:sz w:val="16"/>
                        <w:szCs w:val="16"/>
                      </w:rPr>
                    </w:pPr>
                    <w:r>
                      <w:t>RABIA</w:t>
                    </w:r>
                    <w:r>
                      <w:tab/>
                    </w:r>
                    <w:r>
                      <w:rPr>
                        <w:sz w:val="16"/>
                        <w:szCs w:val="16"/>
                      </w:rPr>
                      <w:t>565</w:t>
                    </w:r>
                  </w:p>
                </w:txbxContent>
              </v:textbox>
              <w10:wrap anchorx="page" anchory="page"/>
            </v:shape>
          </w:pict>
        </mc:Fallback>
      </mc:AlternateContent>
    </w:r>
    <w:r>
      <w:rPr>
        <w:noProof/>
      </w:rPr>
      <mc:AlternateContent>
        <mc:Choice Requires="wps">
          <w:drawing>
            <wp:anchor distT="0" distB="0" distL="114300" distR="114300" simplePos="0" relativeHeight="251776000" behindDoc="1" locked="0" layoutInCell="1" allowOverlap="1" wp14:anchorId="1867DE39" wp14:editId="63C4FC75">
              <wp:simplePos x="0" y="0"/>
              <wp:positionH relativeFrom="page">
                <wp:posOffset>574040</wp:posOffset>
              </wp:positionH>
              <wp:positionV relativeFrom="page">
                <wp:posOffset>419100</wp:posOffset>
              </wp:positionV>
              <wp:extent cx="4358640" cy="0"/>
              <wp:effectExtent l="0" t="0" r="0" b="0"/>
              <wp:wrapNone/>
              <wp:docPr id="1590" name="Shape 1590"/>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4A42B4FA" id="_x0000_t32" coordsize="21600,21600" o:spt="32" o:oned="t" path="m,l21600,21600e" filled="f">
              <v:path arrowok="t" fillok="f" o:connecttype="none"/>
              <o:lock v:ext="edit" shapetype="t"/>
            </v:shapetype>
            <v:shape id="Shape 1590" o:spid="_x0000_s1026" type="#_x0000_t32" style="position:absolute;margin-left:45.2pt;margin-top:33pt;width:343.2pt;height:0;z-index:-25154048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" strokeweight="1pt">
              <w10:wrap anchorx="page" anchory="page"/>
            </v:shape>
          </w:pict>
        </mc:Fallback>
      </mc:AlternateContent>
    </w:r>
  </w:p>
</w:hdr>
</file>

<file path=word/header1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3CE1B" w14:textId="77777777" w:rsidR="00D03C17" w:rsidRDefault="00D03C17">
    <w:pPr>
      <w:spacing w:line="1" w:lineRule="exact"/>
    </w:pPr>
    <w:r>
      <w:rPr>
        <w:noProof/>
      </w:rPr>
      <mc:AlternateContent>
        <mc:Choice Requires="wps">
          <w:drawing>
            <wp:anchor distT="0" distB="0" distL="0" distR="0" simplePos="0" relativeHeight="251981824" behindDoc="1" locked="0" layoutInCell="1" allowOverlap="1" wp14:anchorId="171606D9" wp14:editId="43116D5A">
              <wp:simplePos x="0" y="0"/>
              <wp:positionH relativeFrom="page">
                <wp:posOffset>584835</wp:posOffset>
              </wp:positionH>
              <wp:positionV relativeFrom="page">
                <wp:posOffset>311150</wp:posOffset>
              </wp:positionV>
              <wp:extent cx="2294890" cy="69850"/>
              <wp:effectExtent l="0" t="0" r="0" b="0"/>
              <wp:wrapNone/>
              <wp:docPr id="1597" name="Shape 1597"/>
              <wp:cNvGraphicFramePr/>
              <a:graphic xmlns:a="http://schemas.openxmlformats.org/drawingml/2006/main">
                <a:graphicData uri="http://schemas.microsoft.com/office/word/2010/wordprocessingShape">
                  <wps:wsp>
                    <wps:cNvSpPr txBox="1"/>
                    <wps:spPr>
                      <a:xfrm>
                        <a:off x="0" y="0"/>
                        <a:ext cx="2294890" cy="69850"/>
                      </a:xfrm>
                      <a:prstGeom prst="rect">
                        <a:avLst/>
                      </a:prstGeom>
                      <a:noFill/>
                    </wps:spPr>
                    <wps:txbx>
                      <w:txbxContent>
                        <w:p w14:paraId="62B11FD6" w14:textId="77777777" w:rsidR="00D03C17" w:rsidRDefault="00D03C17">
                          <w:pPr>
                            <w:pStyle w:val="Headerorfooter0"/>
                            <w:tabs>
                              <w:tab w:val="right" w:pos="3614"/>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RABIA</w:t>
                          </w:r>
                        </w:p>
                      </w:txbxContent>
                    </wps:txbx>
                    <wps:bodyPr lIns="0" tIns="0" rIns="0" bIns="0">
                      <a:spAutoFit/>
                    </wps:bodyPr>
                  </wps:wsp>
                </a:graphicData>
              </a:graphic>
            </wp:anchor>
          </w:drawing>
        </mc:Choice>
        <mc:Fallback>
          <w:pict>
            <v:shapetype w14:anchorId="171606D9" id="_x0000_t202" coordsize="21600,21600" o:spt="202" path="m,l,21600r21600,l21600,xe">
              <v:stroke joinstyle="miter"/>
              <v:path gradientshapeok="t" o:connecttype="rect"/>
            </v:shapetype>
            <v:shape id="Shape 1597" o:spid="_x0000_s1171" type="#_x0000_t202" style="position:absolute;margin-left:46.05pt;margin-top:24.5pt;width:180.7pt;height:5.5pt;z-index:-25133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" filled="f" stroked="f">
              <v:textbox style="mso-fit-shape-to-text:t" inset="0,0,0,0">
                <w:txbxContent>
                  <w:p w14:paraId="62B11FD6" w14:textId="77777777" w:rsidR="00D03C17" w:rsidRDefault="00D03C17">
                    <w:pPr>
                      <w:pStyle w:val="Headerorfooter0"/>
                      <w:tabs>
                        <w:tab w:val="right" w:pos="3614"/>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RABIA</w:t>
                    </w:r>
                  </w:p>
                </w:txbxContent>
              </v:textbox>
              <w10:wrap anchorx="page" anchory="page"/>
            </v:shape>
          </w:pict>
        </mc:Fallback>
      </mc:AlternateContent>
    </w:r>
    <w:r>
      <w:rPr>
        <w:noProof/>
      </w:rPr>
      <mc:AlternateContent>
        <mc:Choice Requires="wps">
          <w:drawing>
            <wp:anchor distT="0" distB="0" distL="114300" distR="114300" simplePos="0" relativeHeight="251779072" behindDoc="1" locked="0" layoutInCell="1" allowOverlap="1" wp14:anchorId="0E9CEA38" wp14:editId="34D215A0">
              <wp:simplePos x="0" y="0"/>
              <wp:positionH relativeFrom="page">
                <wp:posOffset>569595</wp:posOffset>
              </wp:positionH>
              <wp:positionV relativeFrom="page">
                <wp:posOffset>419100</wp:posOffset>
              </wp:positionV>
              <wp:extent cx="4358640" cy="0"/>
              <wp:effectExtent l="0" t="0" r="0" b="0"/>
              <wp:wrapNone/>
              <wp:docPr id="1599" name="Shape 1599"/>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167C510E" id="_x0000_t32" coordsize="21600,21600" o:spt="32" o:oned="t" path="m,l21600,21600e" filled="f">
              <v:path arrowok="t" fillok="f" o:connecttype="none"/>
              <o:lock v:ext="edit" shapetype="t"/>
            </v:shapetype>
            <v:shape id="Shape 1599" o:spid="_x0000_s1026" type="#_x0000_t32" style="position:absolute;margin-left:44.85pt;margin-top:33pt;width:343.2pt;height:0;z-index:-25153740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" strokeweight="1pt">
              <w10:wrap anchorx="page" anchory="page"/>
            </v:shape>
          </w:pict>
        </mc:Fallback>
      </mc:AlternateContent>
    </w:r>
  </w:p>
</w:hdr>
</file>

<file path=word/header1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19472" w14:textId="77777777" w:rsidR="00D03C17" w:rsidRDefault="00D03C17">
    <w:pPr>
      <w:spacing w:line="1" w:lineRule="exact"/>
    </w:pPr>
    <w:r>
      <w:rPr>
        <w:noProof/>
      </w:rPr>
      <mc:AlternateContent>
        <mc:Choice Requires="wps">
          <w:drawing>
            <wp:anchor distT="0" distB="0" distL="0" distR="0" simplePos="0" relativeHeight="251980800" behindDoc="1" locked="0" layoutInCell="1" allowOverlap="1" wp14:anchorId="7A946633" wp14:editId="2A21B2E2">
              <wp:simplePos x="0" y="0"/>
              <wp:positionH relativeFrom="page">
                <wp:posOffset>2619375</wp:posOffset>
              </wp:positionH>
              <wp:positionV relativeFrom="page">
                <wp:posOffset>311150</wp:posOffset>
              </wp:positionV>
              <wp:extent cx="2286000" cy="69850"/>
              <wp:effectExtent l="0" t="0" r="0" b="0"/>
              <wp:wrapNone/>
              <wp:docPr id="1594" name="Shape 1594"/>
              <wp:cNvGraphicFramePr/>
              <a:graphic xmlns:a="http://schemas.openxmlformats.org/drawingml/2006/main">
                <a:graphicData uri="http://schemas.microsoft.com/office/word/2010/wordprocessingShape">
                  <wps:wsp>
                    <wps:cNvSpPr txBox="1"/>
                    <wps:spPr>
                      <a:xfrm>
                        <a:off x="0" y="0"/>
                        <a:ext cx="2286000" cy="69850"/>
                      </a:xfrm>
                      <a:prstGeom prst="rect">
                        <a:avLst/>
                      </a:prstGeom>
                      <a:noFill/>
                    </wps:spPr>
                    <wps:txbx>
                      <w:txbxContent>
                        <w:p w14:paraId="08DD49B3" w14:textId="77777777" w:rsidR="00D03C17" w:rsidRDefault="00D03C17">
                          <w:pPr>
                            <w:pStyle w:val="Headerorfooter0"/>
                            <w:tabs>
                              <w:tab w:val="right" w:pos="3600"/>
                            </w:tabs>
                            <w:rPr>
                              <w:sz w:val="16"/>
                              <w:szCs w:val="16"/>
                            </w:rPr>
                          </w:pPr>
                          <w:r>
                            <w:t>RABIA</w:t>
                          </w:r>
                          <w:r>
                            <w:tab/>
                          </w:r>
                          <w:r>
                            <w:fldChar w:fldCharType="begin"/>
                          </w:r>
                          <w:r>
                            <w:instrText xml:space="preserve"> PAGE \* MERGEFORMAT </w:instrText>
                          </w:r>
                          <w:r>
                            <w:fldChar w:fldCharType="separate"/>
                          </w:r>
                          <w:r>
                            <w:rPr>
                              <w:sz w:val="16"/>
                              <w:szCs w:val="16"/>
                            </w:rPr>
                            <w:t>#</w:t>
                          </w:r>
                          <w:r>
                            <w:rPr>
                              <w:sz w:val="16"/>
                              <w:szCs w:val="16"/>
                            </w:rPr>
                            <w:fldChar w:fldCharType="end"/>
                          </w:r>
                        </w:p>
                      </w:txbxContent>
                    </wps:txbx>
                    <wps:bodyPr lIns="0" tIns="0" rIns="0" bIns="0">
                      <a:spAutoFit/>
                    </wps:bodyPr>
                  </wps:wsp>
                </a:graphicData>
              </a:graphic>
            </wp:anchor>
          </w:drawing>
        </mc:Choice>
        <mc:Fallback>
          <w:pict>
            <v:shapetype w14:anchorId="7A946633" id="_x0000_t202" coordsize="21600,21600" o:spt="202" path="m,l,21600r21600,l21600,xe">
              <v:stroke joinstyle="miter"/>
              <v:path gradientshapeok="t" o:connecttype="rect"/>
            </v:shapetype>
            <v:shape id="Shape 1594" o:spid="_x0000_s1172" type="#_x0000_t202" style="position:absolute;margin-left:206.25pt;margin-top:24.5pt;width:180pt;height:5.5pt;z-index:-25133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" filled="f" stroked="f">
              <v:textbox style="mso-fit-shape-to-text:t" inset="0,0,0,0">
                <w:txbxContent>
                  <w:p w14:paraId="08DD49B3" w14:textId="77777777" w:rsidR="00D03C17" w:rsidRDefault="00D03C17">
                    <w:pPr>
                      <w:pStyle w:val="Headerorfooter0"/>
                      <w:tabs>
                        <w:tab w:val="right" w:pos="3600"/>
                      </w:tabs>
                      <w:rPr>
                        <w:sz w:val="16"/>
                        <w:szCs w:val="16"/>
                      </w:rPr>
                    </w:pPr>
                    <w:r>
                      <w:t>RABIA</w:t>
                    </w:r>
                    <w:r>
                      <w:tab/>
                    </w:r>
                    <w:r>
                      <w:fldChar w:fldCharType="begin"/>
                    </w:r>
                    <w:r>
                      <w:instrText xml:space="preserve"> PAGE \* MERGEFORMAT </w:instrText>
                    </w:r>
                    <w:r>
                      <w:fldChar w:fldCharType="separate"/>
                    </w:r>
                    <w:r>
                      <w:rPr>
                        <w:sz w:val="16"/>
                        <w:szCs w:val="16"/>
                      </w:rPr>
                      <w:t>#</w:t>
                    </w:r>
                    <w:r>
                      <w:rPr>
                        <w:sz w:val="16"/>
                        <w:szCs w:val="1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778048" behindDoc="1" locked="0" layoutInCell="1" allowOverlap="1" wp14:anchorId="69D8416B" wp14:editId="2852A45A">
              <wp:simplePos x="0" y="0"/>
              <wp:positionH relativeFrom="page">
                <wp:posOffset>567690</wp:posOffset>
              </wp:positionH>
              <wp:positionV relativeFrom="page">
                <wp:posOffset>419100</wp:posOffset>
              </wp:positionV>
              <wp:extent cx="4358640" cy="0"/>
              <wp:effectExtent l="0" t="0" r="0" b="0"/>
              <wp:wrapNone/>
              <wp:docPr id="1596" name="Shape 1596"/>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2128D7B4" id="_x0000_t32" coordsize="21600,21600" o:spt="32" o:oned="t" path="m,l21600,21600e" filled="f">
              <v:path arrowok="t" fillok="f" o:connecttype="none"/>
              <o:lock v:ext="edit" shapetype="t"/>
            </v:shapetype>
            <v:shape id="Shape 1596" o:spid="_x0000_s1026" type="#_x0000_t32" style="position:absolute;margin-left:44.7pt;margin-top:33pt;width:343.2pt;height:0;z-index:-25153843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" strokeweight="1pt">
              <w10:wrap anchorx="page" anchory="page"/>
            </v:shape>
          </w:pict>
        </mc:Fallback>
      </mc:AlternateContent>
    </w:r>
  </w:p>
</w:hdr>
</file>

<file path=word/header1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6F4A0" w14:textId="77777777" w:rsidR="00D03C17" w:rsidRDefault="00D03C17">
    <w:pPr>
      <w:spacing w:line="1" w:lineRule="exact"/>
    </w:pPr>
    <w:r>
      <w:rPr>
        <w:noProof/>
      </w:rPr>
      <mc:AlternateContent>
        <mc:Choice Requires="wps">
          <w:drawing>
            <wp:anchor distT="0" distB="0" distL="0" distR="0" simplePos="0" relativeHeight="251982848" behindDoc="1" locked="0" layoutInCell="1" allowOverlap="1" wp14:anchorId="0577DB8D" wp14:editId="622E754E">
              <wp:simplePos x="0" y="0"/>
              <wp:positionH relativeFrom="page">
                <wp:posOffset>2625090</wp:posOffset>
              </wp:positionH>
              <wp:positionV relativeFrom="page">
                <wp:posOffset>311150</wp:posOffset>
              </wp:positionV>
              <wp:extent cx="2286000" cy="69850"/>
              <wp:effectExtent l="0" t="0" r="0" b="0"/>
              <wp:wrapNone/>
              <wp:docPr id="1600" name="Shape 1600"/>
              <wp:cNvGraphicFramePr/>
              <a:graphic xmlns:a="http://schemas.openxmlformats.org/drawingml/2006/main">
                <a:graphicData uri="http://schemas.microsoft.com/office/word/2010/wordprocessingShape">
                  <wps:wsp>
                    <wps:cNvSpPr txBox="1"/>
                    <wps:spPr>
                      <a:xfrm>
                        <a:off x="0" y="0"/>
                        <a:ext cx="2286000" cy="69850"/>
                      </a:xfrm>
                      <a:prstGeom prst="rect">
                        <a:avLst/>
                      </a:prstGeom>
                      <a:noFill/>
                    </wps:spPr>
                    <wps:txbx>
                      <w:txbxContent>
                        <w:p w14:paraId="21B868E6" w14:textId="77777777" w:rsidR="00D03C17" w:rsidRDefault="00D03C17">
                          <w:pPr>
                            <w:pStyle w:val="Headerorfooter0"/>
                            <w:tabs>
                              <w:tab w:val="right" w:pos="3600"/>
                            </w:tabs>
                            <w:rPr>
                              <w:sz w:val="16"/>
                              <w:szCs w:val="16"/>
                            </w:rPr>
                          </w:pPr>
                          <w:r>
                            <w:t>RABIA</w:t>
                          </w:r>
                          <w:r>
                            <w:tab/>
                          </w:r>
                          <w:r>
                            <w:rPr>
                              <w:sz w:val="16"/>
                              <w:szCs w:val="16"/>
                            </w:rPr>
                            <w:t>565</w:t>
                          </w:r>
                        </w:p>
                      </w:txbxContent>
                    </wps:txbx>
                    <wps:bodyPr lIns="0" tIns="0" rIns="0" bIns="0">
                      <a:spAutoFit/>
                    </wps:bodyPr>
                  </wps:wsp>
                </a:graphicData>
              </a:graphic>
            </wp:anchor>
          </w:drawing>
        </mc:Choice>
        <mc:Fallback>
          <w:pict>
            <v:shapetype w14:anchorId="0577DB8D" id="_x0000_t202" coordsize="21600,21600" o:spt="202" path="m,l,21600r21600,l21600,xe">
              <v:stroke joinstyle="miter"/>
              <v:path gradientshapeok="t" o:connecttype="rect"/>
            </v:shapetype>
            <v:shape id="Shape 1600" o:spid="_x0000_s1173" type="#_x0000_t202" style="position:absolute;margin-left:206.7pt;margin-top:24.5pt;width:180pt;height:5.5pt;z-index:-25133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" filled="f" stroked="f">
              <v:textbox style="mso-fit-shape-to-text:t" inset="0,0,0,0">
                <w:txbxContent>
                  <w:p w14:paraId="21B868E6" w14:textId="77777777" w:rsidR="00D03C17" w:rsidRDefault="00D03C17">
                    <w:pPr>
                      <w:pStyle w:val="Headerorfooter0"/>
                      <w:tabs>
                        <w:tab w:val="right" w:pos="3600"/>
                      </w:tabs>
                      <w:rPr>
                        <w:sz w:val="16"/>
                        <w:szCs w:val="16"/>
                      </w:rPr>
                    </w:pPr>
                    <w:r>
                      <w:t>RABIA</w:t>
                    </w:r>
                    <w:r>
                      <w:tab/>
                    </w:r>
                    <w:r>
                      <w:rPr>
                        <w:sz w:val="16"/>
                        <w:szCs w:val="16"/>
                      </w:rPr>
                      <w:t>565</w:t>
                    </w:r>
                  </w:p>
                </w:txbxContent>
              </v:textbox>
              <w10:wrap anchorx="page" anchory="page"/>
            </v:shape>
          </w:pict>
        </mc:Fallback>
      </mc:AlternateContent>
    </w:r>
    <w:r>
      <w:rPr>
        <w:noProof/>
      </w:rPr>
      <mc:AlternateContent>
        <mc:Choice Requires="wps">
          <w:drawing>
            <wp:anchor distT="0" distB="0" distL="114300" distR="114300" simplePos="0" relativeHeight="251780096" behindDoc="1" locked="0" layoutInCell="1" allowOverlap="1" wp14:anchorId="2B571D4F" wp14:editId="480C2FB9">
              <wp:simplePos x="0" y="0"/>
              <wp:positionH relativeFrom="page">
                <wp:posOffset>574040</wp:posOffset>
              </wp:positionH>
              <wp:positionV relativeFrom="page">
                <wp:posOffset>419100</wp:posOffset>
              </wp:positionV>
              <wp:extent cx="4358640" cy="0"/>
              <wp:effectExtent l="0" t="0" r="0" b="0"/>
              <wp:wrapNone/>
              <wp:docPr id="1602" name="Shape 1602"/>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17482AD9" id="_x0000_t32" coordsize="21600,21600" o:spt="32" o:oned="t" path="m,l21600,21600e" filled="f">
              <v:path arrowok="t" fillok="f" o:connecttype="none"/>
              <o:lock v:ext="edit" shapetype="t"/>
            </v:shapetype>
            <v:shape id="Shape 1602" o:spid="_x0000_s1026" type="#_x0000_t32" style="position:absolute;margin-left:45.2pt;margin-top:33pt;width:343.2pt;height:0;z-index:-25153638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" strokeweight="1pt">
              <w10:wrap anchorx="page" anchory="page"/>
            </v:shape>
          </w:pict>
        </mc:Fallback>
      </mc:AlternateContent>
    </w:r>
  </w:p>
</w:hdr>
</file>

<file path=word/header1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161F6" w14:textId="77777777" w:rsidR="00D03C17" w:rsidRDefault="00D03C17">
    <w:pPr>
      <w:spacing w:line="1" w:lineRule="exact"/>
    </w:pPr>
    <w:r>
      <w:rPr>
        <w:noProof/>
      </w:rPr>
      <mc:AlternateContent>
        <mc:Choice Requires="wps">
          <w:drawing>
            <wp:anchor distT="0" distB="0" distL="0" distR="0" simplePos="0" relativeHeight="251985920" behindDoc="1" locked="0" layoutInCell="1" allowOverlap="1" wp14:anchorId="168FA5C0" wp14:editId="1FD66C8D">
              <wp:simplePos x="0" y="0"/>
              <wp:positionH relativeFrom="page">
                <wp:posOffset>2197735</wp:posOffset>
              </wp:positionH>
              <wp:positionV relativeFrom="page">
                <wp:posOffset>311150</wp:posOffset>
              </wp:positionV>
              <wp:extent cx="2861945" cy="79375"/>
              <wp:effectExtent l="0" t="0" r="0" b="0"/>
              <wp:wrapNone/>
              <wp:docPr id="1624" name="Shape 1624"/>
              <wp:cNvGraphicFramePr/>
              <a:graphic xmlns:a="http://schemas.openxmlformats.org/drawingml/2006/main">
                <a:graphicData uri="http://schemas.microsoft.com/office/word/2010/wordprocessingShape">
                  <wps:wsp>
                    <wps:cNvSpPr txBox="1"/>
                    <wps:spPr>
                      <a:xfrm>
                        <a:off x="0" y="0"/>
                        <a:ext cx="2861945" cy="79375"/>
                      </a:xfrm>
                      <a:prstGeom prst="rect">
                        <a:avLst/>
                      </a:prstGeom>
                      <a:noFill/>
                    </wps:spPr>
                    <wps:txbx>
                      <w:txbxContent>
                        <w:p w14:paraId="36A217D9" w14:textId="77777777" w:rsidR="00D03C17" w:rsidRDefault="00D03C17">
                          <w:pPr>
                            <w:pStyle w:val="Headerorfooter0"/>
                            <w:tabs>
                              <w:tab w:val="right" w:pos="4507"/>
                            </w:tabs>
                            <w:rPr>
                              <w:sz w:val="16"/>
                              <w:szCs w:val="16"/>
                            </w:rPr>
                          </w:pPr>
                          <w:r>
                            <w:t>RATA, FIEBRE POR MORDEDURA</w:t>
                          </w:r>
                          <w:r>
                            <w:tab/>
                          </w:r>
                          <w:r>
                            <w:fldChar w:fldCharType="begin"/>
                          </w:r>
                          <w:r>
                            <w:instrText xml:space="preserve"> PAGE \* MERGEFORMAT </w:instrText>
                          </w:r>
                          <w:r>
                            <w:fldChar w:fldCharType="separate"/>
                          </w:r>
                          <w:r>
                            <w:rPr>
                              <w:sz w:val="16"/>
                              <w:szCs w:val="16"/>
                            </w:rPr>
                            <w:t>#</w:t>
                          </w:r>
                          <w:r>
                            <w:rPr>
                              <w:sz w:val="16"/>
                              <w:szCs w:val="16"/>
                            </w:rPr>
                            <w:fldChar w:fldCharType="end"/>
                          </w:r>
                        </w:p>
                      </w:txbxContent>
                    </wps:txbx>
                    <wps:bodyPr lIns="0" tIns="0" rIns="0" bIns="0">
                      <a:spAutoFit/>
                    </wps:bodyPr>
                  </wps:wsp>
                </a:graphicData>
              </a:graphic>
            </wp:anchor>
          </w:drawing>
        </mc:Choice>
        <mc:Fallback>
          <w:pict>
            <v:shapetype w14:anchorId="168FA5C0" id="_x0000_t202" coordsize="21600,21600" o:spt="202" path="m,l,21600r21600,l21600,xe">
              <v:stroke joinstyle="miter"/>
              <v:path gradientshapeok="t" o:connecttype="rect"/>
            </v:shapetype>
            <v:shape id="Shape 1624" o:spid="_x0000_s1174" type="#_x0000_t202" style="position:absolute;margin-left:173.05pt;margin-top:24.5pt;width:225.35pt;height:6.25pt;z-index:-251330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" filled="f" stroked="f">
              <v:textbox style="mso-fit-shape-to-text:t" inset="0,0,0,0">
                <w:txbxContent>
                  <w:p w14:paraId="36A217D9" w14:textId="77777777" w:rsidR="00D03C17" w:rsidRDefault="00D03C17">
                    <w:pPr>
                      <w:pStyle w:val="Headerorfooter0"/>
                      <w:tabs>
                        <w:tab w:val="right" w:pos="4507"/>
                      </w:tabs>
                      <w:rPr>
                        <w:sz w:val="16"/>
                        <w:szCs w:val="16"/>
                      </w:rPr>
                    </w:pPr>
                    <w:r>
                      <w:t>RATA, FIEBRE POR MORDEDURA</w:t>
                    </w:r>
                    <w:r>
                      <w:tab/>
                    </w:r>
                    <w:r>
                      <w:fldChar w:fldCharType="begin"/>
                    </w:r>
                    <w:r>
                      <w:instrText xml:space="preserve"> PAGE \* MERGEFORMAT </w:instrText>
                    </w:r>
                    <w:r>
                      <w:fldChar w:fldCharType="separate"/>
                    </w:r>
                    <w:r>
                      <w:rPr>
                        <w:sz w:val="16"/>
                        <w:szCs w:val="16"/>
                      </w:rPr>
                      <w:t>#</w:t>
                    </w:r>
                    <w:r>
                      <w:rPr>
                        <w:sz w:val="16"/>
                        <w:szCs w:val="1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782144" behindDoc="1" locked="0" layoutInCell="1" allowOverlap="1" wp14:anchorId="000F20BD" wp14:editId="5F679906">
              <wp:simplePos x="0" y="0"/>
              <wp:positionH relativeFrom="page">
                <wp:posOffset>722630</wp:posOffset>
              </wp:positionH>
              <wp:positionV relativeFrom="page">
                <wp:posOffset>419100</wp:posOffset>
              </wp:positionV>
              <wp:extent cx="4358640" cy="0"/>
              <wp:effectExtent l="0" t="0" r="0" b="0"/>
              <wp:wrapNone/>
              <wp:docPr id="1626" name="Shape 1626"/>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66E51736" id="_x0000_t32" coordsize="21600,21600" o:spt="32" o:oned="t" path="m,l21600,21600e" filled="f">
              <v:path arrowok="t" fillok="f" o:connecttype="none"/>
              <o:lock v:ext="edit" shapetype="t"/>
            </v:shapetype>
            <v:shape id="Shape 1626" o:spid="_x0000_s1026" type="#_x0000_t32" style="position:absolute;margin-left:56.9pt;margin-top:33pt;width:343.2pt;height:0;z-index:-25153433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" strokeweight="1pt">
              <w10:wrap anchorx="page" anchory="page"/>
            </v:shape>
          </w:pict>
        </mc:Fallback>
      </mc:AlternateContent>
    </w:r>
  </w:p>
</w:hdr>
</file>

<file path=word/header1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D0AAE" w14:textId="77777777" w:rsidR="00D03C17" w:rsidRDefault="00D03C17">
    <w:pPr>
      <w:spacing w:line="1" w:lineRule="exact"/>
    </w:pPr>
    <w:r>
      <w:rPr>
        <w:noProof/>
      </w:rPr>
      <mc:AlternateContent>
        <mc:Choice Requires="wps">
          <w:drawing>
            <wp:anchor distT="0" distB="0" distL="0" distR="0" simplePos="0" relativeHeight="251983872" behindDoc="1" locked="0" layoutInCell="1" allowOverlap="1" wp14:anchorId="24665506" wp14:editId="04D88021">
              <wp:simplePos x="0" y="0"/>
              <wp:positionH relativeFrom="page">
                <wp:posOffset>2197735</wp:posOffset>
              </wp:positionH>
              <wp:positionV relativeFrom="page">
                <wp:posOffset>311150</wp:posOffset>
              </wp:positionV>
              <wp:extent cx="2861945" cy="79375"/>
              <wp:effectExtent l="0" t="0" r="0" b="0"/>
              <wp:wrapNone/>
              <wp:docPr id="1619" name="Shape 1619"/>
              <wp:cNvGraphicFramePr/>
              <a:graphic xmlns:a="http://schemas.openxmlformats.org/drawingml/2006/main">
                <a:graphicData uri="http://schemas.microsoft.com/office/word/2010/wordprocessingShape">
                  <wps:wsp>
                    <wps:cNvSpPr txBox="1"/>
                    <wps:spPr>
                      <a:xfrm>
                        <a:off x="0" y="0"/>
                        <a:ext cx="2861945" cy="79375"/>
                      </a:xfrm>
                      <a:prstGeom prst="rect">
                        <a:avLst/>
                      </a:prstGeom>
                      <a:noFill/>
                    </wps:spPr>
                    <wps:txbx>
                      <w:txbxContent>
                        <w:p w14:paraId="6FF18BDC" w14:textId="77777777" w:rsidR="00D03C17" w:rsidRDefault="00D03C17">
                          <w:pPr>
                            <w:pStyle w:val="Headerorfooter0"/>
                            <w:tabs>
                              <w:tab w:val="right" w:pos="4507"/>
                            </w:tabs>
                            <w:rPr>
                              <w:sz w:val="16"/>
                              <w:szCs w:val="16"/>
                            </w:rPr>
                          </w:pPr>
                          <w:r>
                            <w:t>RATA, FIEBRE POR MORDEDURA</w:t>
                          </w:r>
                          <w:r>
                            <w:tab/>
                          </w:r>
                          <w:r>
                            <w:fldChar w:fldCharType="begin"/>
                          </w:r>
                          <w:r>
                            <w:instrText xml:space="preserve"> PAGE \* MERGEFORMAT </w:instrText>
                          </w:r>
                          <w:r>
                            <w:fldChar w:fldCharType="separate"/>
                          </w:r>
                          <w:r>
                            <w:rPr>
                              <w:sz w:val="16"/>
                              <w:szCs w:val="16"/>
                            </w:rPr>
                            <w:t>#</w:t>
                          </w:r>
                          <w:r>
                            <w:rPr>
                              <w:sz w:val="16"/>
                              <w:szCs w:val="16"/>
                            </w:rPr>
                            <w:fldChar w:fldCharType="end"/>
                          </w:r>
                        </w:p>
                      </w:txbxContent>
                    </wps:txbx>
                    <wps:bodyPr lIns="0" tIns="0" rIns="0" bIns="0">
                      <a:spAutoFit/>
                    </wps:bodyPr>
                  </wps:wsp>
                </a:graphicData>
              </a:graphic>
            </wp:anchor>
          </w:drawing>
        </mc:Choice>
        <mc:Fallback>
          <w:pict>
            <v:shapetype w14:anchorId="24665506" id="_x0000_t202" coordsize="21600,21600" o:spt="202" path="m,l,21600r21600,l21600,xe">
              <v:stroke joinstyle="miter"/>
              <v:path gradientshapeok="t" o:connecttype="rect"/>
            </v:shapetype>
            <v:shape id="Shape 1619" o:spid="_x0000_s1175" type="#_x0000_t202" style="position:absolute;margin-left:173.05pt;margin-top:24.5pt;width:225.35pt;height:6.25pt;z-index:-251332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" filled="f" stroked="f">
              <v:textbox style="mso-fit-shape-to-text:t" inset="0,0,0,0">
                <w:txbxContent>
                  <w:p w14:paraId="6FF18BDC" w14:textId="77777777" w:rsidR="00D03C17" w:rsidRDefault="00D03C17">
                    <w:pPr>
                      <w:pStyle w:val="Headerorfooter0"/>
                      <w:tabs>
                        <w:tab w:val="right" w:pos="4507"/>
                      </w:tabs>
                      <w:rPr>
                        <w:sz w:val="16"/>
                        <w:szCs w:val="16"/>
                      </w:rPr>
                    </w:pPr>
                    <w:r>
                      <w:t>RATA, FIEBRE POR MORDEDURA</w:t>
                    </w:r>
                    <w:r>
                      <w:tab/>
                    </w:r>
                    <w:r>
                      <w:fldChar w:fldCharType="begin"/>
                    </w:r>
                    <w:r>
                      <w:instrText xml:space="preserve"> PAGE \* MERGEFORMAT </w:instrText>
                    </w:r>
                    <w:r>
                      <w:fldChar w:fldCharType="separate"/>
                    </w:r>
                    <w:r>
                      <w:rPr>
                        <w:sz w:val="16"/>
                        <w:szCs w:val="16"/>
                      </w:rPr>
                      <w:t>#</w:t>
                    </w:r>
                    <w:r>
                      <w:rPr>
                        <w:sz w:val="16"/>
                        <w:szCs w:val="1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781120" behindDoc="1" locked="0" layoutInCell="1" allowOverlap="1" wp14:anchorId="00B82744" wp14:editId="33C714CD">
              <wp:simplePos x="0" y="0"/>
              <wp:positionH relativeFrom="page">
                <wp:posOffset>722630</wp:posOffset>
              </wp:positionH>
              <wp:positionV relativeFrom="page">
                <wp:posOffset>419100</wp:posOffset>
              </wp:positionV>
              <wp:extent cx="4358640" cy="0"/>
              <wp:effectExtent l="0" t="0" r="0" b="0"/>
              <wp:wrapNone/>
              <wp:docPr id="1621" name="Shape 1621"/>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695D5F3A" id="_x0000_t32" coordsize="21600,21600" o:spt="32" o:oned="t" path="m,l21600,21600e" filled="f">
              <v:path arrowok="t" fillok="f" o:connecttype="none"/>
              <o:lock v:ext="edit" shapetype="t"/>
            </v:shapetype>
            <v:shape id="Shape 1621" o:spid="_x0000_s1026" type="#_x0000_t32" style="position:absolute;margin-left:56.9pt;margin-top:33pt;width:343.2pt;height:0;z-index:-25153536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" strokeweight="1pt">
              <w10:wrap anchorx="page" anchory="page"/>
            </v:shape>
          </w:pict>
        </mc:Fallback>
      </mc:AlternateContent>
    </w:r>
  </w:p>
</w:hdr>
</file>

<file path=word/header1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CF9FC" w14:textId="77777777" w:rsidR="00D03C17" w:rsidRDefault="00D03C17">
    <w:pPr>
      <w:spacing w:line="1" w:lineRule="exact"/>
    </w:pPr>
    <w:r>
      <w:rPr>
        <w:noProof/>
      </w:rPr>
      <mc:AlternateContent>
        <mc:Choice Requires="wps">
          <w:drawing>
            <wp:anchor distT="0" distB="0" distL="0" distR="0" simplePos="0" relativeHeight="251988992" behindDoc="1" locked="0" layoutInCell="1" allowOverlap="1" wp14:anchorId="226C9084" wp14:editId="39F0EFEB">
              <wp:simplePos x="0" y="0"/>
              <wp:positionH relativeFrom="page">
                <wp:posOffset>548640</wp:posOffset>
              </wp:positionH>
              <wp:positionV relativeFrom="page">
                <wp:posOffset>311150</wp:posOffset>
              </wp:positionV>
              <wp:extent cx="2874010" cy="79375"/>
              <wp:effectExtent l="0" t="0" r="0" b="0"/>
              <wp:wrapNone/>
              <wp:docPr id="1632" name="Shape 1632"/>
              <wp:cNvGraphicFramePr/>
              <a:graphic xmlns:a="http://schemas.openxmlformats.org/drawingml/2006/main">
                <a:graphicData uri="http://schemas.microsoft.com/office/word/2010/wordprocessingShape">
                  <wps:wsp>
                    <wps:cNvSpPr txBox="1"/>
                    <wps:spPr>
                      <a:xfrm>
                        <a:off x="0" y="0"/>
                        <a:ext cx="2874010" cy="79375"/>
                      </a:xfrm>
                      <a:prstGeom prst="rect">
                        <a:avLst/>
                      </a:prstGeom>
                      <a:noFill/>
                    </wps:spPr>
                    <wps:txbx>
                      <w:txbxContent>
                        <w:p w14:paraId="0FDADA92" w14:textId="77777777" w:rsidR="00D03C17" w:rsidRDefault="00D03C17">
                          <w:pPr>
                            <w:pStyle w:val="Headerorfooter0"/>
                            <w:tabs>
                              <w:tab w:val="right" w:pos="4526"/>
                            </w:tabs>
                          </w:pPr>
                          <w:r>
                            <w:rPr>
                              <w:sz w:val="16"/>
                              <w:szCs w:val="16"/>
                            </w:rPr>
                            <w:t>574</w:t>
                          </w:r>
                          <w:r>
                            <w:rPr>
                              <w:sz w:val="16"/>
                              <w:szCs w:val="16"/>
                            </w:rPr>
                            <w:tab/>
                          </w:r>
                          <w:r>
                            <w:t>RESPIRATORIO, VIRUS SINCITIAL</w:t>
                          </w:r>
                        </w:p>
                      </w:txbxContent>
                    </wps:txbx>
                    <wps:bodyPr lIns="0" tIns="0" rIns="0" bIns="0">
                      <a:spAutoFit/>
                    </wps:bodyPr>
                  </wps:wsp>
                </a:graphicData>
              </a:graphic>
            </wp:anchor>
          </w:drawing>
        </mc:Choice>
        <mc:Fallback>
          <w:pict>
            <v:shapetype w14:anchorId="226C9084" id="_x0000_t202" coordsize="21600,21600" o:spt="202" path="m,l,21600r21600,l21600,xe">
              <v:stroke joinstyle="miter"/>
              <v:path gradientshapeok="t" o:connecttype="rect"/>
            </v:shapetype>
            <v:shape id="Shape 1632" o:spid="_x0000_s1178" type="#_x0000_t202" style="position:absolute;margin-left:43.2pt;margin-top:24.5pt;width:226.3pt;height:6.25pt;z-index:-251327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" filled="f" stroked="f">
              <v:textbox style="mso-fit-shape-to-text:t" inset="0,0,0,0">
                <w:txbxContent>
                  <w:p w14:paraId="0FDADA92" w14:textId="77777777" w:rsidR="00D03C17" w:rsidRDefault="00D03C17">
                    <w:pPr>
                      <w:pStyle w:val="Headerorfooter0"/>
                      <w:tabs>
                        <w:tab w:val="right" w:pos="4526"/>
                      </w:tabs>
                    </w:pPr>
                    <w:r>
                      <w:rPr>
                        <w:sz w:val="16"/>
                        <w:szCs w:val="16"/>
                      </w:rPr>
                      <w:t>574</w:t>
                    </w:r>
                    <w:r>
                      <w:rPr>
                        <w:sz w:val="16"/>
                        <w:szCs w:val="16"/>
                      </w:rPr>
                      <w:tab/>
                    </w:r>
                    <w:r>
                      <w:t>RESPIRATORIO, VIRUS SINCITIAL</w:t>
                    </w:r>
                  </w:p>
                </w:txbxContent>
              </v:textbox>
              <w10:wrap anchorx="page" anchory="page"/>
            </v:shape>
          </w:pict>
        </mc:Fallback>
      </mc:AlternateContent>
    </w:r>
    <w:r>
      <w:rPr>
        <w:noProof/>
      </w:rPr>
      <mc:AlternateContent>
        <mc:Choice Requires="wps">
          <w:drawing>
            <wp:anchor distT="0" distB="0" distL="114300" distR="114300" simplePos="0" relativeHeight="251784192" behindDoc="1" locked="0" layoutInCell="1" allowOverlap="1" wp14:anchorId="6B30EDA6" wp14:editId="4F19ECFE">
              <wp:simplePos x="0" y="0"/>
              <wp:positionH relativeFrom="page">
                <wp:posOffset>533400</wp:posOffset>
              </wp:positionH>
              <wp:positionV relativeFrom="page">
                <wp:posOffset>419100</wp:posOffset>
              </wp:positionV>
              <wp:extent cx="4358640" cy="0"/>
              <wp:effectExtent l="0" t="0" r="0" b="0"/>
              <wp:wrapNone/>
              <wp:docPr id="1634" name="Shape 1634"/>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133D1105" id="_x0000_t32" coordsize="21600,21600" o:spt="32" o:oned="t" path="m,l21600,21600e" filled="f">
              <v:path arrowok="t" fillok="f" o:connecttype="none"/>
              <o:lock v:ext="edit" shapetype="t"/>
            </v:shapetype>
            <v:shape id="Shape 1634" o:spid="_x0000_s1026" type="#_x0000_t32" style="position:absolute;margin-left:42pt;margin-top:33pt;width:343.2pt;height:0;z-index:-25153228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" strokeweight="1pt">
              <w10:wrap anchorx="page" anchory="page"/>
            </v:shape>
          </w:pict>
        </mc:Fallback>
      </mc:AlternateContent>
    </w:r>
  </w:p>
</w:hdr>
</file>

<file path=word/header1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0E0C5" w14:textId="77777777" w:rsidR="00D03C17" w:rsidRDefault="00D03C17">
    <w:pPr>
      <w:spacing w:line="1" w:lineRule="exact"/>
    </w:pPr>
    <w:r>
      <w:rPr>
        <w:noProof/>
      </w:rPr>
      <mc:AlternateContent>
        <mc:Choice Requires="wps">
          <w:drawing>
            <wp:anchor distT="0" distB="0" distL="0" distR="0" simplePos="0" relativeHeight="251987968" behindDoc="1" locked="0" layoutInCell="1" allowOverlap="1" wp14:anchorId="30A5B77F" wp14:editId="607D5A34">
              <wp:simplePos x="0" y="0"/>
              <wp:positionH relativeFrom="page">
                <wp:posOffset>548640</wp:posOffset>
              </wp:positionH>
              <wp:positionV relativeFrom="page">
                <wp:posOffset>311150</wp:posOffset>
              </wp:positionV>
              <wp:extent cx="2874010" cy="79375"/>
              <wp:effectExtent l="0" t="0" r="0" b="0"/>
              <wp:wrapNone/>
              <wp:docPr id="1629" name="Shape 1629"/>
              <wp:cNvGraphicFramePr/>
              <a:graphic xmlns:a="http://schemas.openxmlformats.org/drawingml/2006/main">
                <a:graphicData uri="http://schemas.microsoft.com/office/word/2010/wordprocessingShape">
                  <wps:wsp>
                    <wps:cNvSpPr txBox="1"/>
                    <wps:spPr>
                      <a:xfrm>
                        <a:off x="0" y="0"/>
                        <a:ext cx="2874010" cy="79375"/>
                      </a:xfrm>
                      <a:prstGeom prst="rect">
                        <a:avLst/>
                      </a:prstGeom>
                      <a:noFill/>
                    </wps:spPr>
                    <wps:txbx>
                      <w:txbxContent>
                        <w:p w14:paraId="47DF200D" w14:textId="77777777" w:rsidR="00D03C17" w:rsidRDefault="00D03C17">
                          <w:pPr>
                            <w:pStyle w:val="Headerorfooter0"/>
                            <w:tabs>
                              <w:tab w:val="right" w:pos="4526"/>
                            </w:tabs>
                          </w:pPr>
                          <w:r>
                            <w:rPr>
                              <w:sz w:val="16"/>
                              <w:szCs w:val="16"/>
                            </w:rPr>
                            <w:t>574</w:t>
                          </w:r>
                          <w:r>
                            <w:rPr>
                              <w:sz w:val="16"/>
                              <w:szCs w:val="16"/>
                            </w:rPr>
                            <w:tab/>
                          </w:r>
                          <w:r>
                            <w:t>RESPIRATORIO, VIRUS SINCITIAL</w:t>
                          </w:r>
                        </w:p>
                      </w:txbxContent>
                    </wps:txbx>
                    <wps:bodyPr lIns="0" tIns="0" rIns="0" bIns="0">
                      <a:spAutoFit/>
                    </wps:bodyPr>
                  </wps:wsp>
                </a:graphicData>
              </a:graphic>
            </wp:anchor>
          </w:drawing>
        </mc:Choice>
        <mc:Fallback>
          <w:pict>
            <v:shapetype w14:anchorId="30A5B77F" id="_x0000_t202" coordsize="21600,21600" o:spt="202" path="m,l,21600r21600,l21600,xe">
              <v:stroke joinstyle="miter"/>
              <v:path gradientshapeok="t" o:connecttype="rect"/>
            </v:shapetype>
            <v:shape id="Shape 1629" o:spid="_x0000_s1179" type="#_x0000_t202" style="position:absolute;margin-left:43.2pt;margin-top:24.5pt;width:226.3pt;height:6.25pt;z-index:-251328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" filled="f" stroked="f">
              <v:textbox style="mso-fit-shape-to-text:t" inset="0,0,0,0">
                <w:txbxContent>
                  <w:p w14:paraId="47DF200D" w14:textId="77777777" w:rsidR="00D03C17" w:rsidRDefault="00D03C17">
                    <w:pPr>
                      <w:pStyle w:val="Headerorfooter0"/>
                      <w:tabs>
                        <w:tab w:val="right" w:pos="4526"/>
                      </w:tabs>
                    </w:pPr>
                    <w:r>
                      <w:rPr>
                        <w:sz w:val="16"/>
                        <w:szCs w:val="16"/>
                      </w:rPr>
                      <w:t>574</w:t>
                    </w:r>
                    <w:r>
                      <w:rPr>
                        <w:sz w:val="16"/>
                        <w:szCs w:val="16"/>
                      </w:rPr>
                      <w:tab/>
                    </w:r>
                    <w:r>
                      <w:t>RESPIRATORIO, VIRUS SINCITIAL</w:t>
                    </w:r>
                  </w:p>
                </w:txbxContent>
              </v:textbox>
              <w10:wrap anchorx="page" anchory="page"/>
            </v:shape>
          </w:pict>
        </mc:Fallback>
      </mc:AlternateContent>
    </w:r>
    <w:r>
      <w:rPr>
        <w:noProof/>
      </w:rPr>
      <mc:AlternateContent>
        <mc:Choice Requires="wps">
          <w:drawing>
            <wp:anchor distT="0" distB="0" distL="114300" distR="114300" simplePos="0" relativeHeight="251783168" behindDoc="1" locked="0" layoutInCell="1" allowOverlap="1" wp14:anchorId="43FA5947" wp14:editId="763FD135">
              <wp:simplePos x="0" y="0"/>
              <wp:positionH relativeFrom="page">
                <wp:posOffset>533400</wp:posOffset>
              </wp:positionH>
              <wp:positionV relativeFrom="page">
                <wp:posOffset>419100</wp:posOffset>
              </wp:positionV>
              <wp:extent cx="4358640" cy="0"/>
              <wp:effectExtent l="0" t="0" r="0" b="0"/>
              <wp:wrapNone/>
              <wp:docPr id="1631" name="Shape 1631"/>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0D2E05BC" id="_x0000_t32" coordsize="21600,21600" o:spt="32" o:oned="t" path="m,l21600,21600e" filled="f">
              <v:path arrowok="t" fillok="f" o:connecttype="none"/>
              <o:lock v:ext="edit" shapetype="t"/>
            </v:shapetype>
            <v:shape id="Shape 1631" o:spid="_x0000_s1026" type="#_x0000_t32" style="position:absolute;margin-left:42pt;margin-top:33pt;width:343.2pt;height:0;z-index:-25153331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" strokeweight="1pt">
              <w10:wrap anchorx="page" anchory="page"/>
            </v:shape>
          </w:pict>
        </mc:Fallback>
      </mc:AlternateContent>
    </w:r>
  </w:p>
</w:hdr>
</file>

<file path=word/header1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F3487" w14:textId="77777777" w:rsidR="00D03C17" w:rsidRDefault="00D03C17">
    <w:pPr>
      <w:spacing w:line="1" w:lineRule="exact"/>
    </w:pPr>
    <w:r>
      <w:rPr>
        <w:noProof/>
      </w:rPr>
      <mc:AlternateContent>
        <mc:Choice Requires="wps">
          <w:drawing>
            <wp:anchor distT="0" distB="0" distL="0" distR="0" simplePos="0" relativeHeight="251991040" behindDoc="1" locked="0" layoutInCell="1" allowOverlap="1" wp14:anchorId="0949C4FC" wp14:editId="6E16AC38">
              <wp:simplePos x="0" y="0"/>
              <wp:positionH relativeFrom="page">
                <wp:posOffset>548640</wp:posOffset>
              </wp:positionH>
              <wp:positionV relativeFrom="page">
                <wp:posOffset>311150</wp:posOffset>
              </wp:positionV>
              <wp:extent cx="2874010" cy="79375"/>
              <wp:effectExtent l="0" t="0" r="0" b="0"/>
              <wp:wrapNone/>
              <wp:docPr id="1640" name="Shape 1640"/>
              <wp:cNvGraphicFramePr/>
              <a:graphic xmlns:a="http://schemas.openxmlformats.org/drawingml/2006/main">
                <a:graphicData uri="http://schemas.microsoft.com/office/word/2010/wordprocessingShape">
                  <wps:wsp>
                    <wps:cNvSpPr txBox="1"/>
                    <wps:spPr>
                      <a:xfrm>
                        <a:off x="0" y="0"/>
                        <a:ext cx="2874010" cy="79375"/>
                      </a:xfrm>
                      <a:prstGeom prst="rect">
                        <a:avLst/>
                      </a:prstGeom>
                      <a:noFill/>
                    </wps:spPr>
                    <wps:txbx>
                      <w:txbxContent>
                        <w:p w14:paraId="2B471A3A" w14:textId="77777777" w:rsidR="00D03C17" w:rsidRDefault="00D03C17">
                          <w:pPr>
                            <w:pStyle w:val="Headerorfooter0"/>
                            <w:tabs>
                              <w:tab w:val="right" w:pos="4526"/>
                            </w:tabs>
                          </w:pPr>
                          <w:r>
                            <w:rPr>
                              <w:sz w:val="16"/>
                              <w:szCs w:val="16"/>
                            </w:rPr>
                            <w:t>574</w:t>
                          </w:r>
                          <w:r>
                            <w:rPr>
                              <w:sz w:val="16"/>
                              <w:szCs w:val="16"/>
                            </w:rPr>
                            <w:tab/>
                          </w:r>
                          <w:r>
                            <w:t>RESPIRATORIO, VIRUS SINCITIAL</w:t>
                          </w:r>
                        </w:p>
                      </w:txbxContent>
                    </wps:txbx>
                    <wps:bodyPr lIns="0" tIns="0" rIns="0" bIns="0">
                      <a:spAutoFit/>
                    </wps:bodyPr>
                  </wps:wsp>
                </a:graphicData>
              </a:graphic>
            </wp:anchor>
          </w:drawing>
        </mc:Choice>
        <mc:Fallback>
          <w:pict>
            <v:shapetype w14:anchorId="0949C4FC" id="_x0000_t202" coordsize="21600,21600" o:spt="202" path="m,l,21600r21600,l21600,xe">
              <v:stroke joinstyle="miter"/>
              <v:path gradientshapeok="t" o:connecttype="rect"/>
            </v:shapetype>
            <v:shape id="Shape 1640" o:spid="_x0000_s1180" type="#_x0000_t202" style="position:absolute;margin-left:43.2pt;margin-top:24.5pt;width:226.3pt;height:6.25pt;z-index:-251325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" filled="f" stroked="f">
              <v:textbox style="mso-fit-shape-to-text:t" inset="0,0,0,0">
                <w:txbxContent>
                  <w:p w14:paraId="2B471A3A" w14:textId="77777777" w:rsidR="00D03C17" w:rsidRDefault="00D03C17">
                    <w:pPr>
                      <w:pStyle w:val="Headerorfooter0"/>
                      <w:tabs>
                        <w:tab w:val="right" w:pos="4526"/>
                      </w:tabs>
                    </w:pPr>
                    <w:r>
                      <w:rPr>
                        <w:sz w:val="16"/>
                        <w:szCs w:val="16"/>
                      </w:rPr>
                      <w:t>574</w:t>
                    </w:r>
                    <w:r>
                      <w:rPr>
                        <w:sz w:val="16"/>
                        <w:szCs w:val="16"/>
                      </w:rPr>
                      <w:tab/>
                    </w:r>
                    <w:r>
                      <w:t>RESPIRATORIO, VIRUS SINCITIAL</w:t>
                    </w:r>
                  </w:p>
                </w:txbxContent>
              </v:textbox>
              <w10:wrap anchorx="page" anchory="page"/>
            </v:shape>
          </w:pict>
        </mc:Fallback>
      </mc:AlternateContent>
    </w:r>
    <w:r>
      <w:rPr>
        <w:noProof/>
      </w:rPr>
      <mc:AlternateContent>
        <mc:Choice Requires="wps">
          <w:drawing>
            <wp:anchor distT="0" distB="0" distL="114300" distR="114300" simplePos="0" relativeHeight="251786240" behindDoc="1" locked="0" layoutInCell="1" allowOverlap="1" wp14:anchorId="76D9D4C8" wp14:editId="1DC4E0FD">
              <wp:simplePos x="0" y="0"/>
              <wp:positionH relativeFrom="page">
                <wp:posOffset>533400</wp:posOffset>
              </wp:positionH>
              <wp:positionV relativeFrom="page">
                <wp:posOffset>419100</wp:posOffset>
              </wp:positionV>
              <wp:extent cx="4358640" cy="0"/>
              <wp:effectExtent l="0" t="0" r="0" b="0"/>
              <wp:wrapNone/>
              <wp:docPr id="1642" name="Shape 1642"/>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71D5152D" id="_x0000_t32" coordsize="21600,21600" o:spt="32" o:oned="t" path="m,l21600,21600e" filled="f">
              <v:path arrowok="t" fillok="f" o:connecttype="none"/>
              <o:lock v:ext="edit" shapetype="t"/>
            </v:shapetype>
            <v:shape id="Shape 1642" o:spid="_x0000_s1026" type="#_x0000_t32" style="position:absolute;margin-left:42pt;margin-top:33pt;width:343.2pt;height:0;z-index:-25153024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" strokeweight="1pt">
              <w10:wrap anchorx="page" anchory="page"/>
            </v:shape>
          </w:pict>
        </mc:Fallback>
      </mc:AlternateContent>
    </w:r>
  </w:p>
</w:hdr>
</file>

<file path=word/header1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1A365" w14:textId="77777777" w:rsidR="00D03C17" w:rsidRDefault="00D03C17">
    <w:pPr>
      <w:spacing w:line="1" w:lineRule="exact"/>
    </w:pPr>
    <w:r>
      <w:rPr>
        <w:noProof/>
      </w:rPr>
      <mc:AlternateContent>
        <mc:Choice Requires="wps">
          <w:drawing>
            <wp:anchor distT="0" distB="0" distL="0" distR="0" simplePos="0" relativeHeight="251990016" behindDoc="1" locked="0" layoutInCell="1" allowOverlap="1" wp14:anchorId="24F805C8" wp14:editId="5A028227">
              <wp:simplePos x="0" y="0"/>
              <wp:positionH relativeFrom="page">
                <wp:posOffset>2011680</wp:posOffset>
              </wp:positionH>
              <wp:positionV relativeFrom="page">
                <wp:posOffset>311150</wp:posOffset>
              </wp:positionV>
              <wp:extent cx="2865120" cy="79375"/>
              <wp:effectExtent l="0" t="0" r="0" b="0"/>
              <wp:wrapNone/>
              <wp:docPr id="1637" name="Shape 1637"/>
              <wp:cNvGraphicFramePr/>
              <a:graphic xmlns:a="http://schemas.openxmlformats.org/drawingml/2006/main">
                <a:graphicData uri="http://schemas.microsoft.com/office/word/2010/wordprocessingShape">
                  <wps:wsp>
                    <wps:cNvSpPr txBox="1"/>
                    <wps:spPr>
                      <a:xfrm>
                        <a:off x="0" y="0"/>
                        <a:ext cx="2865120" cy="79375"/>
                      </a:xfrm>
                      <a:prstGeom prst="rect">
                        <a:avLst/>
                      </a:prstGeom>
                      <a:noFill/>
                    </wps:spPr>
                    <wps:txbx>
                      <w:txbxContent>
                        <w:p w14:paraId="00E3A695" w14:textId="77777777" w:rsidR="00D03C17" w:rsidRDefault="00D03C17">
                          <w:pPr>
                            <w:pStyle w:val="Headerorfooter0"/>
                            <w:tabs>
                              <w:tab w:val="right" w:pos="4512"/>
                            </w:tabs>
                            <w:rPr>
                              <w:sz w:val="16"/>
                              <w:szCs w:val="16"/>
                            </w:rPr>
                          </w:pPr>
                          <w:r>
                            <w:t>RESPIRATORIO, VIRUS SINCITIAL</w:t>
                          </w:r>
                          <w:r>
                            <w:tab/>
                          </w:r>
                          <w:r>
                            <w:fldChar w:fldCharType="begin"/>
                          </w:r>
                          <w:r>
                            <w:instrText xml:space="preserve"> PAGE \* MERGEFORMAT </w:instrText>
                          </w:r>
                          <w:r>
                            <w:fldChar w:fldCharType="separate"/>
                          </w:r>
                          <w:r>
                            <w:rPr>
                              <w:sz w:val="16"/>
                              <w:szCs w:val="16"/>
                            </w:rPr>
                            <w:t>#</w:t>
                          </w:r>
                          <w:r>
                            <w:rPr>
                              <w:sz w:val="16"/>
                              <w:szCs w:val="16"/>
                            </w:rPr>
                            <w:fldChar w:fldCharType="end"/>
                          </w:r>
                        </w:p>
                      </w:txbxContent>
                    </wps:txbx>
                    <wps:bodyPr lIns="0" tIns="0" rIns="0" bIns="0">
                      <a:spAutoFit/>
                    </wps:bodyPr>
                  </wps:wsp>
                </a:graphicData>
              </a:graphic>
            </wp:anchor>
          </w:drawing>
        </mc:Choice>
        <mc:Fallback>
          <w:pict>
            <v:shapetype w14:anchorId="24F805C8" id="_x0000_t202" coordsize="21600,21600" o:spt="202" path="m,l,21600r21600,l21600,xe">
              <v:stroke joinstyle="miter"/>
              <v:path gradientshapeok="t" o:connecttype="rect"/>
            </v:shapetype>
            <v:shape id="Shape 1637" o:spid="_x0000_s1181" type="#_x0000_t202" style="position:absolute;margin-left:158.4pt;margin-top:24.5pt;width:225.6pt;height:6.25pt;z-index:-251326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" filled="f" stroked="f">
              <v:textbox style="mso-fit-shape-to-text:t" inset="0,0,0,0">
                <w:txbxContent>
                  <w:p w14:paraId="00E3A695" w14:textId="77777777" w:rsidR="00D03C17" w:rsidRDefault="00D03C17">
                    <w:pPr>
                      <w:pStyle w:val="Headerorfooter0"/>
                      <w:tabs>
                        <w:tab w:val="right" w:pos="4512"/>
                      </w:tabs>
                      <w:rPr>
                        <w:sz w:val="16"/>
                        <w:szCs w:val="16"/>
                      </w:rPr>
                    </w:pPr>
                    <w:r>
                      <w:t>RESPIRATORIO, VIRUS SINCITIAL</w:t>
                    </w:r>
                    <w:r>
                      <w:tab/>
                    </w:r>
                    <w:r>
                      <w:fldChar w:fldCharType="begin"/>
                    </w:r>
                    <w:r>
                      <w:instrText xml:space="preserve"> PAGE \* MERGEFORMAT </w:instrText>
                    </w:r>
                    <w:r>
                      <w:fldChar w:fldCharType="separate"/>
                    </w:r>
                    <w:r>
                      <w:rPr>
                        <w:sz w:val="16"/>
                        <w:szCs w:val="16"/>
                      </w:rPr>
                      <w:t>#</w:t>
                    </w:r>
                    <w:r>
                      <w:rPr>
                        <w:sz w:val="16"/>
                        <w:szCs w:val="1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785216" behindDoc="1" locked="0" layoutInCell="1" allowOverlap="1" wp14:anchorId="2D47EA5C" wp14:editId="3AF69D3F">
              <wp:simplePos x="0" y="0"/>
              <wp:positionH relativeFrom="page">
                <wp:posOffset>539115</wp:posOffset>
              </wp:positionH>
              <wp:positionV relativeFrom="page">
                <wp:posOffset>419100</wp:posOffset>
              </wp:positionV>
              <wp:extent cx="4358640" cy="0"/>
              <wp:effectExtent l="0" t="0" r="0" b="0"/>
              <wp:wrapNone/>
              <wp:docPr id="1639" name="Shape 1639"/>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3650FE74" id="_x0000_t32" coordsize="21600,21600" o:spt="32" o:oned="t" path="m,l21600,21600e" filled="f">
              <v:path arrowok="t" fillok="f" o:connecttype="none"/>
              <o:lock v:ext="edit" shapetype="t"/>
            </v:shapetype>
            <v:shape id="Shape 1639" o:spid="_x0000_s1026" type="#_x0000_t32" style="position:absolute;margin-left:42.45pt;margin-top:33pt;width:343.2pt;height:0;z-index:-25153126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" strokeweight="1pt">
              <w10:wrap anchorx="page" anchory="page"/>
            </v:shape>
          </w:pict>
        </mc:Fallback>
      </mc:AlternateContent>
    </w:r>
  </w:p>
</w:hdr>
</file>

<file path=word/header1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EA2D9" w14:textId="77777777" w:rsidR="00D03C17" w:rsidRDefault="00D03C17">
    <w:pPr>
      <w:spacing w:line="1" w:lineRule="exact"/>
    </w:pPr>
    <w:r>
      <w:rPr>
        <w:noProof/>
      </w:rPr>
      <mc:AlternateContent>
        <mc:Choice Requires="wps">
          <w:drawing>
            <wp:anchor distT="0" distB="0" distL="0" distR="0" simplePos="0" relativeHeight="251993088" behindDoc="1" locked="0" layoutInCell="1" allowOverlap="1" wp14:anchorId="21FB3ADA" wp14:editId="3E0D832E">
              <wp:simplePos x="0" y="0"/>
              <wp:positionH relativeFrom="page">
                <wp:posOffset>542290</wp:posOffset>
              </wp:positionH>
              <wp:positionV relativeFrom="page">
                <wp:posOffset>311150</wp:posOffset>
              </wp:positionV>
              <wp:extent cx="2764790" cy="79375"/>
              <wp:effectExtent l="0" t="0" r="0" b="0"/>
              <wp:wrapNone/>
              <wp:docPr id="1646" name="Shape 1646"/>
              <wp:cNvGraphicFramePr/>
              <a:graphic xmlns:a="http://schemas.openxmlformats.org/drawingml/2006/main">
                <a:graphicData uri="http://schemas.microsoft.com/office/word/2010/wordprocessingShape">
                  <wps:wsp>
                    <wps:cNvSpPr txBox="1"/>
                    <wps:spPr>
                      <a:xfrm>
                        <a:off x="0" y="0"/>
                        <a:ext cx="2764790" cy="79375"/>
                      </a:xfrm>
                      <a:prstGeom prst="rect">
                        <a:avLst/>
                      </a:prstGeom>
                      <a:noFill/>
                    </wps:spPr>
                    <wps:txbx>
                      <w:txbxContent>
                        <w:p w14:paraId="48EAE4B4" w14:textId="77777777" w:rsidR="00D03C17" w:rsidRDefault="00D03C17">
                          <w:pPr>
                            <w:pStyle w:val="Headerorfooter0"/>
                            <w:tabs>
                              <w:tab w:val="right" w:pos="4354"/>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RHINOVIRUS, INFECCIONES</w:t>
                          </w:r>
                        </w:p>
                      </w:txbxContent>
                    </wps:txbx>
                    <wps:bodyPr lIns="0" tIns="0" rIns="0" bIns="0">
                      <a:spAutoFit/>
                    </wps:bodyPr>
                  </wps:wsp>
                </a:graphicData>
              </a:graphic>
            </wp:anchor>
          </w:drawing>
        </mc:Choice>
        <mc:Fallback>
          <w:pict>
            <v:shapetype w14:anchorId="21FB3ADA" id="_x0000_t202" coordsize="21600,21600" o:spt="202" path="m,l,21600r21600,l21600,xe">
              <v:stroke joinstyle="miter"/>
              <v:path gradientshapeok="t" o:connecttype="rect"/>
            </v:shapetype>
            <v:shape id="Shape 1646" o:spid="_x0000_s1182" type="#_x0000_t202" style="position:absolute;margin-left:42.7pt;margin-top:24.5pt;width:217.7pt;height:6.25pt;z-index:-251323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" filled="f" stroked="f">
              <v:textbox style="mso-fit-shape-to-text:t" inset="0,0,0,0">
                <w:txbxContent>
                  <w:p w14:paraId="48EAE4B4" w14:textId="77777777" w:rsidR="00D03C17" w:rsidRDefault="00D03C17">
                    <w:pPr>
                      <w:pStyle w:val="Headerorfooter0"/>
                      <w:tabs>
                        <w:tab w:val="right" w:pos="4354"/>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RHINOVIRUS, INFECCIONES</w:t>
                    </w:r>
                  </w:p>
                </w:txbxContent>
              </v:textbox>
              <w10:wrap anchorx="page" anchory="page"/>
            </v:shape>
          </w:pict>
        </mc:Fallback>
      </mc:AlternateContent>
    </w:r>
    <w:r>
      <w:rPr>
        <w:noProof/>
      </w:rPr>
      <mc:AlternateContent>
        <mc:Choice Requires="wps">
          <w:drawing>
            <wp:anchor distT="0" distB="0" distL="114300" distR="114300" simplePos="0" relativeHeight="251788288" behindDoc="1" locked="0" layoutInCell="1" allowOverlap="1" wp14:anchorId="276E4837" wp14:editId="4CD52AEA">
              <wp:simplePos x="0" y="0"/>
              <wp:positionH relativeFrom="page">
                <wp:posOffset>527050</wp:posOffset>
              </wp:positionH>
              <wp:positionV relativeFrom="page">
                <wp:posOffset>419100</wp:posOffset>
              </wp:positionV>
              <wp:extent cx="4358640" cy="0"/>
              <wp:effectExtent l="0" t="0" r="0" b="0"/>
              <wp:wrapNone/>
              <wp:docPr id="1648" name="Shape 1648"/>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436E9451" id="_x0000_t32" coordsize="21600,21600" o:spt="32" o:oned="t" path="m,l21600,21600e" filled="f">
              <v:path arrowok="t" fillok="f" o:connecttype="none"/>
              <o:lock v:ext="edit" shapetype="t"/>
            </v:shapetype>
            <v:shape id="Shape 1648" o:spid="_x0000_s1026" type="#_x0000_t32" style="position:absolute;margin-left:41.5pt;margin-top:33pt;width:343.2pt;height:0;z-index:-25152819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" strokeweight="1pt">
              <w10:wrap anchorx="page" anchory="page"/>
            </v:shape>
          </w:pict>
        </mc:Fallback>
      </mc:AlternateContent>
    </w:r>
  </w:p>
</w:hdr>
</file>

<file path=word/header1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C6339" w14:textId="77777777" w:rsidR="00D03C17" w:rsidRDefault="00D03C17">
    <w:pPr>
      <w:spacing w:line="1" w:lineRule="exact"/>
    </w:pPr>
    <w:r>
      <w:rPr>
        <w:noProof/>
      </w:rPr>
      <mc:AlternateContent>
        <mc:Choice Requires="wps">
          <w:drawing>
            <wp:anchor distT="0" distB="0" distL="0" distR="0" simplePos="0" relativeHeight="251992064" behindDoc="1" locked="0" layoutInCell="1" allowOverlap="1" wp14:anchorId="28DC310B" wp14:editId="22524B44">
              <wp:simplePos x="0" y="0"/>
              <wp:positionH relativeFrom="page">
                <wp:posOffset>542290</wp:posOffset>
              </wp:positionH>
              <wp:positionV relativeFrom="page">
                <wp:posOffset>311150</wp:posOffset>
              </wp:positionV>
              <wp:extent cx="2764790" cy="79375"/>
              <wp:effectExtent l="0" t="0" r="0" b="0"/>
              <wp:wrapNone/>
              <wp:docPr id="1643" name="Shape 1643"/>
              <wp:cNvGraphicFramePr/>
              <a:graphic xmlns:a="http://schemas.openxmlformats.org/drawingml/2006/main">
                <a:graphicData uri="http://schemas.microsoft.com/office/word/2010/wordprocessingShape">
                  <wps:wsp>
                    <wps:cNvSpPr txBox="1"/>
                    <wps:spPr>
                      <a:xfrm>
                        <a:off x="0" y="0"/>
                        <a:ext cx="2764790" cy="79375"/>
                      </a:xfrm>
                      <a:prstGeom prst="rect">
                        <a:avLst/>
                      </a:prstGeom>
                      <a:noFill/>
                    </wps:spPr>
                    <wps:txbx>
                      <w:txbxContent>
                        <w:p w14:paraId="2AFED8D2" w14:textId="77777777" w:rsidR="00D03C17" w:rsidRDefault="00D03C17">
                          <w:pPr>
                            <w:pStyle w:val="Headerorfooter0"/>
                            <w:tabs>
                              <w:tab w:val="right" w:pos="4354"/>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RHINOVIRUS, INFECCIONES</w:t>
                          </w:r>
                        </w:p>
                      </w:txbxContent>
                    </wps:txbx>
                    <wps:bodyPr lIns="0" tIns="0" rIns="0" bIns="0">
                      <a:spAutoFit/>
                    </wps:bodyPr>
                  </wps:wsp>
                </a:graphicData>
              </a:graphic>
            </wp:anchor>
          </w:drawing>
        </mc:Choice>
        <mc:Fallback>
          <w:pict>
            <v:shapetype w14:anchorId="28DC310B" id="_x0000_t202" coordsize="21600,21600" o:spt="202" path="m,l,21600r21600,l21600,xe">
              <v:stroke joinstyle="miter"/>
              <v:path gradientshapeok="t" o:connecttype="rect"/>
            </v:shapetype>
            <v:shape id="Shape 1643" o:spid="_x0000_s1183" type="#_x0000_t202" style="position:absolute;margin-left:42.7pt;margin-top:24.5pt;width:217.7pt;height:6.25pt;z-index:-251324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" filled="f" stroked="f">
              <v:textbox style="mso-fit-shape-to-text:t" inset="0,0,0,0">
                <w:txbxContent>
                  <w:p w14:paraId="2AFED8D2" w14:textId="77777777" w:rsidR="00D03C17" w:rsidRDefault="00D03C17">
                    <w:pPr>
                      <w:pStyle w:val="Headerorfooter0"/>
                      <w:tabs>
                        <w:tab w:val="right" w:pos="4354"/>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RHINOVIRUS, INFECCIONES</w:t>
                    </w:r>
                  </w:p>
                </w:txbxContent>
              </v:textbox>
              <w10:wrap anchorx="page" anchory="page"/>
            </v:shape>
          </w:pict>
        </mc:Fallback>
      </mc:AlternateContent>
    </w:r>
    <w:r>
      <w:rPr>
        <w:noProof/>
      </w:rPr>
      <mc:AlternateContent>
        <mc:Choice Requires="wps">
          <w:drawing>
            <wp:anchor distT="0" distB="0" distL="114300" distR="114300" simplePos="0" relativeHeight="251787264" behindDoc="1" locked="0" layoutInCell="1" allowOverlap="1" wp14:anchorId="4A1E2221" wp14:editId="01102F33">
              <wp:simplePos x="0" y="0"/>
              <wp:positionH relativeFrom="page">
                <wp:posOffset>527050</wp:posOffset>
              </wp:positionH>
              <wp:positionV relativeFrom="page">
                <wp:posOffset>419100</wp:posOffset>
              </wp:positionV>
              <wp:extent cx="4358640" cy="0"/>
              <wp:effectExtent l="0" t="0" r="0" b="0"/>
              <wp:wrapNone/>
              <wp:docPr id="1645" name="Shape 1645"/>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0A74D103" id="_x0000_t32" coordsize="21600,21600" o:spt="32" o:oned="t" path="m,l21600,21600e" filled="f">
              <v:path arrowok="t" fillok="f" o:connecttype="none"/>
              <o:lock v:ext="edit" shapetype="t"/>
            </v:shapetype>
            <v:shape id="Shape 1645" o:spid="_x0000_s1026" type="#_x0000_t32" style="position:absolute;margin-left:41.5pt;margin-top:33pt;width:343.2pt;height:0;z-index:-25152921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" strokeweight="1pt">
              <w10:wrap anchorx="page" anchory="page"/>
            </v:shape>
          </w:pict>
        </mc:Fallback>
      </mc:AlternateContent>
    </w:r>
  </w:p>
</w:hdr>
</file>

<file path=word/header1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44B31" w14:textId="77777777" w:rsidR="00D03C17" w:rsidRDefault="00D03C17">
    <w:pPr>
      <w:spacing w:line="1" w:lineRule="exact"/>
    </w:pPr>
    <w:r>
      <w:rPr>
        <w:noProof/>
      </w:rPr>
      <mc:AlternateContent>
        <mc:Choice Requires="wps">
          <w:drawing>
            <wp:anchor distT="0" distB="0" distL="0" distR="0" simplePos="0" relativeHeight="251995136" behindDoc="1" locked="0" layoutInCell="1" allowOverlap="1" wp14:anchorId="64EF5785" wp14:editId="4CFD78A9">
              <wp:simplePos x="0" y="0"/>
              <wp:positionH relativeFrom="page">
                <wp:posOffset>2095500</wp:posOffset>
              </wp:positionH>
              <wp:positionV relativeFrom="page">
                <wp:posOffset>311150</wp:posOffset>
              </wp:positionV>
              <wp:extent cx="2758440" cy="69850"/>
              <wp:effectExtent l="0" t="0" r="0" b="0"/>
              <wp:wrapNone/>
              <wp:docPr id="1652" name="Shape 1652"/>
              <wp:cNvGraphicFramePr/>
              <a:graphic xmlns:a="http://schemas.openxmlformats.org/drawingml/2006/main">
                <a:graphicData uri="http://schemas.microsoft.com/office/word/2010/wordprocessingShape">
                  <wps:wsp>
                    <wps:cNvSpPr txBox="1"/>
                    <wps:spPr>
                      <a:xfrm>
                        <a:off x="0" y="0"/>
                        <a:ext cx="2758440" cy="69850"/>
                      </a:xfrm>
                      <a:prstGeom prst="rect">
                        <a:avLst/>
                      </a:prstGeom>
                      <a:noFill/>
                    </wps:spPr>
                    <wps:txbx>
                      <w:txbxContent>
                        <w:p w14:paraId="1A049269" w14:textId="77777777" w:rsidR="00D03C17" w:rsidRDefault="00D03C17">
                          <w:pPr>
                            <w:pStyle w:val="Headerorfooter0"/>
                            <w:tabs>
                              <w:tab w:val="right" w:pos="4344"/>
                            </w:tabs>
                            <w:rPr>
                              <w:sz w:val="16"/>
                              <w:szCs w:val="16"/>
                            </w:rPr>
                          </w:pPr>
                          <w:r>
                            <w:t>RICKETTSIOSIS PUSTULOSA</w:t>
                          </w:r>
                          <w:r>
                            <w:tab/>
                          </w:r>
                          <w:r>
                            <w:rPr>
                              <w:sz w:val="16"/>
                              <w:szCs w:val="16"/>
                            </w:rPr>
                            <w:t>581</w:t>
                          </w:r>
                        </w:p>
                      </w:txbxContent>
                    </wps:txbx>
                    <wps:bodyPr lIns="0" tIns="0" rIns="0" bIns="0">
                      <a:spAutoFit/>
                    </wps:bodyPr>
                  </wps:wsp>
                </a:graphicData>
              </a:graphic>
            </wp:anchor>
          </w:drawing>
        </mc:Choice>
        <mc:Fallback>
          <w:pict>
            <v:shapetype w14:anchorId="64EF5785" id="_x0000_t202" coordsize="21600,21600" o:spt="202" path="m,l,21600r21600,l21600,xe">
              <v:stroke joinstyle="miter"/>
              <v:path gradientshapeok="t" o:connecttype="rect"/>
            </v:shapetype>
            <v:shape id="Shape 1652" o:spid="_x0000_s1184" type="#_x0000_t202" style="position:absolute;margin-left:165pt;margin-top:24.5pt;width:217.2pt;height:5.5pt;z-index:-251321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" filled="f" stroked="f">
              <v:textbox style="mso-fit-shape-to-text:t" inset="0,0,0,0">
                <w:txbxContent>
                  <w:p w14:paraId="1A049269" w14:textId="77777777" w:rsidR="00D03C17" w:rsidRDefault="00D03C17">
                    <w:pPr>
                      <w:pStyle w:val="Headerorfooter0"/>
                      <w:tabs>
                        <w:tab w:val="right" w:pos="4344"/>
                      </w:tabs>
                      <w:rPr>
                        <w:sz w:val="16"/>
                        <w:szCs w:val="16"/>
                      </w:rPr>
                    </w:pPr>
                    <w:r>
                      <w:t>RICKETTSIOSIS PUSTULOSA</w:t>
                    </w:r>
                    <w:r>
                      <w:tab/>
                    </w:r>
                    <w:r>
                      <w:rPr>
                        <w:sz w:val="16"/>
                        <w:szCs w:val="16"/>
                      </w:rPr>
                      <w:t>581</w:t>
                    </w:r>
                  </w:p>
                </w:txbxContent>
              </v:textbox>
              <w10:wrap anchorx="page" anchory="page"/>
            </v:shape>
          </w:pict>
        </mc:Fallback>
      </mc:AlternateContent>
    </w:r>
    <w:r>
      <w:rPr>
        <w:noProof/>
      </w:rPr>
      <mc:AlternateContent>
        <mc:Choice Requires="wps">
          <w:drawing>
            <wp:anchor distT="0" distB="0" distL="114300" distR="114300" simplePos="0" relativeHeight="251790336" behindDoc="1" locked="0" layoutInCell="1" allowOverlap="1" wp14:anchorId="330ACD8D" wp14:editId="407C721D">
              <wp:simplePos x="0" y="0"/>
              <wp:positionH relativeFrom="page">
                <wp:posOffset>531495</wp:posOffset>
              </wp:positionH>
              <wp:positionV relativeFrom="page">
                <wp:posOffset>419100</wp:posOffset>
              </wp:positionV>
              <wp:extent cx="4358640" cy="0"/>
              <wp:effectExtent l="0" t="0" r="0" b="0"/>
              <wp:wrapNone/>
              <wp:docPr id="1654" name="Shape 1654"/>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143D1A80" id="_x0000_t32" coordsize="21600,21600" o:spt="32" o:oned="t" path="m,l21600,21600e" filled="f">
              <v:path arrowok="t" fillok="f" o:connecttype="none"/>
              <o:lock v:ext="edit" shapetype="t"/>
            </v:shapetype>
            <v:shape id="Shape 1654" o:spid="_x0000_s1026" type="#_x0000_t32" style="position:absolute;margin-left:41.85pt;margin-top:33pt;width:343.2pt;height:0;z-index:-25152614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" strokeweight="1pt">
              <w10:wrap anchorx="page" anchory="page"/>
            </v:shape>
          </w:pict>
        </mc:Fallback>
      </mc:AlternateContent>
    </w:r>
  </w:p>
</w:hdr>
</file>

<file path=word/header1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6C05C" w14:textId="77777777" w:rsidR="00D03C17" w:rsidRDefault="00D03C17">
    <w:pPr>
      <w:spacing w:line="1" w:lineRule="exact"/>
    </w:pPr>
    <w:r>
      <w:rPr>
        <w:noProof/>
      </w:rPr>
      <mc:AlternateContent>
        <mc:Choice Requires="wps">
          <w:drawing>
            <wp:anchor distT="0" distB="0" distL="0" distR="0" simplePos="0" relativeHeight="251994112" behindDoc="1" locked="0" layoutInCell="1" allowOverlap="1" wp14:anchorId="01329EDA" wp14:editId="0E04BC48">
              <wp:simplePos x="0" y="0"/>
              <wp:positionH relativeFrom="page">
                <wp:posOffset>2095500</wp:posOffset>
              </wp:positionH>
              <wp:positionV relativeFrom="page">
                <wp:posOffset>311150</wp:posOffset>
              </wp:positionV>
              <wp:extent cx="2758440" cy="69850"/>
              <wp:effectExtent l="0" t="0" r="0" b="0"/>
              <wp:wrapNone/>
              <wp:docPr id="1649" name="Shape 1649"/>
              <wp:cNvGraphicFramePr/>
              <a:graphic xmlns:a="http://schemas.openxmlformats.org/drawingml/2006/main">
                <a:graphicData uri="http://schemas.microsoft.com/office/word/2010/wordprocessingShape">
                  <wps:wsp>
                    <wps:cNvSpPr txBox="1"/>
                    <wps:spPr>
                      <a:xfrm>
                        <a:off x="0" y="0"/>
                        <a:ext cx="2758440" cy="69850"/>
                      </a:xfrm>
                      <a:prstGeom prst="rect">
                        <a:avLst/>
                      </a:prstGeom>
                      <a:noFill/>
                    </wps:spPr>
                    <wps:txbx>
                      <w:txbxContent>
                        <w:p w14:paraId="69399016" w14:textId="77777777" w:rsidR="00D03C17" w:rsidRDefault="00D03C17">
                          <w:pPr>
                            <w:pStyle w:val="Headerorfooter0"/>
                            <w:tabs>
                              <w:tab w:val="right" w:pos="4344"/>
                            </w:tabs>
                            <w:rPr>
                              <w:sz w:val="16"/>
                              <w:szCs w:val="16"/>
                            </w:rPr>
                          </w:pPr>
                          <w:r>
                            <w:t>RICKETTSIOSIS PUSTULOSA</w:t>
                          </w:r>
                          <w:r>
                            <w:tab/>
                          </w:r>
                          <w:r>
                            <w:rPr>
                              <w:sz w:val="16"/>
                              <w:szCs w:val="16"/>
                            </w:rPr>
                            <w:t>581</w:t>
                          </w:r>
                        </w:p>
                      </w:txbxContent>
                    </wps:txbx>
                    <wps:bodyPr lIns="0" tIns="0" rIns="0" bIns="0">
                      <a:spAutoFit/>
                    </wps:bodyPr>
                  </wps:wsp>
                </a:graphicData>
              </a:graphic>
            </wp:anchor>
          </w:drawing>
        </mc:Choice>
        <mc:Fallback>
          <w:pict>
            <v:shapetype w14:anchorId="01329EDA" id="_x0000_t202" coordsize="21600,21600" o:spt="202" path="m,l,21600r21600,l21600,xe">
              <v:stroke joinstyle="miter"/>
              <v:path gradientshapeok="t" o:connecttype="rect"/>
            </v:shapetype>
            <v:shape id="Shape 1649" o:spid="_x0000_s1185" type="#_x0000_t202" style="position:absolute;margin-left:165pt;margin-top:24.5pt;width:217.2pt;height:5.5pt;z-index:-251322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" filled="f" stroked="f">
              <v:textbox style="mso-fit-shape-to-text:t" inset="0,0,0,0">
                <w:txbxContent>
                  <w:p w14:paraId="69399016" w14:textId="77777777" w:rsidR="00D03C17" w:rsidRDefault="00D03C17">
                    <w:pPr>
                      <w:pStyle w:val="Headerorfooter0"/>
                      <w:tabs>
                        <w:tab w:val="right" w:pos="4344"/>
                      </w:tabs>
                      <w:rPr>
                        <w:sz w:val="16"/>
                        <w:szCs w:val="16"/>
                      </w:rPr>
                    </w:pPr>
                    <w:r>
                      <w:t>RICKETTSIOSIS PUSTULOSA</w:t>
                    </w:r>
                    <w:r>
                      <w:tab/>
                    </w:r>
                    <w:r>
                      <w:rPr>
                        <w:sz w:val="16"/>
                        <w:szCs w:val="16"/>
                      </w:rPr>
                      <w:t>581</w:t>
                    </w:r>
                  </w:p>
                </w:txbxContent>
              </v:textbox>
              <w10:wrap anchorx="page" anchory="page"/>
            </v:shape>
          </w:pict>
        </mc:Fallback>
      </mc:AlternateContent>
    </w:r>
    <w:r>
      <w:rPr>
        <w:noProof/>
      </w:rPr>
      <mc:AlternateContent>
        <mc:Choice Requires="wps">
          <w:drawing>
            <wp:anchor distT="0" distB="0" distL="114300" distR="114300" simplePos="0" relativeHeight="251789312" behindDoc="1" locked="0" layoutInCell="1" allowOverlap="1" wp14:anchorId="66B7DAA4" wp14:editId="364BABAB">
              <wp:simplePos x="0" y="0"/>
              <wp:positionH relativeFrom="page">
                <wp:posOffset>531495</wp:posOffset>
              </wp:positionH>
              <wp:positionV relativeFrom="page">
                <wp:posOffset>419100</wp:posOffset>
              </wp:positionV>
              <wp:extent cx="4358640" cy="0"/>
              <wp:effectExtent l="0" t="0" r="0" b="0"/>
              <wp:wrapNone/>
              <wp:docPr id="1651" name="Shape 1651"/>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536AF150" id="_x0000_t32" coordsize="21600,21600" o:spt="32" o:oned="t" path="m,l21600,21600e" filled="f">
              <v:path arrowok="t" fillok="f" o:connecttype="none"/>
              <o:lock v:ext="edit" shapetype="t"/>
            </v:shapetype>
            <v:shape id="Shape 1651" o:spid="_x0000_s1026" type="#_x0000_t32" style="position:absolute;margin-left:41.85pt;margin-top:33pt;width:343.2pt;height:0;z-index:-25152716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" strokeweight="1pt">
              <w10:wrap anchorx="page" anchory="page"/>
            </v:shape>
          </w:pict>
        </mc:Fallback>
      </mc:AlternateContent>
    </w:r>
  </w:p>
</w:hdr>
</file>

<file path=word/header1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04C69" w14:textId="77777777" w:rsidR="00D03C17" w:rsidRDefault="00D03C17">
    <w:pPr>
      <w:spacing w:line="1" w:lineRule="exact"/>
    </w:pPr>
    <w:r>
      <w:rPr>
        <w:noProof/>
      </w:rPr>
      <mc:AlternateContent>
        <mc:Choice Requires="wps">
          <w:drawing>
            <wp:anchor distT="0" distB="0" distL="0" distR="0" simplePos="0" relativeHeight="251996160" behindDoc="1" locked="0" layoutInCell="1" allowOverlap="1" wp14:anchorId="10059870" wp14:editId="41B5C7F2">
              <wp:simplePos x="0" y="0"/>
              <wp:positionH relativeFrom="page">
                <wp:posOffset>542290</wp:posOffset>
              </wp:positionH>
              <wp:positionV relativeFrom="page">
                <wp:posOffset>311150</wp:posOffset>
              </wp:positionV>
              <wp:extent cx="2764790" cy="79375"/>
              <wp:effectExtent l="0" t="0" r="0" b="0"/>
              <wp:wrapNone/>
              <wp:docPr id="1655" name="Shape 1655"/>
              <wp:cNvGraphicFramePr/>
              <a:graphic xmlns:a="http://schemas.openxmlformats.org/drawingml/2006/main">
                <a:graphicData uri="http://schemas.microsoft.com/office/word/2010/wordprocessingShape">
                  <wps:wsp>
                    <wps:cNvSpPr txBox="1"/>
                    <wps:spPr>
                      <a:xfrm>
                        <a:off x="0" y="0"/>
                        <a:ext cx="2764790" cy="79375"/>
                      </a:xfrm>
                      <a:prstGeom prst="rect">
                        <a:avLst/>
                      </a:prstGeom>
                      <a:noFill/>
                    </wps:spPr>
                    <wps:txbx>
                      <w:txbxContent>
                        <w:p w14:paraId="654EE3ED" w14:textId="77777777" w:rsidR="00D03C17" w:rsidRDefault="00D03C17">
                          <w:pPr>
                            <w:pStyle w:val="Headerorfooter0"/>
                            <w:tabs>
                              <w:tab w:val="right" w:pos="4354"/>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RHINOVIRUS, INFECCIONES</w:t>
                          </w:r>
                        </w:p>
                      </w:txbxContent>
                    </wps:txbx>
                    <wps:bodyPr lIns="0" tIns="0" rIns="0" bIns="0">
                      <a:spAutoFit/>
                    </wps:bodyPr>
                  </wps:wsp>
                </a:graphicData>
              </a:graphic>
            </wp:anchor>
          </w:drawing>
        </mc:Choice>
        <mc:Fallback>
          <w:pict>
            <v:shapetype w14:anchorId="10059870" id="_x0000_t202" coordsize="21600,21600" o:spt="202" path="m,l,21600r21600,l21600,xe">
              <v:stroke joinstyle="miter"/>
              <v:path gradientshapeok="t" o:connecttype="rect"/>
            </v:shapetype>
            <v:shape id="Shape 1655" o:spid="_x0000_s1186" type="#_x0000_t202" style="position:absolute;margin-left:42.7pt;margin-top:24.5pt;width:217.7pt;height:6.25pt;z-index:-251320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" filled="f" stroked="f">
              <v:textbox style="mso-fit-shape-to-text:t" inset="0,0,0,0">
                <w:txbxContent>
                  <w:p w14:paraId="654EE3ED" w14:textId="77777777" w:rsidR="00D03C17" w:rsidRDefault="00D03C17">
                    <w:pPr>
                      <w:pStyle w:val="Headerorfooter0"/>
                      <w:tabs>
                        <w:tab w:val="right" w:pos="4354"/>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RHINOVIRUS, INFECCIONES</w:t>
                    </w:r>
                  </w:p>
                </w:txbxContent>
              </v:textbox>
              <w10:wrap anchorx="page" anchory="page"/>
            </v:shape>
          </w:pict>
        </mc:Fallback>
      </mc:AlternateContent>
    </w:r>
    <w:r>
      <w:rPr>
        <w:noProof/>
      </w:rPr>
      <mc:AlternateContent>
        <mc:Choice Requires="wps">
          <w:drawing>
            <wp:anchor distT="0" distB="0" distL="114300" distR="114300" simplePos="0" relativeHeight="251791360" behindDoc="1" locked="0" layoutInCell="1" allowOverlap="1" wp14:anchorId="75C45EC9" wp14:editId="097536FD">
              <wp:simplePos x="0" y="0"/>
              <wp:positionH relativeFrom="page">
                <wp:posOffset>527050</wp:posOffset>
              </wp:positionH>
              <wp:positionV relativeFrom="page">
                <wp:posOffset>419100</wp:posOffset>
              </wp:positionV>
              <wp:extent cx="4358640" cy="0"/>
              <wp:effectExtent l="0" t="0" r="0" b="0"/>
              <wp:wrapNone/>
              <wp:docPr id="1657" name="Shape 1657"/>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4EBFFA0B" id="_x0000_t32" coordsize="21600,21600" o:spt="32" o:oned="t" path="m,l21600,21600e" filled="f">
              <v:path arrowok="t" fillok="f" o:connecttype="none"/>
              <o:lock v:ext="edit" shapetype="t"/>
            </v:shapetype>
            <v:shape id="Shape 1657" o:spid="_x0000_s1026" type="#_x0000_t32" style="position:absolute;margin-left:41.5pt;margin-top:33pt;width:343.2pt;height:0;z-index:-25152512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" strokeweight="1pt">
              <w10:wrap anchorx="page" anchory="page"/>
            </v:shape>
          </w:pict>
        </mc:Fallback>
      </mc:AlternateContent>
    </w:r>
  </w:p>
</w:hdr>
</file>

<file path=word/header1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B31D1" w14:textId="77777777" w:rsidR="00D03C17" w:rsidRDefault="00D03C17">
    <w:pPr>
      <w:spacing w:line="1" w:lineRule="exact"/>
    </w:pPr>
    <w:r>
      <w:rPr>
        <w:noProof/>
      </w:rPr>
      <mc:AlternateContent>
        <mc:Choice Requires="wps">
          <w:drawing>
            <wp:anchor distT="0" distB="0" distL="0" distR="0" simplePos="0" relativeHeight="251998208" behindDoc="1" locked="0" layoutInCell="1" allowOverlap="1" wp14:anchorId="70CB4606" wp14:editId="414A4446">
              <wp:simplePos x="0" y="0"/>
              <wp:positionH relativeFrom="page">
                <wp:posOffset>1621155</wp:posOffset>
              </wp:positionH>
              <wp:positionV relativeFrom="page">
                <wp:posOffset>295910</wp:posOffset>
              </wp:positionV>
              <wp:extent cx="3249295" cy="94615"/>
              <wp:effectExtent l="0" t="0" r="0" b="0"/>
              <wp:wrapNone/>
              <wp:docPr id="1661" name="Shape 1661"/>
              <wp:cNvGraphicFramePr/>
              <a:graphic xmlns:a="http://schemas.openxmlformats.org/drawingml/2006/main">
                <a:graphicData uri="http://schemas.microsoft.com/office/word/2010/wordprocessingShape">
                  <wps:wsp>
                    <wps:cNvSpPr txBox="1"/>
                    <wps:spPr>
                      <a:xfrm>
                        <a:off x="0" y="0"/>
                        <a:ext cx="3249295" cy="94615"/>
                      </a:xfrm>
                      <a:prstGeom prst="rect">
                        <a:avLst/>
                      </a:prstGeom>
                      <a:noFill/>
                    </wps:spPr>
                    <wps:txbx>
                      <w:txbxContent>
                        <w:p w14:paraId="50C139B8" w14:textId="77777777" w:rsidR="00D03C17" w:rsidRDefault="00D03C17">
                          <w:pPr>
                            <w:pStyle w:val="Headerorfooter0"/>
                            <w:tabs>
                              <w:tab w:val="right" w:pos="5117"/>
                            </w:tabs>
                            <w:rPr>
                              <w:sz w:val="16"/>
                              <w:szCs w:val="16"/>
                            </w:rPr>
                          </w:pPr>
                          <w:r>
                            <w:t>ROCOSAS, FIEBRE MACULADA DE LAS MONTAÑAS</w:t>
                          </w:r>
                          <w:r>
                            <w:tab/>
                          </w:r>
                          <w:r>
                            <w:rPr>
                              <w:sz w:val="16"/>
                              <w:szCs w:val="16"/>
                            </w:rPr>
                            <w:t>583</w:t>
                          </w:r>
                        </w:p>
                      </w:txbxContent>
                    </wps:txbx>
                    <wps:bodyPr lIns="0" tIns="0" rIns="0" bIns="0">
                      <a:spAutoFit/>
                    </wps:bodyPr>
                  </wps:wsp>
                </a:graphicData>
              </a:graphic>
            </wp:anchor>
          </w:drawing>
        </mc:Choice>
        <mc:Fallback>
          <w:pict>
            <v:shapetype w14:anchorId="70CB4606" id="_x0000_t202" coordsize="21600,21600" o:spt="202" path="m,l,21600r21600,l21600,xe">
              <v:stroke joinstyle="miter"/>
              <v:path gradientshapeok="t" o:connecttype="rect"/>
            </v:shapetype>
            <v:shape id="Shape 1661" o:spid="_x0000_s1187" type="#_x0000_t202" style="position:absolute;margin-left:127.65pt;margin-top:23.3pt;width:255.85pt;height:7.45pt;z-index:-251318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" filled="f" stroked="f">
              <v:textbox style="mso-fit-shape-to-text:t" inset="0,0,0,0">
                <w:txbxContent>
                  <w:p w14:paraId="50C139B8" w14:textId="77777777" w:rsidR="00D03C17" w:rsidRDefault="00D03C17">
                    <w:pPr>
                      <w:pStyle w:val="Headerorfooter0"/>
                      <w:tabs>
                        <w:tab w:val="right" w:pos="5117"/>
                      </w:tabs>
                      <w:rPr>
                        <w:sz w:val="16"/>
                        <w:szCs w:val="16"/>
                      </w:rPr>
                    </w:pPr>
                    <w:r>
                      <w:t>ROCOSAS, FIEBRE MACULADA DE LAS MONTAÑAS</w:t>
                    </w:r>
                    <w:r>
                      <w:tab/>
                    </w:r>
                    <w:r>
                      <w:rPr>
                        <w:sz w:val="16"/>
                        <w:szCs w:val="16"/>
                      </w:rPr>
                      <w:t>583</w:t>
                    </w:r>
                  </w:p>
                </w:txbxContent>
              </v:textbox>
              <w10:wrap anchorx="page" anchory="page"/>
            </v:shape>
          </w:pict>
        </mc:Fallback>
      </mc:AlternateContent>
    </w:r>
    <w:r>
      <w:rPr>
        <w:noProof/>
      </w:rPr>
      <mc:AlternateContent>
        <mc:Choice Requires="wps">
          <w:drawing>
            <wp:anchor distT="0" distB="0" distL="114300" distR="114300" simplePos="0" relativeHeight="251793408" behindDoc="1" locked="0" layoutInCell="1" allowOverlap="1" wp14:anchorId="592A0114" wp14:editId="3B783954">
              <wp:simplePos x="0" y="0"/>
              <wp:positionH relativeFrom="page">
                <wp:posOffset>533400</wp:posOffset>
              </wp:positionH>
              <wp:positionV relativeFrom="page">
                <wp:posOffset>419100</wp:posOffset>
              </wp:positionV>
              <wp:extent cx="4358640" cy="0"/>
              <wp:effectExtent l="0" t="0" r="0" b="0"/>
              <wp:wrapNone/>
              <wp:docPr id="1663" name="Shape 1663"/>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0FF660D7" id="_x0000_t32" coordsize="21600,21600" o:spt="32" o:oned="t" path="m,l21600,21600e" filled="f">
              <v:path arrowok="t" fillok="f" o:connecttype="none"/>
              <o:lock v:ext="edit" shapetype="t"/>
            </v:shapetype>
            <v:shape id="Shape 1663" o:spid="_x0000_s1026" type="#_x0000_t32" style="position:absolute;margin-left:42pt;margin-top:33pt;width:343.2pt;height:0;z-index:-25152307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" strokeweight="1pt">
              <w10:wrap anchorx="page" anchory="page"/>
            </v:shape>
          </w:pict>
        </mc:Fallback>
      </mc:AlternateContent>
    </w:r>
  </w:p>
</w:hdr>
</file>

<file path=word/header1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AA629" w14:textId="77777777" w:rsidR="00D03C17" w:rsidRDefault="00D03C17">
    <w:pPr>
      <w:spacing w:line="1" w:lineRule="exact"/>
    </w:pPr>
    <w:r>
      <w:rPr>
        <w:noProof/>
      </w:rPr>
      <mc:AlternateContent>
        <mc:Choice Requires="wps">
          <w:drawing>
            <wp:anchor distT="0" distB="0" distL="0" distR="0" simplePos="0" relativeHeight="251997184" behindDoc="1" locked="0" layoutInCell="1" allowOverlap="1" wp14:anchorId="0E3C15EC" wp14:editId="3221C05F">
              <wp:simplePos x="0" y="0"/>
              <wp:positionH relativeFrom="page">
                <wp:posOffset>1621155</wp:posOffset>
              </wp:positionH>
              <wp:positionV relativeFrom="page">
                <wp:posOffset>295910</wp:posOffset>
              </wp:positionV>
              <wp:extent cx="3249295" cy="94615"/>
              <wp:effectExtent l="0" t="0" r="0" b="0"/>
              <wp:wrapNone/>
              <wp:docPr id="1658" name="Shape 1658"/>
              <wp:cNvGraphicFramePr/>
              <a:graphic xmlns:a="http://schemas.openxmlformats.org/drawingml/2006/main">
                <a:graphicData uri="http://schemas.microsoft.com/office/word/2010/wordprocessingShape">
                  <wps:wsp>
                    <wps:cNvSpPr txBox="1"/>
                    <wps:spPr>
                      <a:xfrm>
                        <a:off x="0" y="0"/>
                        <a:ext cx="3249295" cy="94615"/>
                      </a:xfrm>
                      <a:prstGeom prst="rect">
                        <a:avLst/>
                      </a:prstGeom>
                      <a:noFill/>
                    </wps:spPr>
                    <wps:txbx>
                      <w:txbxContent>
                        <w:p w14:paraId="0F2D424D" w14:textId="77777777" w:rsidR="00D03C17" w:rsidRDefault="00D03C17">
                          <w:pPr>
                            <w:pStyle w:val="Headerorfooter0"/>
                            <w:tabs>
                              <w:tab w:val="right" w:pos="5117"/>
                            </w:tabs>
                            <w:rPr>
                              <w:sz w:val="16"/>
                              <w:szCs w:val="16"/>
                            </w:rPr>
                          </w:pPr>
                          <w:r>
                            <w:t>ROCOSAS, FIEBRE MACULADA DE LAS MONTAÑAS</w:t>
                          </w:r>
                          <w:r>
                            <w:tab/>
                          </w:r>
                          <w:r>
                            <w:rPr>
                              <w:sz w:val="16"/>
                              <w:szCs w:val="16"/>
                            </w:rPr>
                            <w:t>583</w:t>
                          </w:r>
                        </w:p>
                      </w:txbxContent>
                    </wps:txbx>
                    <wps:bodyPr lIns="0" tIns="0" rIns="0" bIns="0">
                      <a:spAutoFit/>
                    </wps:bodyPr>
                  </wps:wsp>
                </a:graphicData>
              </a:graphic>
            </wp:anchor>
          </w:drawing>
        </mc:Choice>
        <mc:Fallback>
          <w:pict>
            <v:shapetype w14:anchorId="0E3C15EC" id="_x0000_t202" coordsize="21600,21600" o:spt="202" path="m,l,21600r21600,l21600,xe">
              <v:stroke joinstyle="miter"/>
              <v:path gradientshapeok="t" o:connecttype="rect"/>
            </v:shapetype>
            <v:shape id="Shape 1658" o:spid="_x0000_s1188" type="#_x0000_t202" style="position:absolute;margin-left:127.65pt;margin-top:23.3pt;width:255.85pt;height:7.45pt;z-index:-251319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" filled="f" stroked="f">
              <v:textbox style="mso-fit-shape-to-text:t" inset="0,0,0,0">
                <w:txbxContent>
                  <w:p w14:paraId="0F2D424D" w14:textId="77777777" w:rsidR="00D03C17" w:rsidRDefault="00D03C17">
                    <w:pPr>
                      <w:pStyle w:val="Headerorfooter0"/>
                      <w:tabs>
                        <w:tab w:val="right" w:pos="5117"/>
                      </w:tabs>
                      <w:rPr>
                        <w:sz w:val="16"/>
                        <w:szCs w:val="16"/>
                      </w:rPr>
                    </w:pPr>
                    <w:r>
                      <w:t>ROCOSAS, FIEBRE MACULADA DE LAS MONTAÑAS</w:t>
                    </w:r>
                    <w:r>
                      <w:tab/>
                    </w:r>
                    <w:r>
                      <w:rPr>
                        <w:sz w:val="16"/>
                        <w:szCs w:val="16"/>
                      </w:rPr>
                      <w:t>583</w:t>
                    </w:r>
                  </w:p>
                </w:txbxContent>
              </v:textbox>
              <w10:wrap anchorx="page" anchory="page"/>
            </v:shape>
          </w:pict>
        </mc:Fallback>
      </mc:AlternateContent>
    </w:r>
    <w:r>
      <w:rPr>
        <w:noProof/>
      </w:rPr>
      <mc:AlternateContent>
        <mc:Choice Requires="wps">
          <w:drawing>
            <wp:anchor distT="0" distB="0" distL="114300" distR="114300" simplePos="0" relativeHeight="251792384" behindDoc="1" locked="0" layoutInCell="1" allowOverlap="1" wp14:anchorId="53DDDAD8" wp14:editId="0121849D">
              <wp:simplePos x="0" y="0"/>
              <wp:positionH relativeFrom="page">
                <wp:posOffset>533400</wp:posOffset>
              </wp:positionH>
              <wp:positionV relativeFrom="page">
                <wp:posOffset>419100</wp:posOffset>
              </wp:positionV>
              <wp:extent cx="4358640" cy="0"/>
              <wp:effectExtent l="0" t="0" r="0" b="0"/>
              <wp:wrapNone/>
              <wp:docPr id="1660" name="Shape 1660"/>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5AEDA9B1" id="_x0000_t32" coordsize="21600,21600" o:spt="32" o:oned="t" path="m,l21600,21600e" filled="f">
              <v:path arrowok="t" fillok="f" o:connecttype="none"/>
              <o:lock v:ext="edit" shapetype="t"/>
            </v:shapetype>
            <v:shape id="Shape 1660" o:spid="_x0000_s1026" type="#_x0000_t32" style="position:absolute;margin-left:42pt;margin-top:33pt;width:343.2pt;height:0;z-index:-25152409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" strokeweight="1pt">
              <w10:wrap anchorx="page" anchory="page"/>
            </v:shape>
          </w:pict>
        </mc:Fallback>
      </mc:AlternateContent>
    </w:r>
  </w:p>
</w:hdr>
</file>

<file path=word/header1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EFAF7" w14:textId="77777777" w:rsidR="00D03C17" w:rsidRDefault="00D03C17">
    <w:pPr>
      <w:spacing w:line="1" w:lineRule="exact"/>
    </w:pPr>
    <w:r>
      <w:rPr>
        <w:noProof/>
      </w:rPr>
      <mc:AlternateContent>
        <mc:Choice Requires="wps">
          <w:drawing>
            <wp:anchor distT="0" distB="0" distL="0" distR="0" simplePos="0" relativeHeight="251999232" behindDoc="1" locked="0" layoutInCell="1" allowOverlap="1" wp14:anchorId="7DE91CF9" wp14:editId="73098786">
              <wp:simplePos x="0" y="0"/>
              <wp:positionH relativeFrom="page">
                <wp:posOffset>546735</wp:posOffset>
              </wp:positionH>
              <wp:positionV relativeFrom="page">
                <wp:posOffset>311150</wp:posOffset>
              </wp:positionV>
              <wp:extent cx="2496185" cy="69850"/>
              <wp:effectExtent l="0" t="0" r="0" b="0"/>
              <wp:wrapNone/>
              <wp:docPr id="1664" name="Shape 1664"/>
              <wp:cNvGraphicFramePr/>
              <a:graphic xmlns:a="http://schemas.openxmlformats.org/drawingml/2006/main">
                <a:graphicData uri="http://schemas.microsoft.com/office/word/2010/wordprocessingShape">
                  <wps:wsp>
                    <wps:cNvSpPr txBox="1"/>
                    <wps:spPr>
                      <a:xfrm>
                        <a:off x="0" y="0"/>
                        <a:ext cx="2496185" cy="69850"/>
                      </a:xfrm>
                      <a:prstGeom prst="rect">
                        <a:avLst/>
                      </a:prstGeom>
                      <a:noFill/>
                    </wps:spPr>
                    <wps:txbx>
                      <w:txbxContent>
                        <w:p w14:paraId="1E820559" w14:textId="77777777" w:rsidR="00D03C17" w:rsidRDefault="00D03C17">
                          <w:pPr>
                            <w:pStyle w:val="Headerorfooter0"/>
                            <w:tabs>
                              <w:tab w:val="right" w:pos="3931"/>
                            </w:tabs>
                          </w:pPr>
                          <w:r>
                            <w:rPr>
                              <w:sz w:val="16"/>
                              <w:szCs w:val="16"/>
                            </w:rPr>
                            <w:t>582</w:t>
                          </w:r>
                          <w:r>
                            <w:rPr>
                              <w:sz w:val="16"/>
                              <w:szCs w:val="16"/>
                            </w:rPr>
                            <w:tab/>
                          </w:r>
                          <w:r>
                            <w:t>RICKETTSIOSIS</w:t>
                          </w:r>
                        </w:p>
                      </w:txbxContent>
                    </wps:txbx>
                    <wps:bodyPr lIns="0" tIns="0" rIns="0" bIns="0">
                      <a:spAutoFit/>
                    </wps:bodyPr>
                  </wps:wsp>
                </a:graphicData>
              </a:graphic>
            </wp:anchor>
          </w:drawing>
        </mc:Choice>
        <mc:Fallback>
          <w:pict>
            <v:shapetype w14:anchorId="7DE91CF9" id="_x0000_t202" coordsize="21600,21600" o:spt="202" path="m,l,21600r21600,l21600,xe">
              <v:stroke joinstyle="miter"/>
              <v:path gradientshapeok="t" o:connecttype="rect"/>
            </v:shapetype>
            <v:shape id="Shape 1664" o:spid="_x0000_s1189" type="#_x0000_t202" style="position:absolute;margin-left:43.05pt;margin-top:24.5pt;width:196.55pt;height:5.5pt;z-index:-251317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" filled="f" stroked="f">
              <v:textbox style="mso-fit-shape-to-text:t" inset="0,0,0,0">
                <w:txbxContent>
                  <w:p w14:paraId="1E820559" w14:textId="77777777" w:rsidR="00D03C17" w:rsidRDefault="00D03C17">
                    <w:pPr>
                      <w:pStyle w:val="Headerorfooter0"/>
                      <w:tabs>
                        <w:tab w:val="right" w:pos="3931"/>
                      </w:tabs>
                    </w:pPr>
                    <w:r>
                      <w:rPr>
                        <w:sz w:val="16"/>
                        <w:szCs w:val="16"/>
                      </w:rPr>
                      <w:t>582</w:t>
                    </w:r>
                    <w:r>
                      <w:rPr>
                        <w:sz w:val="16"/>
                        <w:szCs w:val="16"/>
                      </w:rPr>
                      <w:tab/>
                    </w:r>
                    <w:r>
                      <w:t>RICKETTSIOSIS</w:t>
                    </w:r>
                  </w:p>
                </w:txbxContent>
              </v:textbox>
              <w10:wrap anchorx="page" anchory="page"/>
            </v:shape>
          </w:pict>
        </mc:Fallback>
      </mc:AlternateContent>
    </w:r>
    <w:r>
      <w:rPr>
        <w:noProof/>
      </w:rPr>
      <mc:AlternateContent>
        <mc:Choice Requires="wps">
          <w:drawing>
            <wp:anchor distT="0" distB="0" distL="114300" distR="114300" simplePos="0" relativeHeight="251794432" behindDoc="1" locked="0" layoutInCell="1" allowOverlap="1" wp14:anchorId="4FA109DA" wp14:editId="7003D8DE">
              <wp:simplePos x="0" y="0"/>
              <wp:positionH relativeFrom="page">
                <wp:posOffset>531495</wp:posOffset>
              </wp:positionH>
              <wp:positionV relativeFrom="page">
                <wp:posOffset>419100</wp:posOffset>
              </wp:positionV>
              <wp:extent cx="4358640" cy="0"/>
              <wp:effectExtent l="0" t="0" r="0" b="0"/>
              <wp:wrapNone/>
              <wp:docPr id="1666" name="Shape 1666"/>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36D974FC" id="_x0000_t32" coordsize="21600,21600" o:spt="32" o:oned="t" path="m,l21600,21600e" filled="f">
              <v:path arrowok="t" fillok="f" o:connecttype="none"/>
              <o:lock v:ext="edit" shapetype="t"/>
            </v:shapetype>
            <v:shape id="Shape 1666" o:spid="_x0000_s1026" type="#_x0000_t32" style="position:absolute;margin-left:41.85pt;margin-top:33pt;width:343.2pt;height:0;z-index:-25152204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" strokeweight="1pt">
              <w10:wrap anchorx="page" anchory="page"/>
            </v:shape>
          </w:pict>
        </mc:Fallback>
      </mc:AlternateContent>
    </w:r>
  </w:p>
</w:hdr>
</file>

<file path=word/header1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C6C6B" w14:textId="77777777" w:rsidR="00D03C17" w:rsidRDefault="00D03C17">
    <w:pPr>
      <w:spacing w:line="1" w:lineRule="exact"/>
    </w:pPr>
    <w:r>
      <w:rPr>
        <w:noProof/>
      </w:rPr>
      <mc:AlternateContent>
        <mc:Choice Requires="wps">
          <w:drawing>
            <wp:anchor distT="0" distB="0" distL="0" distR="0" simplePos="0" relativeHeight="252001280" behindDoc="1" locked="0" layoutInCell="1" allowOverlap="1" wp14:anchorId="5EA3B355" wp14:editId="4923B94B">
              <wp:simplePos x="0" y="0"/>
              <wp:positionH relativeFrom="page">
                <wp:posOffset>2095500</wp:posOffset>
              </wp:positionH>
              <wp:positionV relativeFrom="page">
                <wp:posOffset>311150</wp:posOffset>
              </wp:positionV>
              <wp:extent cx="2758440" cy="69850"/>
              <wp:effectExtent l="0" t="0" r="0" b="0"/>
              <wp:wrapNone/>
              <wp:docPr id="1670" name="Shape 1670"/>
              <wp:cNvGraphicFramePr/>
              <a:graphic xmlns:a="http://schemas.openxmlformats.org/drawingml/2006/main">
                <a:graphicData uri="http://schemas.microsoft.com/office/word/2010/wordprocessingShape">
                  <wps:wsp>
                    <wps:cNvSpPr txBox="1"/>
                    <wps:spPr>
                      <a:xfrm>
                        <a:off x="0" y="0"/>
                        <a:ext cx="2758440" cy="69850"/>
                      </a:xfrm>
                      <a:prstGeom prst="rect">
                        <a:avLst/>
                      </a:prstGeom>
                      <a:noFill/>
                    </wps:spPr>
                    <wps:txbx>
                      <w:txbxContent>
                        <w:p w14:paraId="0019ADB8" w14:textId="77777777" w:rsidR="00D03C17" w:rsidRDefault="00D03C17">
                          <w:pPr>
                            <w:pStyle w:val="Headerorfooter0"/>
                            <w:tabs>
                              <w:tab w:val="right" w:pos="4344"/>
                            </w:tabs>
                            <w:rPr>
                              <w:sz w:val="16"/>
                              <w:szCs w:val="16"/>
                            </w:rPr>
                          </w:pPr>
                          <w:r>
                            <w:t>RICKETTSIOSIS PUSTULOSA</w:t>
                          </w:r>
                          <w:r>
                            <w:tab/>
                          </w:r>
                          <w:r>
                            <w:rPr>
                              <w:sz w:val="16"/>
                              <w:szCs w:val="16"/>
                            </w:rPr>
                            <w:t>581</w:t>
                          </w:r>
                        </w:p>
                      </w:txbxContent>
                    </wps:txbx>
                    <wps:bodyPr lIns="0" tIns="0" rIns="0" bIns="0">
                      <a:spAutoFit/>
                    </wps:bodyPr>
                  </wps:wsp>
                </a:graphicData>
              </a:graphic>
            </wp:anchor>
          </w:drawing>
        </mc:Choice>
        <mc:Fallback>
          <w:pict>
            <v:shapetype w14:anchorId="5EA3B355" id="_x0000_t202" coordsize="21600,21600" o:spt="202" path="m,l,21600r21600,l21600,xe">
              <v:stroke joinstyle="miter"/>
              <v:path gradientshapeok="t" o:connecttype="rect"/>
            </v:shapetype>
            <v:shape id="Shape 1670" o:spid="_x0000_s1190" type="#_x0000_t202" style="position:absolute;margin-left:165pt;margin-top:24.5pt;width:217.2pt;height:5.5pt;z-index:-251315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" filled="f" stroked="f">
              <v:textbox style="mso-fit-shape-to-text:t" inset="0,0,0,0">
                <w:txbxContent>
                  <w:p w14:paraId="0019ADB8" w14:textId="77777777" w:rsidR="00D03C17" w:rsidRDefault="00D03C17">
                    <w:pPr>
                      <w:pStyle w:val="Headerorfooter0"/>
                      <w:tabs>
                        <w:tab w:val="right" w:pos="4344"/>
                      </w:tabs>
                      <w:rPr>
                        <w:sz w:val="16"/>
                        <w:szCs w:val="16"/>
                      </w:rPr>
                    </w:pPr>
                    <w:r>
                      <w:t>RICKETTSIOSIS PUSTULOSA</w:t>
                    </w:r>
                    <w:r>
                      <w:tab/>
                    </w:r>
                    <w:r>
                      <w:rPr>
                        <w:sz w:val="16"/>
                        <w:szCs w:val="16"/>
                      </w:rPr>
                      <w:t>581</w:t>
                    </w:r>
                  </w:p>
                </w:txbxContent>
              </v:textbox>
              <w10:wrap anchorx="page" anchory="page"/>
            </v:shape>
          </w:pict>
        </mc:Fallback>
      </mc:AlternateContent>
    </w:r>
    <w:r>
      <w:rPr>
        <w:noProof/>
      </w:rPr>
      <mc:AlternateContent>
        <mc:Choice Requires="wps">
          <w:drawing>
            <wp:anchor distT="0" distB="0" distL="114300" distR="114300" simplePos="0" relativeHeight="251796480" behindDoc="1" locked="0" layoutInCell="1" allowOverlap="1" wp14:anchorId="7A883DEC" wp14:editId="57BC721B">
              <wp:simplePos x="0" y="0"/>
              <wp:positionH relativeFrom="page">
                <wp:posOffset>531495</wp:posOffset>
              </wp:positionH>
              <wp:positionV relativeFrom="page">
                <wp:posOffset>419100</wp:posOffset>
              </wp:positionV>
              <wp:extent cx="4358640" cy="0"/>
              <wp:effectExtent l="0" t="0" r="0" b="0"/>
              <wp:wrapNone/>
              <wp:docPr id="1672" name="Shape 1672"/>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0DC93DAD" id="_x0000_t32" coordsize="21600,21600" o:spt="32" o:oned="t" path="m,l21600,21600e" filled="f">
              <v:path arrowok="t" fillok="f" o:connecttype="none"/>
              <o:lock v:ext="edit" shapetype="t"/>
            </v:shapetype>
            <v:shape id="Shape 1672" o:spid="_x0000_s1026" type="#_x0000_t32" style="position:absolute;margin-left:41.85pt;margin-top:33pt;width:343.2pt;height:0;z-index:-25152000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" strokeweight="1pt">
              <w10:wrap anchorx="page" anchory="page"/>
            </v:shape>
          </w:pict>
        </mc:Fallback>
      </mc:AlternateContent>
    </w:r>
  </w:p>
</w:hdr>
</file>

<file path=word/header1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30C54" w14:textId="77777777" w:rsidR="00D03C17" w:rsidRDefault="00D03C17">
    <w:pPr>
      <w:spacing w:line="1" w:lineRule="exact"/>
    </w:pPr>
    <w:r>
      <w:rPr>
        <w:noProof/>
      </w:rPr>
      <mc:AlternateContent>
        <mc:Choice Requires="wps">
          <w:drawing>
            <wp:anchor distT="0" distB="0" distL="0" distR="0" simplePos="0" relativeHeight="252000256" behindDoc="1" locked="0" layoutInCell="1" allowOverlap="1" wp14:anchorId="73725AE2" wp14:editId="05159195">
              <wp:simplePos x="0" y="0"/>
              <wp:positionH relativeFrom="page">
                <wp:posOffset>2095500</wp:posOffset>
              </wp:positionH>
              <wp:positionV relativeFrom="page">
                <wp:posOffset>311150</wp:posOffset>
              </wp:positionV>
              <wp:extent cx="2758440" cy="69850"/>
              <wp:effectExtent l="0" t="0" r="0" b="0"/>
              <wp:wrapNone/>
              <wp:docPr id="1667" name="Shape 1667"/>
              <wp:cNvGraphicFramePr/>
              <a:graphic xmlns:a="http://schemas.openxmlformats.org/drawingml/2006/main">
                <a:graphicData uri="http://schemas.microsoft.com/office/word/2010/wordprocessingShape">
                  <wps:wsp>
                    <wps:cNvSpPr txBox="1"/>
                    <wps:spPr>
                      <a:xfrm>
                        <a:off x="0" y="0"/>
                        <a:ext cx="2758440" cy="69850"/>
                      </a:xfrm>
                      <a:prstGeom prst="rect">
                        <a:avLst/>
                      </a:prstGeom>
                      <a:noFill/>
                    </wps:spPr>
                    <wps:txbx>
                      <w:txbxContent>
                        <w:p w14:paraId="0BB9043B" w14:textId="77777777" w:rsidR="00D03C17" w:rsidRDefault="00D03C17">
                          <w:pPr>
                            <w:pStyle w:val="Headerorfooter0"/>
                            <w:tabs>
                              <w:tab w:val="right" w:pos="4344"/>
                            </w:tabs>
                            <w:rPr>
                              <w:sz w:val="16"/>
                              <w:szCs w:val="16"/>
                            </w:rPr>
                          </w:pPr>
                          <w:r>
                            <w:t>RICKETTSIOSIS PUSTULOSA</w:t>
                          </w:r>
                          <w:r>
                            <w:tab/>
                          </w:r>
                          <w:r>
                            <w:rPr>
                              <w:sz w:val="16"/>
                              <w:szCs w:val="16"/>
                            </w:rPr>
                            <w:t>581</w:t>
                          </w:r>
                        </w:p>
                      </w:txbxContent>
                    </wps:txbx>
                    <wps:bodyPr lIns="0" tIns="0" rIns="0" bIns="0">
                      <a:spAutoFit/>
                    </wps:bodyPr>
                  </wps:wsp>
                </a:graphicData>
              </a:graphic>
            </wp:anchor>
          </w:drawing>
        </mc:Choice>
        <mc:Fallback>
          <w:pict>
            <v:shapetype w14:anchorId="73725AE2" id="_x0000_t202" coordsize="21600,21600" o:spt="202" path="m,l,21600r21600,l21600,xe">
              <v:stroke joinstyle="miter"/>
              <v:path gradientshapeok="t" o:connecttype="rect"/>
            </v:shapetype>
            <v:shape id="Shape 1667" o:spid="_x0000_s1191" type="#_x0000_t202" style="position:absolute;margin-left:165pt;margin-top:24.5pt;width:217.2pt;height:5.5pt;z-index:-251316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" filled="f" stroked="f">
              <v:textbox style="mso-fit-shape-to-text:t" inset="0,0,0,0">
                <w:txbxContent>
                  <w:p w14:paraId="0BB9043B" w14:textId="77777777" w:rsidR="00D03C17" w:rsidRDefault="00D03C17">
                    <w:pPr>
                      <w:pStyle w:val="Headerorfooter0"/>
                      <w:tabs>
                        <w:tab w:val="right" w:pos="4344"/>
                      </w:tabs>
                      <w:rPr>
                        <w:sz w:val="16"/>
                        <w:szCs w:val="16"/>
                      </w:rPr>
                    </w:pPr>
                    <w:r>
                      <w:t>RICKETTSIOSIS PUSTULOSA</w:t>
                    </w:r>
                    <w:r>
                      <w:tab/>
                    </w:r>
                    <w:r>
                      <w:rPr>
                        <w:sz w:val="16"/>
                        <w:szCs w:val="16"/>
                      </w:rPr>
                      <w:t>581</w:t>
                    </w:r>
                  </w:p>
                </w:txbxContent>
              </v:textbox>
              <w10:wrap anchorx="page" anchory="page"/>
            </v:shape>
          </w:pict>
        </mc:Fallback>
      </mc:AlternateContent>
    </w:r>
    <w:r>
      <w:rPr>
        <w:noProof/>
      </w:rPr>
      <mc:AlternateContent>
        <mc:Choice Requires="wps">
          <w:drawing>
            <wp:anchor distT="0" distB="0" distL="114300" distR="114300" simplePos="0" relativeHeight="251795456" behindDoc="1" locked="0" layoutInCell="1" allowOverlap="1" wp14:anchorId="277EAFD0" wp14:editId="422B7842">
              <wp:simplePos x="0" y="0"/>
              <wp:positionH relativeFrom="page">
                <wp:posOffset>531495</wp:posOffset>
              </wp:positionH>
              <wp:positionV relativeFrom="page">
                <wp:posOffset>419100</wp:posOffset>
              </wp:positionV>
              <wp:extent cx="4358640" cy="0"/>
              <wp:effectExtent l="0" t="0" r="0" b="0"/>
              <wp:wrapNone/>
              <wp:docPr id="1669" name="Shape 1669"/>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4679C347" id="_x0000_t32" coordsize="21600,21600" o:spt="32" o:oned="t" path="m,l21600,21600e" filled="f">
              <v:path arrowok="t" fillok="f" o:connecttype="none"/>
              <o:lock v:ext="edit" shapetype="t"/>
            </v:shapetype>
            <v:shape id="Shape 1669" o:spid="_x0000_s1026" type="#_x0000_t32" style="position:absolute;margin-left:41.85pt;margin-top:33pt;width:343.2pt;height:0;z-index:-25152102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" strokeweight="1pt">
              <w10:wrap anchorx="page" anchory="page"/>
            </v:shape>
          </w:pict>
        </mc:Fallback>
      </mc:AlternateContent>
    </w:r>
  </w:p>
</w:hdr>
</file>

<file path=word/header1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90CF4" w14:textId="77777777" w:rsidR="00D03C17" w:rsidRDefault="00D03C17">
    <w:pPr>
      <w:spacing w:line="1" w:lineRule="exact"/>
    </w:pPr>
    <w:r>
      <w:rPr>
        <w:noProof/>
      </w:rPr>
      <mc:AlternateContent>
        <mc:Choice Requires="wps">
          <w:drawing>
            <wp:anchor distT="0" distB="0" distL="0" distR="0" simplePos="0" relativeHeight="252003328" behindDoc="1" locked="0" layoutInCell="1" allowOverlap="1" wp14:anchorId="18B15093" wp14:editId="656CCDA6">
              <wp:simplePos x="0" y="0"/>
              <wp:positionH relativeFrom="page">
                <wp:posOffset>551180</wp:posOffset>
              </wp:positionH>
              <wp:positionV relativeFrom="page">
                <wp:posOffset>295910</wp:posOffset>
              </wp:positionV>
              <wp:extent cx="3255010" cy="94615"/>
              <wp:effectExtent l="0" t="0" r="0" b="0"/>
              <wp:wrapNone/>
              <wp:docPr id="1676" name="Shape 1676"/>
              <wp:cNvGraphicFramePr/>
              <a:graphic xmlns:a="http://schemas.openxmlformats.org/drawingml/2006/main">
                <a:graphicData uri="http://schemas.microsoft.com/office/word/2010/wordprocessingShape">
                  <wps:wsp>
                    <wps:cNvSpPr txBox="1"/>
                    <wps:spPr>
                      <a:xfrm>
                        <a:off x="0" y="0"/>
                        <a:ext cx="3255010" cy="94615"/>
                      </a:xfrm>
                      <a:prstGeom prst="rect">
                        <a:avLst/>
                      </a:prstGeom>
                      <a:noFill/>
                    </wps:spPr>
                    <wps:txbx>
                      <w:txbxContent>
                        <w:p w14:paraId="6B135532" w14:textId="77777777" w:rsidR="00D03C17" w:rsidRDefault="00D03C17">
                          <w:pPr>
                            <w:pStyle w:val="Headerorfooter0"/>
                            <w:tabs>
                              <w:tab w:val="right" w:pos="5126"/>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ROCOSAS, FIEBRE MACULADA DE LAS MONTAÑAS</w:t>
                          </w:r>
                        </w:p>
                      </w:txbxContent>
                    </wps:txbx>
                    <wps:bodyPr lIns="0" tIns="0" rIns="0" bIns="0">
                      <a:spAutoFit/>
                    </wps:bodyPr>
                  </wps:wsp>
                </a:graphicData>
              </a:graphic>
            </wp:anchor>
          </w:drawing>
        </mc:Choice>
        <mc:Fallback>
          <w:pict>
            <v:shapetype w14:anchorId="18B15093" id="_x0000_t202" coordsize="21600,21600" o:spt="202" path="m,l,21600r21600,l21600,xe">
              <v:stroke joinstyle="miter"/>
              <v:path gradientshapeok="t" o:connecttype="rect"/>
            </v:shapetype>
            <v:shape id="Shape 1676" o:spid="_x0000_s1192" type="#_x0000_t202" style="position:absolute;margin-left:43.4pt;margin-top:23.3pt;width:256.3pt;height:7.45pt;z-index:-251313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" filled="f" stroked="f">
              <v:textbox style="mso-fit-shape-to-text:t" inset="0,0,0,0">
                <w:txbxContent>
                  <w:p w14:paraId="6B135532" w14:textId="77777777" w:rsidR="00D03C17" w:rsidRDefault="00D03C17">
                    <w:pPr>
                      <w:pStyle w:val="Headerorfooter0"/>
                      <w:tabs>
                        <w:tab w:val="right" w:pos="5126"/>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ROCOSAS, FIEBRE MACULADA DE LAS MONTAÑAS</w:t>
                    </w:r>
                  </w:p>
                </w:txbxContent>
              </v:textbox>
              <w10:wrap anchorx="page" anchory="page"/>
            </v:shape>
          </w:pict>
        </mc:Fallback>
      </mc:AlternateContent>
    </w:r>
    <w:r>
      <w:rPr>
        <w:noProof/>
      </w:rPr>
      <mc:AlternateContent>
        <mc:Choice Requires="wps">
          <w:drawing>
            <wp:anchor distT="0" distB="0" distL="114300" distR="114300" simplePos="0" relativeHeight="251798528" behindDoc="1" locked="0" layoutInCell="1" allowOverlap="1" wp14:anchorId="1A1A46A1" wp14:editId="7D14427C">
              <wp:simplePos x="0" y="0"/>
              <wp:positionH relativeFrom="page">
                <wp:posOffset>535940</wp:posOffset>
              </wp:positionH>
              <wp:positionV relativeFrom="page">
                <wp:posOffset>419100</wp:posOffset>
              </wp:positionV>
              <wp:extent cx="4358640" cy="0"/>
              <wp:effectExtent l="0" t="0" r="0" b="0"/>
              <wp:wrapNone/>
              <wp:docPr id="1678" name="Shape 1678"/>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46E0FBE2" id="_x0000_t32" coordsize="21600,21600" o:spt="32" o:oned="t" path="m,l21600,21600e" filled="f">
              <v:path arrowok="t" fillok="f" o:connecttype="none"/>
              <o:lock v:ext="edit" shapetype="t"/>
            </v:shapetype>
            <v:shape id="Shape 1678" o:spid="_x0000_s1026" type="#_x0000_t32" style="position:absolute;margin-left:42.2pt;margin-top:33pt;width:343.2pt;height:0;z-index:-25151795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" strokeweight="1pt">
              <w10:wrap anchorx="page" anchory="page"/>
            </v:shape>
          </w:pict>
        </mc:Fallback>
      </mc:AlternateContent>
    </w:r>
  </w:p>
</w:hdr>
</file>

<file path=word/header1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C37B9" w14:textId="77777777" w:rsidR="00D03C17" w:rsidRDefault="00D03C17">
    <w:pPr>
      <w:spacing w:line="1" w:lineRule="exact"/>
    </w:pPr>
    <w:r>
      <w:rPr>
        <w:noProof/>
      </w:rPr>
      <mc:AlternateContent>
        <mc:Choice Requires="wps">
          <w:drawing>
            <wp:anchor distT="0" distB="0" distL="0" distR="0" simplePos="0" relativeHeight="252002304" behindDoc="1" locked="0" layoutInCell="1" allowOverlap="1" wp14:anchorId="0D479180" wp14:editId="0DA5981F">
              <wp:simplePos x="0" y="0"/>
              <wp:positionH relativeFrom="page">
                <wp:posOffset>1621155</wp:posOffset>
              </wp:positionH>
              <wp:positionV relativeFrom="page">
                <wp:posOffset>295910</wp:posOffset>
              </wp:positionV>
              <wp:extent cx="3249295" cy="94615"/>
              <wp:effectExtent l="0" t="0" r="0" b="0"/>
              <wp:wrapNone/>
              <wp:docPr id="1673" name="Shape 1673"/>
              <wp:cNvGraphicFramePr/>
              <a:graphic xmlns:a="http://schemas.openxmlformats.org/drawingml/2006/main">
                <a:graphicData uri="http://schemas.microsoft.com/office/word/2010/wordprocessingShape">
                  <wps:wsp>
                    <wps:cNvSpPr txBox="1"/>
                    <wps:spPr>
                      <a:xfrm>
                        <a:off x="0" y="0"/>
                        <a:ext cx="3249295" cy="94615"/>
                      </a:xfrm>
                      <a:prstGeom prst="rect">
                        <a:avLst/>
                      </a:prstGeom>
                      <a:noFill/>
                    </wps:spPr>
                    <wps:txbx>
                      <w:txbxContent>
                        <w:p w14:paraId="3D4C809F" w14:textId="77777777" w:rsidR="00D03C17" w:rsidRDefault="00D03C17">
                          <w:pPr>
                            <w:pStyle w:val="Headerorfooter0"/>
                            <w:tabs>
                              <w:tab w:val="right" w:pos="5117"/>
                            </w:tabs>
                            <w:rPr>
                              <w:sz w:val="16"/>
                              <w:szCs w:val="16"/>
                            </w:rPr>
                          </w:pPr>
                          <w:r>
                            <w:t>ROCOSAS, FIEBRE MACULADA DE LAS MONTAÑAS</w:t>
                          </w:r>
                          <w:r>
                            <w:tab/>
                          </w:r>
                          <w:r>
                            <w:rPr>
                              <w:sz w:val="16"/>
                              <w:szCs w:val="16"/>
                            </w:rPr>
                            <w:t>583</w:t>
                          </w:r>
                        </w:p>
                      </w:txbxContent>
                    </wps:txbx>
                    <wps:bodyPr lIns="0" tIns="0" rIns="0" bIns="0">
                      <a:spAutoFit/>
                    </wps:bodyPr>
                  </wps:wsp>
                </a:graphicData>
              </a:graphic>
            </wp:anchor>
          </w:drawing>
        </mc:Choice>
        <mc:Fallback>
          <w:pict>
            <v:shapetype w14:anchorId="0D479180" id="_x0000_t202" coordsize="21600,21600" o:spt="202" path="m,l,21600r21600,l21600,xe">
              <v:stroke joinstyle="miter"/>
              <v:path gradientshapeok="t" o:connecttype="rect"/>
            </v:shapetype>
            <v:shape id="Shape 1673" o:spid="_x0000_s1193" type="#_x0000_t202" style="position:absolute;margin-left:127.65pt;margin-top:23.3pt;width:255.85pt;height:7.45pt;z-index:-251314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" filled="f" stroked="f">
              <v:textbox style="mso-fit-shape-to-text:t" inset="0,0,0,0">
                <w:txbxContent>
                  <w:p w14:paraId="3D4C809F" w14:textId="77777777" w:rsidR="00D03C17" w:rsidRDefault="00D03C17">
                    <w:pPr>
                      <w:pStyle w:val="Headerorfooter0"/>
                      <w:tabs>
                        <w:tab w:val="right" w:pos="5117"/>
                      </w:tabs>
                      <w:rPr>
                        <w:sz w:val="16"/>
                        <w:szCs w:val="16"/>
                      </w:rPr>
                    </w:pPr>
                    <w:r>
                      <w:t>ROCOSAS, FIEBRE MACULADA DE LAS MONTAÑAS</w:t>
                    </w:r>
                    <w:r>
                      <w:tab/>
                    </w:r>
                    <w:r>
                      <w:rPr>
                        <w:sz w:val="16"/>
                        <w:szCs w:val="16"/>
                      </w:rPr>
                      <w:t>583</w:t>
                    </w:r>
                  </w:p>
                </w:txbxContent>
              </v:textbox>
              <w10:wrap anchorx="page" anchory="page"/>
            </v:shape>
          </w:pict>
        </mc:Fallback>
      </mc:AlternateContent>
    </w:r>
    <w:r>
      <w:rPr>
        <w:noProof/>
      </w:rPr>
      <mc:AlternateContent>
        <mc:Choice Requires="wps">
          <w:drawing>
            <wp:anchor distT="0" distB="0" distL="114300" distR="114300" simplePos="0" relativeHeight="251797504" behindDoc="1" locked="0" layoutInCell="1" allowOverlap="1" wp14:anchorId="24C98EB7" wp14:editId="6374D7D2">
              <wp:simplePos x="0" y="0"/>
              <wp:positionH relativeFrom="page">
                <wp:posOffset>533400</wp:posOffset>
              </wp:positionH>
              <wp:positionV relativeFrom="page">
                <wp:posOffset>419100</wp:posOffset>
              </wp:positionV>
              <wp:extent cx="4358640" cy="0"/>
              <wp:effectExtent l="0" t="0" r="0" b="0"/>
              <wp:wrapNone/>
              <wp:docPr id="1675" name="Shape 1675"/>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66DF72A6" id="_x0000_t32" coordsize="21600,21600" o:spt="32" o:oned="t" path="m,l21600,21600e" filled="f">
              <v:path arrowok="t" fillok="f" o:connecttype="none"/>
              <o:lock v:ext="edit" shapetype="t"/>
            </v:shapetype>
            <v:shape id="Shape 1675" o:spid="_x0000_s1026" type="#_x0000_t32" style="position:absolute;margin-left:42pt;margin-top:33pt;width:343.2pt;height:0;z-index:-25151897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" strokeweight="1pt">
              <w10:wrap anchorx="page" anchory="page"/>
            </v:shape>
          </w:pict>
        </mc:Fallback>
      </mc:AlternateContent>
    </w:r>
  </w:p>
</w:hdr>
</file>

<file path=word/header1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41857" w14:textId="77777777" w:rsidR="00D03C17" w:rsidRDefault="00D03C17">
    <w:pPr>
      <w:spacing w:line="1" w:lineRule="exact"/>
    </w:pPr>
    <w:r>
      <w:rPr>
        <w:noProof/>
      </w:rPr>
      <mc:AlternateContent>
        <mc:Choice Requires="wps">
          <w:drawing>
            <wp:anchor distT="0" distB="0" distL="0" distR="0" simplePos="0" relativeHeight="252005376" behindDoc="1" locked="0" layoutInCell="1" allowOverlap="1" wp14:anchorId="14888F39" wp14:editId="55EB41D1">
              <wp:simplePos x="0" y="0"/>
              <wp:positionH relativeFrom="page">
                <wp:posOffset>2148840</wp:posOffset>
              </wp:positionH>
              <wp:positionV relativeFrom="page">
                <wp:posOffset>311150</wp:posOffset>
              </wp:positionV>
              <wp:extent cx="2727960" cy="79375"/>
              <wp:effectExtent l="0" t="0" r="0" b="0"/>
              <wp:wrapNone/>
              <wp:docPr id="1682" name="Shape 1682"/>
              <wp:cNvGraphicFramePr/>
              <a:graphic xmlns:a="http://schemas.openxmlformats.org/drawingml/2006/main">
                <a:graphicData uri="http://schemas.microsoft.com/office/word/2010/wordprocessingShape">
                  <wps:wsp>
                    <wps:cNvSpPr txBox="1"/>
                    <wps:spPr>
                      <a:xfrm>
                        <a:off x="0" y="0"/>
                        <a:ext cx="2727960" cy="79375"/>
                      </a:xfrm>
                      <a:prstGeom prst="rect">
                        <a:avLst/>
                      </a:prstGeom>
                      <a:noFill/>
                    </wps:spPr>
                    <wps:txbx>
                      <w:txbxContent>
                        <w:p w14:paraId="05F45044" w14:textId="77777777" w:rsidR="00D03C17" w:rsidRDefault="00D03C17">
                          <w:pPr>
                            <w:pStyle w:val="Headerorfooter0"/>
                            <w:tabs>
                              <w:tab w:val="right" w:pos="4296"/>
                            </w:tabs>
                            <w:rPr>
                              <w:sz w:val="16"/>
                              <w:szCs w:val="16"/>
                            </w:rPr>
                          </w:pPr>
                          <w:r>
                            <w:t>ROTAVIRUS, INFECCIONES</w:t>
                          </w:r>
                          <w:r>
                            <w:tab/>
                          </w:r>
                          <w:r>
                            <w:fldChar w:fldCharType="begin"/>
                          </w:r>
                          <w:r>
                            <w:instrText xml:space="preserve"> PAGE \* MERGEFORMAT </w:instrText>
                          </w:r>
                          <w:r>
                            <w:fldChar w:fldCharType="separate"/>
                          </w:r>
                          <w:r>
                            <w:rPr>
                              <w:sz w:val="16"/>
                              <w:szCs w:val="16"/>
                            </w:rPr>
                            <w:t>#</w:t>
                          </w:r>
                          <w:r>
                            <w:rPr>
                              <w:sz w:val="16"/>
                              <w:szCs w:val="16"/>
                            </w:rPr>
                            <w:fldChar w:fldCharType="end"/>
                          </w:r>
                        </w:p>
                      </w:txbxContent>
                    </wps:txbx>
                    <wps:bodyPr lIns="0" tIns="0" rIns="0" bIns="0">
                      <a:spAutoFit/>
                    </wps:bodyPr>
                  </wps:wsp>
                </a:graphicData>
              </a:graphic>
            </wp:anchor>
          </w:drawing>
        </mc:Choice>
        <mc:Fallback>
          <w:pict>
            <v:shapetype w14:anchorId="14888F39" id="_x0000_t202" coordsize="21600,21600" o:spt="202" path="m,l,21600r21600,l21600,xe">
              <v:stroke joinstyle="miter"/>
              <v:path gradientshapeok="t" o:connecttype="rect"/>
            </v:shapetype>
            <v:shape id="Shape 1682" o:spid="_x0000_s1194" type="#_x0000_t202" style="position:absolute;margin-left:169.2pt;margin-top:24.5pt;width:214.8pt;height:6.25pt;z-index:-251311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" filled="f" stroked="f">
              <v:textbox style="mso-fit-shape-to-text:t" inset="0,0,0,0">
                <w:txbxContent>
                  <w:p w14:paraId="05F45044" w14:textId="77777777" w:rsidR="00D03C17" w:rsidRDefault="00D03C17">
                    <w:pPr>
                      <w:pStyle w:val="Headerorfooter0"/>
                      <w:tabs>
                        <w:tab w:val="right" w:pos="4296"/>
                      </w:tabs>
                      <w:rPr>
                        <w:sz w:val="16"/>
                        <w:szCs w:val="16"/>
                      </w:rPr>
                    </w:pPr>
                    <w:r>
                      <w:t>ROTAVIRUS, INFECCIONES</w:t>
                    </w:r>
                    <w:r>
                      <w:tab/>
                    </w:r>
                    <w:r>
                      <w:fldChar w:fldCharType="begin"/>
                    </w:r>
                    <w:r>
                      <w:instrText xml:space="preserve"> PAGE \* MERGEFORMAT </w:instrText>
                    </w:r>
                    <w:r>
                      <w:fldChar w:fldCharType="separate"/>
                    </w:r>
                    <w:r>
                      <w:rPr>
                        <w:sz w:val="16"/>
                        <w:szCs w:val="16"/>
                      </w:rPr>
                      <w:t>#</w:t>
                    </w:r>
                    <w:r>
                      <w:rPr>
                        <w:sz w:val="16"/>
                        <w:szCs w:val="1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800576" behindDoc="1" locked="0" layoutInCell="1" allowOverlap="1" wp14:anchorId="3D48CD09" wp14:editId="2CEEB181">
              <wp:simplePos x="0" y="0"/>
              <wp:positionH relativeFrom="page">
                <wp:posOffset>539115</wp:posOffset>
              </wp:positionH>
              <wp:positionV relativeFrom="page">
                <wp:posOffset>419100</wp:posOffset>
              </wp:positionV>
              <wp:extent cx="4358640" cy="0"/>
              <wp:effectExtent l="0" t="0" r="0" b="0"/>
              <wp:wrapNone/>
              <wp:docPr id="1684" name="Shape 1684"/>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4D02B832" id="_x0000_t32" coordsize="21600,21600" o:spt="32" o:oned="t" path="m,l21600,21600e" filled="f">
              <v:path arrowok="t" fillok="f" o:connecttype="none"/>
              <o:lock v:ext="edit" shapetype="t"/>
            </v:shapetype>
            <v:shape id="Shape 1684" o:spid="_x0000_s1026" type="#_x0000_t32" style="position:absolute;margin-left:42.45pt;margin-top:33pt;width:343.2pt;height:0;z-index:-25151590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" strokeweight="1pt">
              <w10:wrap anchorx="page" anchory="page"/>
            </v:shape>
          </w:pict>
        </mc:Fallback>
      </mc:AlternateContent>
    </w:r>
  </w:p>
</w:hdr>
</file>

<file path=word/header1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03C2E" w14:textId="77777777" w:rsidR="00D03C17" w:rsidRDefault="00D03C17">
    <w:pPr>
      <w:spacing w:line="1" w:lineRule="exact"/>
    </w:pPr>
    <w:r>
      <w:rPr>
        <w:noProof/>
      </w:rPr>
      <mc:AlternateContent>
        <mc:Choice Requires="wps">
          <w:drawing>
            <wp:anchor distT="0" distB="0" distL="0" distR="0" simplePos="0" relativeHeight="252004352" behindDoc="1" locked="0" layoutInCell="1" allowOverlap="1" wp14:anchorId="5C1C7688" wp14:editId="4AFC22FC">
              <wp:simplePos x="0" y="0"/>
              <wp:positionH relativeFrom="page">
                <wp:posOffset>2148840</wp:posOffset>
              </wp:positionH>
              <wp:positionV relativeFrom="page">
                <wp:posOffset>311150</wp:posOffset>
              </wp:positionV>
              <wp:extent cx="2727960" cy="79375"/>
              <wp:effectExtent l="0" t="0" r="0" b="0"/>
              <wp:wrapNone/>
              <wp:docPr id="1679" name="Shape 1679"/>
              <wp:cNvGraphicFramePr/>
              <a:graphic xmlns:a="http://schemas.openxmlformats.org/drawingml/2006/main">
                <a:graphicData uri="http://schemas.microsoft.com/office/word/2010/wordprocessingShape">
                  <wps:wsp>
                    <wps:cNvSpPr txBox="1"/>
                    <wps:spPr>
                      <a:xfrm>
                        <a:off x="0" y="0"/>
                        <a:ext cx="2727960" cy="79375"/>
                      </a:xfrm>
                      <a:prstGeom prst="rect">
                        <a:avLst/>
                      </a:prstGeom>
                      <a:noFill/>
                    </wps:spPr>
                    <wps:txbx>
                      <w:txbxContent>
                        <w:p w14:paraId="147E361E" w14:textId="77777777" w:rsidR="00D03C17" w:rsidRDefault="00D03C17">
                          <w:pPr>
                            <w:pStyle w:val="Headerorfooter0"/>
                            <w:tabs>
                              <w:tab w:val="right" w:pos="4296"/>
                            </w:tabs>
                            <w:rPr>
                              <w:sz w:val="16"/>
                              <w:szCs w:val="16"/>
                            </w:rPr>
                          </w:pPr>
                          <w:r>
                            <w:t>ROTAVIRUS, INFECCIONES</w:t>
                          </w:r>
                          <w:r>
                            <w:tab/>
                          </w:r>
                          <w:r>
                            <w:fldChar w:fldCharType="begin"/>
                          </w:r>
                          <w:r>
                            <w:instrText xml:space="preserve"> PAGE \* MERGEFORMAT </w:instrText>
                          </w:r>
                          <w:r>
                            <w:fldChar w:fldCharType="separate"/>
                          </w:r>
                          <w:r>
                            <w:rPr>
                              <w:sz w:val="16"/>
                              <w:szCs w:val="16"/>
                            </w:rPr>
                            <w:t>#</w:t>
                          </w:r>
                          <w:r>
                            <w:rPr>
                              <w:sz w:val="16"/>
                              <w:szCs w:val="16"/>
                            </w:rPr>
                            <w:fldChar w:fldCharType="end"/>
                          </w:r>
                        </w:p>
                      </w:txbxContent>
                    </wps:txbx>
                    <wps:bodyPr lIns="0" tIns="0" rIns="0" bIns="0">
                      <a:spAutoFit/>
                    </wps:bodyPr>
                  </wps:wsp>
                </a:graphicData>
              </a:graphic>
            </wp:anchor>
          </w:drawing>
        </mc:Choice>
        <mc:Fallback>
          <w:pict>
            <v:shapetype w14:anchorId="5C1C7688" id="_x0000_t202" coordsize="21600,21600" o:spt="202" path="m,l,21600r21600,l21600,xe">
              <v:stroke joinstyle="miter"/>
              <v:path gradientshapeok="t" o:connecttype="rect"/>
            </v:shapetype>
            <v:shape id="Shape 1679" o:spid="_x0000_s1195" type="#_x0000_t202" style="position:absolute;margin-left:169.2pt;margin-top:24.5pt;width:214.8pt;height:6.25pt;z-index:-251312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" filled="f" stroked="f">
              <v:textbox style="mso-fit-shape-to-text:t" inset="0,0,0,0">
                <w:txbxContent>
                  <w:p w14:paraId="147E361E" w14:textId="77777777" w:rsidR="00D03C17" w:rsidRDefault="00D03C17">
                    <w:pPr>
                      <w:pStyle w:val="Headerorfooter0"/>
                      <w:tabs>
                        <w:tab w:val="right" w:pos="4296"/>
                      </w:tabs>
                      <w:rPr>
                        <w:sz w:val="16"/>
                        <w:szCs w:val="16"/>
                      </w:rPr>
                    </w:pPr>
                    <w:r>
                      <w:t>ROTAVIRUS, INFECCIONES</w:t>
                    </w:r>
                    <w:r>
                      <w:tab/>
                    </w:r>
                    <w:r>
                      <w:fldChar w:fldCharType="begin"/>
                    </w:r>
                    <w:r>
                      <w:instrText xml:space="preserve"> PAGE \* MERGEFORMAT </w:instrText>
                    </w:r>
                    <w:r>
                      <w:fldChar w:fldCharType="separate"/>
                    </w:r>
                    <w:r>
                      <w:rPr>
                        <w:sz w:val="16"/>
                        <w:szCs w:val="16"/>
                      </w:rPr>
                      <w:t>#</w:t>
                    </w:r>
                    <w:r>
                      <w:rPr>
                        <w:sz w:val="16"/>
                        <w:szCs w:val="1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799552" behindDoc="1" locked="0" layoutInCell="1" allowOverlap="1" wp14:anchorId="45D706BF" wp14:editId="652AA81F">
              <wp:simplePos x="0" y="0"/>
              <wp:positionH relativeFrom="page">
                <wp:posOffset>539115</wp:posOffset>
              </wp:positionH>
              <wp:positionV relativeFrom="page">
                <wp:posOffset>419100</wp:posOffset>
              </wp:positionV>
              <wp:extent cx="4358640" cy="0"/>
              <wp:effectExtent l="0" t="0" r="0" b="0"/>
              <wp:wrapNone/>
              <wp:docPr id="1681" name="Shape 1681"/>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021FBDB2" id="_x0000_t32" coordsize="21600,21600" o:spt="32" o:oned="t" path="m,l21600,21600e" filled="f">
              <v:path arrowok="t" fillok="f" o:connecttype="none"/>
              <o:lock v:ext="edit" shapetype="t"/>
            </v:shapetype>
            <v:shape id="Shape 1681" o:spid="_x0000_s1026" type="#_x0000_t32" style="position:absolute;margin-left:42.45pt;margin-top:33pt;width:343.2pt;height:0;z-index:-25151692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" strokeweight="1pt">
              <w10:wrap anchorx="page" anchory="page"/>
            </v:shape>
          </w:pict>
        </mc:Fallback>
      </mc:AlternateContent>
    </w:r>
  </w:p>
</w:hdr>
</file>

<file path=word/header1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2FF70" w14:textId="77777777" w:rsidR="00D03C17" w:rsidRDefault="00D03C17">
    <w:pPr>
      <w:spacing w:line="1" w:lineRule="exact"/>
    </w:pPr>
    <w:r>
      <w:rPr>
        <w:noProof/>
      </w:rPr>
      <mc:AlternateContent>
        <mc:Choice Requires="wps">
          <w:drawing>
            <wp:anchor distT="0" distB="0" distL="0" distR="0" simplePos="0" relativeHeight="252006400" behindDoc="1" locked="0" layoutInCell="1" allowOverlap="1" wp14:anchorId="3080AC31" wp14:editId="535AA21A">
              <wp:simplePos x="0" y="0"/>
              <wp:positionH relativeFrom="page">
                <wp:posOffset>553085</wp:posOffset>
              </wp:positionH>
              <wp:positionV relativeFrom="page">
                <wp:posOffset>311150</wp:posOffset>
              </wp:positionV>
              <wp:extent cx="2734310" cy="79375"/>
              <wp:effectExtent l="0" t="0" r="0" b="0"/>
              <wp:wrapNone/>
              <wp:docPr id="1685" name="Shape 1685"/>
              <wp:cNvGraphicFramePr/>
              <a:graphic xmlns:a="http://schemas.openxmlformats.org/drawingml/2006/main">
                <a:graphicData uri="http://schemas.microsoft.com/office/word/2010/wordprocessingShape">
                  <wps:wsp>
                    <wps:cNvSpPr txBox="1"/>
                    <wps:spPr>
                      <a:xfrm>
                        <a:off x="0" y="0"/>
                        <a:ext cx="2734310" cy="79375"/>
                      </a:xfrm>
                      <a:prstGeom prst="rect">
                        <a:avLst/>
                      </a:prstGeom>
                      <a:noFill/>
                    </wps:spPr>
                    <wps:txbx>
                      <w:txbxContent>
                        <w:p w14:paraId="0F494731" w14:textId="77777777" w:rsidR="00D03C17" w:rsidRDefault="00D03C17">
                          <w:pPr>
                            <w:pStyle w:val="Headerorfooter0"/>
                            <w:tabs>
                              <w:tab w:val="right" w:pos="4306"/>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ROTAVIRUS, INFECCIONES</w:t>
                          </w:r>
                        </w:p>
                      </w:txbxContent>
                    </wps:txbx>
                    <wps:bodyPr lIns="0" tIns="0" rIns="0" bIns="0">
                      <a:spAutoFit/>
                    </wps:bodyPr>
                  </wps:wsp>
                </a:graphicData>
              </a:graphic>
            </wp:anchor>
          </w:drawing>
        </mc:Choice>
        <mc:Fallback>
          <w:pict>
            <v:shapetype w14:anchorId="3080AC31" id="_x0000_t202" coordsize="21600,21600" o:spt="202" path="m,l,21600r21600,l21600,xe">
              <v:stroke joinstyle="miter"/>
              <v:path gradientshapeok="t" o:connecttype="rect"/>
            </v:shapetype>
            <v:shape id="Shape 1685" o:spid="_x0000_s1196" type="#_x0000_t202" style="position:absolute;margin-left:43.55pt;margin-top:24.5pt;width:215.3pt;height:6.25pt;z-index:-251310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" filled="f" stroked="f">
              <v:textbox style="mso-fit-shape-to-text:t" inset="0,0,0,0">
                <w:txbxContent>
                  <w:p w14:paraId="0F494731" w14:textId="77777777" w:rsidR="00D03C17" w:rsidRDefault="00D03C17">
                    <w:pPr>
                      <w:pStyle w:val="Headerorfooter0"/>
                      <w:tabs>
                        <w:tab w:val="right" w:pos="4306"/>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ROTAVIRUS, INFECCIONES</w:t>
                    </w:r>
                  </w:p>
                </w:txbxContent>
              </v:textbox>
              <w10:wrap anchorx="page" anchory="page"/>
            </v:shape>
          </w:pict>
        </mc:Fallback>
      </mc:AlternateContent>
    </w:r>
    <w:r>
      <w:rPr>
        <w:noProof/>
      </w:rPr>
      <mc:AlternateContent>
        <mc:Choice Requires="wps">
          <w:drawing>
            <wp:anchor distT="0" distB="0" distL="114300" distR="114300" simplePos="0" relativeHeight="251801600" behindDoc="1" locked="0" layoutInCell="1" allowOverlap="1" wp14:anchorId="5709922A" wp14:editId="2539437B">
              <wp:simplePos x="0" y="0"/>
              <wp:positionH relativeFrom="page">
                <wp:posOffset>537845</wp:posOffset>
              </wp:positionH>
              <wp:positionV relativeFrom="page">
                <wp:posOffset>419100</wp:posOffset>
              </wp:positionV>
              <wp:extent cx="4358640" cy="0"/>
              <wp:effectExtent l="0" t="0" r="0" b="0"/>
              <wp:wrapNone/>
              <wp:docPr id="1687" name="Shape 1687"/>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5A4C1860" id="_x0000_t32" coordsize="21600,21600" o:spt="32" o:oned="t" path="m,l21600,21600e" filled="f">
              <v:path arrowok="t" fillok="f" o:connecttype="none"/>
              <o:lock v:ext="edit" shapetype="t"/>
            </v:shapetype>
            <v:shape id="Shape 1687" o:spid="_x0000_s1026" type="#_x0000_t32" style="position:absolute;margin-left:42.35pt;margin-top:33pt;width:343.2pt;height:0;z-index:-25151488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" strokeweight="1pt">
              <w10:wrap anchorx="page" anchory="page"/>
            </v:shape>
          </w:pict>
        </mc:Fallback>
      </mc:AlternateContent>
    </w:r>
  </w:p>
</w:hdr>
</file>

<file path=word/header1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BF6DF" w14:textId="77777777" w:rsidR="00D03C17" w:rsidRDefault="00D03C17">
    <w:pPr>
      <w:spacing w:line="1" w:lineRule="exact"/>
    </w:pPr>
    <w:r>
      <w:rPr>
        <w:noProof/>
      </w:rPr>
      <mc:AlternateContent>
        <mc:Choice Requires="wps">
          <w:drawing>
            <wp:anchor distT="0" distB="0" distL="0" distR="0" simplePos="0" relativeHeight="252008448" behindDoc="1" locked="0" layoutInCell="1" allowOverlap="1" wp14:anchorId="20DE8094" wp14:editId="12F77EC4">
              <wp:simplePos x="0" y="0"/>
              <wp:positionH relativeFrom="page">
                <wp:posOffset>549910</wp:posOffset>
              </wp:positionH>
              <wp:positionV relativeFrom="page">
                <wp:posOffset>295910</wp:posOffset>
              </wp:positionV>
              <wp:extent cx="2374265" cy="85090"/>
              <wp:effectExtent l="0" t="0" r="0" b="0"/>
              <wp:wrapNone/>
              <wp:docPr id="1691" name="Shape 1691"/>
              <wp:cNvGraphicFramePr/>
              <a:graphic xmlns:a="http://schemas.openxmlformats.org/drawingml/2006/main">
                <a:graphicData uri="http://schemas.microsoft.com/office/word/2010/wordprocessingShape">
                  <wps:wsp>
                    <wps:cNvSpPr txBox="1"/>
                    <wps:spPr>
                      <a:xfrm>
                        <a:off x="0" y="0"/>
                        <a:ext cx="2374265" cy="85090"/>
                      </a:xfrm>
                      <a:prstGeom prst="rect">
                        <a:avLst/>
                      </a:prstGeom>
                      <a:noFill/>
                    </wps:spPr>
                    <wps:txbx>
                      <w:txbxContent>
                        <w:p w14:paraId="016D6B82" w14:textId="77777777" w:rsidR="00D03C17" w:rsidRDefault="00D03C17">
                          <w:pPr>
                            <w:pStyle w:val="Headerorfooter0"/>
                            <w:tabs>
                              <w:tab w:val="right" w:pos="3739"/>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RUBÉOLA</w:t>
                          </w:r>
                        </w:p>
                      </w:txbxContent>
                    </wps:txbx>
                    <wps:bodyPr lIns="0" tIns="0" rIns="0" bIns="0">
                      <a:spAutoFit/>
                    </wps:bodyPr>
                  </wps:wsp>
                </a:graphicData>
              </a:graphic>
            </wp:anchor>
          </w:drawing>
        </mc:Choice>
        <mc:Fallback>
          <w:pict>
            <v:shapetype w14:anchorId="20DE8094" id="_x0000_t202" coordsize="21600,21600" o:spt="202" path="m,l,21600r21600,l21600,xe">
              <v:stroke joinstyle="miter"/>
              <v:path gradientshapeok="t" o:connecttype="rect"/>
            </v:shapetype>
            <v:shape id="Shape 1691" o:spid="_x0000_s1197" type="#_x0000_t202" style="position:absolute;margin-left:43.3pt;margin-top:23.3pt;width:186.95pt;height:6.7pt;z-index:-251308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" filled="f" stroked="f">
              <v:textbox style="mso-fit-shape-to-text:t" inset="0,0,0,0">
                <w:txbxContent>
                  <w:p w14:paraId="016D6B82" w14:textId="77777777" w:rsidR="00D03C17" w:rsidRDefault="00D03C17">
                    <w:pPr>
                      <w:pStyle w:val="Headerorfooter0"/>
                      <w:tabs>
                        <w:tab w:val="right" w:pos="3739"/>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RUBÉOLA</w:t>
                    </w:r>
                  </w:p>
                </w:txbxContent>
              </v:textbox>
              <w10:wrap anchorx="page" anchory="page"/>
            </v:shape>
          </w:pict>
        </mc:Fallback>
      </mc:AlternateContent>
    </w:r>
    <w:r>
      <w:rPr>
        <w:noProof/>
      </w:rPr>
      <mc:AlternateContent>
        <mc:Choice Requires="wps">
          <w:drawing>
            <wp:anchor distT="0" distB="0" distL="114300" distR="114300" simplePos="0" relativeHeight="251803648" behindDoc="1" locked="0" layoutInCell="1" allowOverlap="1" wp14:anchorId="3BC6E63E" wp14:editId="587BA579">
              <wp:simplePos x="0" y="0"/>
              <wp:positionH relativeFrom="page">
                <wp:posOffset>534670</wp:posOffset>
              </wp:positionH>
              <wp:positionV relativeFrom="page">
                <wp:posOffset>419100</wp:posOffset>
              </wp:positionV>
              <wp:extent cx="4358640" cy="0"/>
              <wp:effectExtent l="0" t="0" r="0" b="0"/>
              <wp:wrapNone/>
              <wp:docPr id="1693" name="Shape 1693"/>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61108A23" id="_x0000_t32" coordsize="21600,21600" o:spt="32" o:oned="t" path="m,l21600,21600e" filled="f">
              <v:path arrowok="t" fillok="f" o:connecttype="none"/>
              <o:lock v:ext="edit" shapetype="t"/>
            </v:shapetype>
            <v:shape id="Shape 1693" o:spid="_x0000_s1026" type="#_x0000_t32" style="position:absolute;margin-left:42.1pt;margin-top:33pt;width:343.2pt;height:0;z-index:-25151283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" strokeweight="1pt">
              <w10:wrap anchorx="page" anchory="page"/>
            </v:shape>
          </w:pict>
        </mc:Fallback>
      </mc:AlternateContent>
    </w:r>
  </w:p>
</w:hdr>
</file>

<file path=word/header1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6CEFF" w14:textId="77777777" w:rsidR="00D03C17" w:rsidRDefault="00D03C17">
    <w:pPr>
      <w:spacing w:line="1" w:lineRule="exact"/>
    </w:pPr>
    <w:r>
      <w:rPr>
        <w:noProof/>
      </w:rPr>
      <mc:AlternateContent>
        <mc:Choice Requires="wps">
          <w:drawing>
            <wp:anchor distT="0" distB="0" distL="0" distR="0" simplePos="0" relativeHeight="252007424" behindDoc="1" locked="0" layoutInCell="1" allowOverlap="1" wp14:anchorId="1A8801B4" wp14:editId="6EB61BB2">
              <wp:simplePos x="0" y="0"/>
              <wp:positionH relativeFrom="page">
                <wp:posOffset>2505075</wp:posOffset>
              </wp:positionH>
              <wp:positionV relativeFrom="page">
                <wp:posOffset>295910</wp:posOffset>
              </wp:positionV>
              <wp:extent cx="2362200" cy="85090"/>
              <wp:effectExtent l="0" t="0" r="0" b="0"/>
              <wp:wrapNone/>
              <wp:docPr id="1688" name="Shape 1688"/>
              <wp:cNvGraphicFramePr/>
              <a:graphic xmlns:a="http://schemas.openxmlformats.org/drawingml/2006/main">
                <a:graphicData uri="http://schemas.microsoft.com/office/word/2010/wordprocessingShape">
                  <wps:wsp>
                    <wps:cNvSpPr txBox="1"/>
                    <wps:spPr>
                      <a:xfrm>
                        <a:off x="0" y="0"/>
                        <a:ext cx="2362200" cy="85090"/>
                      </a:xfrm>
                      <a:prstGeom prst="rect">
                        <a:avLst/>
                      </a:prstGeom>
                      <a:noFill/>
                    </wps:spPr>
                    <wps:txbx>
                      <w:txbxContent>
                        <w:p w14:paraId="7766B1A4" w14:textId="77777777" w:rsidR="00D03C17" w:rsidRDefault="00D03C17">
                          <w:pPr>
                            <w:pStyle w:val="Headerorfooter0"/>
                            <w:tabs>
                              <w:tab w:val="right" w:pos="3720"/>
                            </w:tabs>
                            <w:rPr>
                              <w:sz w:val="16"/>
                              <w:szCs w:val="16"/>
                            </w:rPr>
                          </w:pPr>
                          <w:r>
                            <w:t>RUBÉOLA</w:t>
                          </w:r>
                          <w:r>
                            <w:tab/>
                          </w:r>
                          <w:r>
                            <w:fldChar w:fldCharType="begin"/>
                          </w:r>
                          <w:r>
                            <w:instrText xml:space="preserve"> PAGE \* MERGEFORMAT </w:instrText>
                          </w:r>
                          <w:r>
                            <w:fldChar w:fldCharType="separate"/>
                          </w:r>
                          <w:r>
                            <w:rPr>
                              <w:sz w:val="16"/>
                              <w:szCs w:val="16"/>
                            </w:rPr>
                            <w:t>#</w:t>
                          </w:r>
                          <w:r>
                            <w:rPr>
                              <w:sz w:val="16"/>
                              <w:szCs w:val="16"/>
                            </w:rPr>
                            <w:fldChar w:fldCharType="end"/>
                          </w:r>
                        </w:p>
                      </w:txbxContent>
                    </wps:txbx>
                    <wps:bodyPr lIns="0" tIns="0" rIns="0" bIns="0">
                      <a:spAutoFit/>
                    </wps:bodyPr>
                  </wps:wsp>
                </a:graphicData>
              </a:graphic>
            </wp:anchor>
          </w:drawing>
        </mc:Choice>
        <mc:Fallback>
          <w:pict>
            <v:shapetype w14:anchorId="1A8801B4" id="_x0000_t202" coordsize="21600,21600" o:spt="202" path="m,l,21600r21600,l21600,xe">
              <v:stroke joinstyle="miter"/>
              <v:path gradientshapeok="t" o:connecttype="rect"/>
            </v:shapetype>
            <v:shape id="Shape 1688" o:spid="_x0000_s1198" type="#_x0000_t202" style="position:absolute;margin-left:197.25pt;margin-top:23.3pt;width:186pt;height:6.7pt;z-index:-251309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" filled="f" stroked="f">
              <v:textbox style="mso-fit-shape-to-text:t" inset="0,0,0,0">
                <w:txbxContent>
                  <w:p w14:paraId="7766B1A4" w14:textId="77777777" w:rsidR="00D03C17" w:rsidRDefault="00D03C17">
                    <w:pPr>
                      <w:pStyle w:val="Headerorfooter0"/>
                      <w:tabs>
                        <w:tab w:val="right" w:pos="3720"/>
                      </w:tabs>
                      <w:rPr>
                        <w:sz w:val="16"/>
                        <w:szCs w:val="16"/>
                      </w:rPr>
                    </w:pPr>
                    <w:r>
                      <w:t>RUBÉOLA</w:t>
                    </w:r>
                    <w:r>
                      <w:tab/>
                    </w:r>
                    <w:r>
                      <w:fldChar w:fldCharType="begin"/>
                    </w:r>
                    <w:r>
                      <w:instrText xml:space="preserve"> PAGE \* MERGEFORMAT </w:instrText>
                    </w:r>
                    <w:r>
                      <w:fldChar w:fldCharType="separate"/>
                    </w:r>
                    <w:r>
                      <w:rPr>
                        <w:sz w:val="16"/>
                        <w:szCs w:val="16"/>
                      </w:rPr>
                      <w:t>#</w:t>
                    </w:r>
                    <w:r>
                      <w:rPr>
                        <w:sz w:val="16"/>
                        <w:szCs w:val="1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802624" behindDoc="1" locked="0" layoutInCell="1" allowOverlap="1" wp14:anchorId="5B517C8A" wp14:editId="6023A428">
              <wp:simplePos x="0" y="0"/>
              <wp:positionH relativeFrom="page">
                <wp:posOffset>530225</wp:posOffset>
              </wp:positionH>
              <wp:positionV relativeFrom="page">
                <wp:posOffset>419100</wp:posOffset>
              </wp:positionV>
              <wp:extent cx="4358640" cy="0"/>
              <wp:effectExtent l="0" t="0" r="0" b="0"/>
              <wp:wrapNone/>
              <wp:docPr id="1690" name="Shape 1690"/>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22A62E62" id="_x0000_t32" coordsize="21600,21600" o:spt="32" o:oned="t" path="m,l21600,21600e" filled="f">
              <v:path arrowok="t" fillok="f" o:connecttype="none"/>
              <o:lock v:ext="edit" shapetype="t"/>
            </v:shapetype>
            <v:shape id="Shape 1690" o:spid="_x0000_s1026" type="#_x0000_t32" style="position:absolute;margin-left:41.75pt;margin-top:33pt;width:343.2pt;height:0;z-index:-25151385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" strokeweight="1pt">
              <w10:wrap anchorx="page" anchory="page"/>
            </v:shape>
          </w:pict>
        </mc:Fallback>
      </mc:AlternateContent>
    </w:r>
  </w:p>
</w:hdr>
</file>

<file path=word/header1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64711" w14:textId="77777777" w:rsidR="00D03C17" w:rsidRDefault="00D03C17">
    <w:pPr>
      <w:spacing w:line="1" w:lineRule="exact"/>
    </w:pPr>
    <w:r>
      <w:rPr>
        <w:noProof/>
      </w:rPr>
      <mc:AlternateContent>
        <mc:Choice Requires="wps">
          <w:drawing>
            <wp:anchor distT="0" distB="0" distL="0" distR="0" simplePos="0" relativeHeight="252010496" behindDoc="1" locked="0" layoutInCell="1" allowOverlap="1" wp14:anchorId="525D6D32" wp14:editId="6532E8C2">
              <wp:simplePos x="0" y="0"/>
              <wp:positionH relativeFrom="page">
                <wp:posOffset>2090420</wp:posOffset>
              </wp:positionH>
              <wp:positionV relativeFrom="page">
                <wp:posOffset>311150</wp:posOffset>
              </wp:positionV>
              <wp:extent cx="2780030" cy="79375"/>
              <wp:effectExtent l="0" t="0" r="0" b="0"/>
              <wp:wrapNone/>
              <wp:docPr id="1697" name="Shape 1697"/>
              <wp:cNvGraphicFramePr/>
              <a:graphic xmlns:a="http://schemas.openxmlformats.org/drawingml/2006/main">
                <a:graphicData uri="http://schemas.microsoft.com/office/word/2010/wordprocessingShape">
                  <wps:wsp>
                    <wps:cNvSpPr txBox="1"/>
                    <wps:spPr>
                      <a:xfrm>
                        <a:off x="0" y="0"/>
                        <a:ext cx="2780030" cy="79375"/>
                      </a:xfrm>
                      <a:prstGeom prst="rect">
                        <a:avLst/>
                      </a:prstGeom>
                      <a:noFill/>
                    </wps:spPr>
                    <wps:txbx>
                      <w:txbxContent>
                        <w:p w14:paraId="2873071D" w14:textId="77777777" w:rsidR="00D03C17" w:rsidRDefault="00D03C17">
                          <w:pPr>
                            <w:pStyle w:val="Headerorfooter0"/>
                            <w:tabs>
                              <w:tab w:val="right" w:pos="4378"/>
                            </w:tabs>
                            <w:rPr>
                              <w:sz w:val="16"/>
                              <w:szCs w:val="16"/>
                            </w:rPr>
                          </w:pPr>
                          <w:r>
                            <w:rPr>
                              <w:i/>
                              <w:iCs/>
                              <w:sz w:val="13"/>
                              <w:szCs w:val="13"/>
                            </w:rPr>
                            <w:t>SALMONELLA</w:t>
                          </w:r>
                          <w:r>
                            <w:rPr>
                              <w:i/>
                              <w:iCs/>
                            </w:rPr>
                            <w:t>,</w:t>
                          </w:r>
                          <w:r>
                            <w:t xml:space="preserve"> INFECCIONES</w:t>
                          </w:r>
                          <w:r>
                            <w:tab/>
                          </w:r>
                          <w:r>
                            <w:fldChar w:fldCharType="begin"/>
                          </w:r>
                          <w:r>
                            <w:instrText xml:space="preserve"> PAGE \* MERGEFORMAT </w:instrText>
                          </w:r>
                          <w:r>
                            <w:fldChar w:fldCharType="separate"/>
                          </w:r>
                          <w:r>
                            <w:rPr>
                              <w:sz w:val="16"/>
                              <w:szCs w:val="16"/>
                            </w:rPr>
                            <w:t>#</w:t>
                          </w:r>
                          <w:r>
                            <w:rPr>
                              <w:sz w:val="16"/>
                              <w:szCs w:val="16"/>
                            </w:rPr>
                            <w:fldChar w:fldCharType="end"/>
                          </w:r>
                        </w:p>
                      </w:txbxContent>
                    </wps:txbx>
                    <wps:bodyPr lIns="0" tIns="0" rIns="0" bIns="0">
                      <a:spAutoFit/>
                    </wps:bodyPr>
                  </wps:wsp>
                </a:graphicData>
              </a:graphic>
            </wp:anchor>
          </w:drawing>
        </mc:Choice>
        <mc:Fallback>
          <w:pict>
            <v:shapetype w14:anchorId="525D6D32" id="_x0000_t202" coordsize="21600,21600" o:spt="202" path="m,l,21600r21600,l21600,xe">
              <v:stroke joinstyle="miter"/>
              <v:path gradientshapeok="t" o:connecttype="rect"/>
            </v:shapetype>
            <v:shape id="Shape 1697" o:spid="_x0000_s1199" type="#_x0000_t202" style="position:absolute;margin-left:164.6pt;margin-top:24.5pt;width:218.9pt;height:6.25pt;z-index:-251305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" filled="f" stroked="f">
              <v:textbox style="mso-fit-shape-to-text:t" inset="0,0,0,0">
                <w:txbxContent>
                  <w:p w14:paraId="2873071D" w14:textId="77777777" w:rsidR="00D03C17" w:rsidRDefault="00D03C17">
                    <w:pPr>
                      <w:pStyle w:val="Headerorfooter0"/>
                      <w:tabs>
                        <w:tab w:val="right" w:pos="4378"/>
                      </w:tabs>
                      <w:rPr>
                        <w:sz w:val="16"/>
                        <w:szCs w:val="16"/>
                      </w:rPr>
                    </w:pPr>
                    <w:r>
                      <w:rPr>
                        <w:i/>
                        <w:iCs/>
                        <w:sz w:val="13"/>
                        <w:szCs w:val="13"/>
                      </w:rPr>
                      <w:t>SALMONELLA</w:t>
                    </w:r>
                    <w:r>
                      <w:rPr>
                        <w:i/>
                        <w:iCs/>
                      </w:rPr>
                      <w:t>,</w:t>
                    </w:r>
                    <w:r>
                      <w:t xml:space="preserve"> INFECCIONES</w:t>
                    </w:r>
                    <w:r>
                      <w:tab/>
                    </w:r>
                    <w:r>
                      <w:fldChar w:fldCharType="begin"/>
                    </w:r>
                    <w:r>
                      <w:instrText xml:space="preserve"> PAGE \* MERGEFORMAT </w:instrText>
                    </w:r>
                    <w:r>
                      <w:fldChar w:fldCharType="separate"/>
                    </w:r>
                    <w:r>
                      <w:rPr>
                        <w:sz w:val="16"/>
                        <w:szCs w:val="16"/>
                      </w:rPr>
                      <w:t>#</w:t>
                    </w:r>
                    <w:r>
                      <w:rPr>
                        <w:sz w:val="16"/>
                        <w:szCs w:val="1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805696" behindDoc="1" locked="0" layoutInCell="1" allowOverlap="1" wp14:anchorId="6D185342" wp14:editId="593F03AF">
              <wp:simplePos x="0" y="0"/>
              <wp:positionH relativeFrom="page">
                <wp:posOffset>533400</wp:posOffset>
              </wp:positionH>
              <wp:positionV relativeFrom="page">
                <wp:posOffset>419100</wp:posOffset>
              </wp:positionV>
              <wp:extent cx="4358640" cy="0"/>
              <wp:effectExtent l="0" t="0" r="0" b="0"/>
              <wp:wrapNone/>
              <wp:docPr id="1699" name="Shape 1699"/>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1A438D01" id="_x0000_t32" coordsize="21600,21600" o:spt="32" o:oned="t" path="m,l21600,21600e" filled="f">
              <v:path arrowok="t" fillok="f" o:connecttype="none"/>
              <o:lock v:ext="edit" shapetype="t"/>
            </v:shapetype>
            <v:shape id="Shape 1699" o:spid="_x0000_s1026" type="#_x0000_t32" style="position:absolute;margin-left:42pt;margin-top:33pt;width:343.2pt;height:0;z-index:-25151078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" strokeweight="1pt">
              <w10:wrap anchorx="page" anchory="page"/>
            </v:shape>
          </w:pict>
        </mc:Fallback>
      </mc:AlternateContent>
    </w:r>
  </w:p>
</w:hdr>
</file>

<file path=word/header1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B28AE" w14:textId="77777777" w:rsidR="00D03C17" w:rsidRDefault="00D03C17">
    <w:pPr>
      <w:spacing w:line="1" w:lineRule="exact"/>
    </w:pPr>
    <w:r>
      <w:rPr>
        <w:noProof/>
      </w:rPr>
      <mc:AlternateContent>
        <mc:Choice Requires="wps">
          <w:drawing>
            <wp:anchor distT="0" distB="0" distL="0" distR="0" simplePos="0" relativeHeight="252009472" behindDoc="1" locked="0" layoutInCell="1" allowOverlap="1" wp14:anchorId="617D4263" wp14:editId="1D68CCCC">
              <wp:simplePos x="0" y="0"/>
              <wp:positionH relativeFrom="page">
                <wp:posOffset>2090420</wp:posOffset>
              </wp:positionH>
              <wp:positionV relativeFrom="page">
                <wp:posOffset>311150</wp:posOffset>
              </wp:positionV>
              <wp:extent cx="2780030" cy="79375"/>
              <wp:effectExtent l="0" t="0" r="0" b="0"/>
              <wp:wrapNone/>
              <wp:docPr id="1694" name="Shape 1694"/>
              <wp:cNvGraphicFramePr/>
              <a:graphic xmlns:a="http://schemas.openxmlformats.org/drawingml/2006/main">
                <a:graphicData uri="http://schemas.microsoft.com/office/word/2010/wordprocessingShape">
                  <wps:wsp>
                    <wps:cNvSpPr txBox="1"/>
                    <wps:spPr>
                      <a:xfrm>
                        <a:off x="0" y="0"/>
                        <a:ext cx="2780030" cy="79375"/>
                      </a:xfrm>
                      <a:prstGeom prst="rect">
                        <a:avLst/>
                      </a:prstGeom>
                      <a:noFill/>
                    </wps:spPr>
                    <wps:txbx>
                      <w:txbxContent>
                        <w:p w14:paraId="655BBC62" w14:textId="77777777" w:rsidR="00D03C17" w:rsidRDefault="00D03C17">
                          <w:pPr>
                            <w:pStyle w:val="Headerorfooter0"/>
                            <w:tabs>
                              <w:tab w:val="right" w:pos="4378"/>
                            </w:tabs>
                            <w:rPr>
                              <w:sz w:val="16"/>
                              <w:szCs w:val="16"/>
                            </w:rPr>
                          </w:pPr>
                          <w:r>
                            <w:rPr>
                              <w:i/>
                              <w:iCs/>
                              <w:sz w:val="13"/>
                              <w:szCs w:val="13"/>
                            </w:rPr>
                            <w:t>SALMONELLA</w:t>
                          </w:r>
                          <w:r>
                            <w:rPr>
                              <w:i/>
                              <w:iCs/>
                            </w:rPr>
                            <w:t>,</w:t>
                          </w:r>
                          <w:r>
                            <w:t xml:space="preserve"> INFECCIONES</w:t>
                          </w:r>
                          <w:r>
                            <w:tab/>
                          </w:r>
                          <w:r>
                            <w:fldChar w:fldCharType="begin"/>
                          </w:r>
                          <w:r>
                            <w:instrText xml:space="preserve"> PAGE \* MERGEFORMAT </w:instrText>
                          </w:r>
                          <w:r>
                            <w:fldChar w:fldCharType="separate"/>
                          </w:r>
                          <w:r>
                            <w:rPr>
                              <w:sz w:val="16"/>
                              <w:szCs w:val="16"/>
                            </w:rPr>
                            <w:t>#</w:t>
                          </w:r>
                          <w:r>
                            <w:rPr>
                              <w:sz w:val="16"/>
                              <w:szCs w:val="16"/>
                            </w:rPr>
                            <w:fldChar w:fldCharType="end"/>
                          </w:r>
                        </w:p>
                      </w:txbxContent>
                    </wps:txbx>
                    <wps:bodyPr lIns="0" tIns="0" rIns="0" bIns="0">
                      <a:spAutoFit/>
                    </wps:bodyPr>
                  </wps:wsp>
                </a:graphicData>
              </a:graphic>
            </wp:anchor>
          </w:drawing>
        </mc:Choice>
        <mc:Fallback>
          <w:pict>
            <v:shapetype w14:anchorId="617D4263" id="_x0000_t202" coordsize="21600,21600" o:spt="202" path="m,l,21600r21600,l21600,xe">
              <v:stroke joinstyle="miter"/>
              <v:path gradientshapeok="t" o:connecttype="rect"/>
            </v:shapetype>
            <v:shape id="Shape 1694" o:spid="_x0000_s1200" type="#_x0000_t202" style="position:absolute;margin-left:164.6pt;margin-top:24.5pt;width:218.9pt;height:6.25pt;z-index:-251307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" filled="f" stroked="f">
              <v:textbox style="mso-fit-shape-to-text:t" inset="0,0,0,0">
                <w:txbxContent>
                  <w:p w14:paraId="655BBC62" w14:textId="77777777" w:rsidR="00D03C17" w:rsidRDefault="00D03C17">
                    <w:pPr>
                      <w:pStyle w:val="Headerorfooter0"/>
                      <w:tabs>
                        <w:tab w:val="right" w:pos="4378"/>
                      </w:tabs>
                      <w:rPr>
                        <w:sz w:val="16"/>
                        <w:szCs w:val="16"/>
                      </w:rPr>
                    </w:pPr>
                    <w:r>
                      <w:rPr>
                        <w:i/>
                        <w:iCs/>
                        <w:sz w:val="13"/>
                        <w:szCs w:val="13"/>
                      </w:rPr>
                      <w:t>SALMONELLA</w:t>
                    </w:r>
                    <w:r>
                      <w:rPr>
                        <w:i/>
                        <w:iCs/>
                      </w:rPr>
                      <w:t>,</w:t>
                    </w:r>
                    <w:r>
                      <w:t xml:space="preserve"> INFECCIONES</w:t>
                    </w:r>
                    <w:r>
                      <w:tab/>
                    </w:r>
                    <w:r>
                      <w:fldChar w:fldCharType="begin"/>
                    </w:r>
                    <w:r>
                      <w:instrText xml:space="preserve"> PAGE \* MERGEFORMAT </w:instrText>
                    </w:r>
                    <w:r>
                      <w:fldChar w:fldCharType="separate"/>
                    </w:r>
                    <w:r>
                      <w:rPr>
                        <w:sz w:val="16"/>
                        <w:szCs w:val="16"/>
                      </w:rPr>
                      <w:t>#</w:t>
                    </w:r>
                    <w:r>
                      <w:rPr>
                        <w:sz w:val="16"/>
                        <w:szCs w:val="1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804672" behindDoc="1" locked="0" layoutInCell="1" allowOverlap="1" wp14:anchorId="5885791D" wp14:editId="1384208F">
              <wp:simplePos x="0" y="0"/>
              <wp:positionH relativeFrom="page">
                <wp:posOffset>533400</wp:posOffset>
              </wp:positionH>
              <wp:positionV relativeFrom="page">
                <wp:posOffset>419100</wp:posOffset>
              </wp:positionV>
              <wp:extent cx="4358640" cy="0"/>
              <wp:effectExtent l="0" t="0" r="0" b="0"/>
              <wp:wrapNone/>
              <wp:docPr id="1696" name="Shape 1696"/>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5AB45388" id="_x0000_t32" coordsize="21600,21600" o:spt="32" o:oned="t" path="m,l21600,21600e" filled="f">
              <v:path arrowok="t" fillok="f" o:connecttype="none"/>
              <o:lock v:ext="edit" shapetype="t"/>
            </v:shapetype>
            <v:shape id="Shape 1696" o:spid="_x0000_s1026" type="#_x0000_t32" style="position:absolute;margin-left:42pt;margin-top:33pt;width:343.2pt;height:0;z-index:-25151180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" strokeweight="1pt">
              <w10:wrap anchorx="page" anchory="page"/>
            </v:shape>
          </w:pict>
        </mc:Fallback>
      </mc:AlternateContent>
    </w:r>
  </w:p>
</w:hdr>
</file>

<file path=word/header1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079CF" w14:textId="77777777" w:rsidR="00D03C17" w:rsidRDefault="00D03C17">
    <w:pPr>
      <w:spacing w:line="1" w:lineRule="exact"/>
    </w:pPr>
    <w:r>
      <w:rPr>
        <w:noProof/>
      </w:rPr>
      <mc:AlternateContent>
        <mc:Choice Requires="wps">
          <w:drawing>
            <wp:anchor distT="0" distB="0" distL="0" distR="0" simplePos="0" relativeHeight="252012544" behindDoc="1" locked="0" layoutInCell="1" allowOverlap="1" wp14:anchorId="4EE1CB51" wp14:editId="4741B333">
              <wp:simplePos x="0" y="0"/>
              <wp:positionH relativeFrom="page">
                <wp:posOffset>546735</wp:posOffset>
              </wp:positionH>
              <wp:positionV relativeFrom="page">
                <wp:posOffset>311150</wp:posOffset>
              </wp:positionV>
              <wp:extent cx="2782570" cy="79375"/>
              <wp:effectExtent l="0" t="0" r="0" b="0"/>
              <wp:wrapNone/>
              <wp:docPr id="1709" name="Shape 1709"/>
              <wp:cNvGraphicFramePr/>
              <a:graphic xmlns:a="http://schemas.openxmlformats.org/drawingml/2006/main">
                <a:graphicData uri="http://schemas.microsoft.com/office/word/2010/wordprocessingShape">
                  <wps:wsp>
                    <wps:cNvSpPr txBox="1"/>
                    <wps:spPr>
                      <a:xfrm>
                        <a:off x="0" y="0"/>
                        <a:ext cx="2782570" cy="79375"/>
                      </a:xfrm>
                      <a:prstGeom prst="rect">
                        <a:avLst/>
                      </a:prstGeom>
                      <a:noFill/>
                    </wps:spPr>
                    <wps:txbx>
                      <w:txbxContent>
                        <w:p w14:paraId="1D66C04D" w14:textId="77777777" w:rsidR="00D03C17" w:rsidRDefault="00D03C17">
                          <w:pPr>
                            <w:pStyle w:val="Headerorfooter0"/>
                            <w:tabs>
                              <w:tab w:val="right" w:pos="4382"/>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rPr>
                              <w:i/>
                              <w:iCs/>
                              <w:sz w:val="13"/>
                              <w:szCs w:val="13"/>
                            </w:rPr>
                            <w:t>SALMONELLA</w:t>
                          </w:r>
                          <w:r>
                            <w:rPr>
                              <w:i/>
                              <w:iCs/>
                            </w:rPr>
                            <w:t>,</w:t>
                          </w:r>
                          <w:r>
                            <w:t xml:space="preserve"> INFECCIONES</w:t>
                          </w:r>
                        </w:p>
                      </w:txbxContent>
                    </wps:txbx>
                    <wps:bodyPr lIns="0" tIns="0" rIns="0" bIns="0">
                      <a:spAutoFit/>
                    </wps:bodyPr>
                  </wps:wsp>
                </a:graphicData>
              </a:graphic>
            </wp:anchor>
          </w:drawing>
        </mc:Choice>
        <mc:Fallback>
          <w:pict>
            <v:shapetype w14:anchorId="4EE1CB51" id="_x0000_t202" coordsize="21600,21600" o:spt="202" path="m,l,21600r21600,l21600,xe">
              <v:stroke joinstyle="miter"/>
              <v:path gradientshapeok="t" o:connecttype="rect"/>
            </v:shapetype>
            <v:shape id="Shape 1709" o:spid="_x0000_s1201" type="#_x0000_t202" style="position:absolute;margin-left:43.05pt;margin-top:24.5pt;width:219.1pt;height:6.25pt;z-index:-251303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" filled="f" stroked="f">
              <v:textbox style="mso-fit-shape-to-text:t" inset="0,0,0,0">
                <w:txbxContent>
                  <w:p w14:paraId="1D66C04D" w14:textId="77777777" w:rsidR="00D03C17" w:rsidRDefault="00D03C17">
                    <w:pPr>
                      <w:pStyle w:val="Headerorfooter0"/>
                      <w:tabs>
                        <w:tab w:val="right" w:pos="4382"/>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rPr>
                        <w:i/>
                        <w:iCs/>
                        <w:sz w:val="13"/>
                        <w:szCs w:val="13"/>
                      </w:rPr>
                      <w:t>SALMONELLA</w:t>
                    </w:r>
                    <w:r>
                      <w:rPr>
                        <w:i/>
                        <w:iCs/>
                      </w:rPr>
                      <w:t>,</w:t>
                    </w:r>
                    <w:r>
                      <w:t xml:space="preserve"> INFECCIONES</w:t>
                    </w:r>
                  </w:p>
                </w:txbxContent>
              </v:textbox>
              <w10:wrap anchorx="page" anchory="page"/>
            </v:shape>
          </w:pict>
        </mc:Fallback>
      </mc:AlternateContent>
    </w:r>
    <w:r>
      <w:rPr>
        <w:noProof/>
      </w:rPr>
      <mc:AlternateContent>
        <mc:Choice Requires="wps">
          <w:drawing>
            <wp:anchor distT="0" distB="0" distL="114300" distR="114300" simplePos="0" relativeHeight="251807744" behindDoc="1" locked="0" layoutInCell="1" allowOverlap="1" wp14:anchorId="3E847E06" wp14:editId="7BE3857E">
              <wp:simplePos x="0" y="0"/>
              <wp:positionH relativeFrom="page">
                <wp:posOffset>531495</wp:posOffset>
              </wp:positionH>
              <wp:positionV relativeFrom="page">
                <wp:posOffset>419100</wp:posOffset>
              </wp:positionV>
              <wp:extent cx="4358640" cy="0"/>
              <wp:effectExtent l="0" t="0" r="0" b="0"/>
              <wp:wrapNone/>
              <wp:docPr id="1711" name="Shape 1711"/>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383ADD1C" id="_x0000_t32" coordsize="21600,21600" o:spt="32" o:oned="t" path="m,l21600,21600e" filled="f">
              <v:path arrowok="t" fillok="f" o:connecttype="none"/>
              <o:lock v:ext="edit" shapetype="t"/>
            </v:shapetype>
            <v:shape id="Shape 1711" o:spid="_x0000_s1026" type="#_x0000_t32" style="position:absolute;margin-left:41.85pt;margin-top:33pt;width:343.2pt;height:0;z-index:-25150873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" strokeweight="1pt">
              <w10:wrap anchorx="page" anchory="page"/>
            </v:shape>
          </w:pict>
        </mc:Fallback>
      </mc:AlternateContent>
    </w:r>
  </w:p>
</w:hdr>
</file>

<file path=word/header1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07991" w14:textId="77777777" w:rsidR="00D03C17" w:rsidRDefault="00D03C17">
    <w:pPr>
      <w:spacing w:line="1" w:lineRule="exact"/>
    </w:pPr>
    <w:r>
      <w:rPr>
        <w:noProof/>
      </w:rPr>
      <mc:AlternateContent>
        <mc:Choice Requires="wps">
          <w:drawing>
            <wp:anchor distT="0" distB="0" distL="0" distR="0" simplePos="0" relativeHeight="252011520" behindDoc="1" locked="0" layoutInCell="1" allowOverlap="1" wp14:anchorId="62852064" wp14:editId="283892A4">
              <wp:simplePos x="0" y="0"/>
              <wp:positionH relativeFrom="page">
                <wp:posOffset>2090420</wp:posOffset>
              </wp:positionH>
              <wp:positionV relativeFrom="page">
                <wp:posOffset>311150</wp:posOffset>
              </wp:positionV>
              <wp:extent cx="2780030" cy="79375"/>
              <wp:effectExtent l="0" t="0" r="0" b="0"/>
              <wp:wrapNone/>
              <wp:docPr id="1706" name="Shape 1706"/>
              <wp:cNvGraphicFramePr/>
              <a:graphic xmlns:a="http://schemas.openxmlformats.org/drawingml/2006/main">
                <a:graphicData uri="http://schemas.microsoft.com/office/word/2010/wordprocessingShape">
                  <wps:wsp>
                    <wps:cNvSpPr txBox="1"/>
                    <wps:spPr>
                      <a:xfrm>
                        <a:off x="0" y="0"/>
                        <a:ext cx="2780030" cy="79375"/>
                      </a:xfrm>
                      <a:prstGeom prst="rect">
                        <a:avLst/>
                      </a:prstGeom>
                      <a:noFill/>
                    </wps:spPr>
                    <wps:txbx>
                      <w:txbxContent>
                        <w:p w14:paraId="420A210A" w14:textId="77777777" w:rsidR="00D03C17" w:rsidRDefault="00D03C17">
                          <w:pPr>
                            <w:pStyle w:val="Headerorfooter0"/>
                            <w:tabs>
                              <w:tab w:val="right" w:pos="4378"/>
                            </w:tabs>
                            <w:rPr>
                              <w:sz w:val="16"/>
                              <w:szCs w:val="16"/>
                            </w:rPr>
                          </w:pPr>
                          <w:r>
                            <w:rPr>
                              <w:i/>
                              <w:iCs/>
                              <w:sz w:val="13"/>
                              <w:szCs w:val="13"/>
                            </w:rPr>
                            <w:t>SALMONELLA</w:t>
                          </w:r>
                          <w:r>
                            <w:rPr>
                              <w:i/>
                              <w:iCs/>
                            </w:rPr>
                            <w:t>,</w:t>
                          </w:r>
                          <w:r>
                            <w:t xml:space="preserve"> INFECCIONES</w:t>
                          </w:r>
                          <w:r>
                            <w:tab/>
                          </w:r>
                          <w:r>
                            <w:fldChar w:fldCharType="begin"/>
                          </w:r>
                          <w:r>
                            <w:instrText xml:space="preserve"> PAGE \* MERGEFORMAT </w:instrText>
                          </w:r>
                          <w:r>
                            <w:fldChar w:fldCharType="separate"/>
                          </w:r>
                          <w:r>
                            <w:rPr>
                              <w:sz w:val="16"/>
                              <w:szCs w:val="16"/>
                            </w:rPr>
                            <w:t>#</w:t>
                          </w:r>
                          <w:r>
                            <w:rPr>
                              <w:sz w:val="16"/>
                              <w:szCs w:val="16"/>
                            </w:rPr>
                            <w:fldChar w:fldCharType="end"/>
                          </w:r>
                        </w:p>
                      </w:txbxContent>
                    </wps:txbx>
                    <wps:bodyPr lIns="0" tIns="0" rIns="0" bIns="0">
                      <a:spAutoFit/>
                    </wps:bodyPr>
                  </wps:wsp>
                </a:graphicData>
              </a:graphic>
            </wp:anchor>
          </w:drawing>
        </mc:Choice>
        <mc:Fallback>
          <w:pict>
            <v:shapetype w14:anchorId="62852064" id="_x0000_t202" coordsize="21600,21600" o:spt="202" path="m,l,21600r21600,l21600,xe">
              <v:stroke joinstyle="miter"/>
              <v:path gradientshapeok="t" o:connecttype="rect"/>
            </v:shapetype>
            <v:shape id="Shape 1706" o:spid="_x0000_s1202" type="#_x0000_t202" style="position:absolute;margin-left:164.6pt;margin-top:24.5pt;width:218.9pt;height:6.25pt;z-index:-251304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" filled="f" stroked="f">
              <v:textbox style="mso-fit-shape-to-text:t" inset="0,0,0,0">
                <w:txbxContent>
                  <w:p w14:paraId="420A210A" w14:textId="77777777" w:rsidR="00D03C17" w:rsidRDefault="00D03C17">
                    <w:pPr>
                      <w:pStyle w:val="Headerorfooter0"/>
                      <w:tabs>
                        <w:tab w:val="right" w:pos="4378"/>
                      </w:tabs>
                      <w:rPr>
                        <w:sz w:val="16"/>
                        <w:szCs w:val="16"/>
                      </w:rPr>
                    </w:pPr>
                    <w:r>
                      <w:rPr>
                        <w:i/>
                        <w:iCs/>
                        <w:sz w:val="13"/>
                        <w:szCs w:val="13"/>
                      </w:rPr>
                      <w:t>SALMONELLA</w:t>
                    </w:r>
                    <w:r>
                      <w:rPr>
                        <w:i/>
                        <w:iCs/>
                      </w:rPr>
                      <w:t>,</w:t>
                    </w:r>
                    <w:r>
                      <w:t xml:space="preserve"> INFECCIONES</w:t>
                    </w:r>
                    <w:r>
                      <w:tab/>
                    </w:r>
                    <w:r>
                      <w:fldChar w:fldCharType="begin"/>
                    </w:r>
                    <w:r>
                      <w:instrText xml:space="preserve"> PAGE \* MERGEFORMAT </w:instrText>
                    </w:r>
                    <w:r>
                      <w:fldChar w:fldCharType="separate"/>
                    </w:r>
                    <w:r>
                      <w:rPr>
                        <w:sz w:val="16"/>
                        <w:szCs w:val="16"/>
                      </w:rPr>
                      <w:t>#</w:t>
                    </w:r>
                    <w:r>
                      <w:rPr>
                        <w:sz w:val="16"/>
                        <w:szCs w:val="1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806720" behindDoc="1" locked="0" layoutInCell="1" allowOverlap="1" wp14:anchorId="1D5E7027" wp14:editId="4B014216">
              <wp:simplePos x="0" y="0"/>
              <wp:positionH relativeFrom="page">
                <wp:posOffset>533400</wp:posOffset>
              </wp:positionH>
              <wp:positionV relativeFrom="page">
                <wp:posOffset>419100</wp:posOffset>
              </wp:positionV>
              <wp:extent cx="4358640" cy="0"/>
              <wp:effectExtent l="0" t="0" r="0" b="0"/>
              <wp:wrapNone/>
              <wp:docPr id="1708" name="Shape 1708"/>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73AA36F3" id="_x0000_t32" coordsize="21600,21600" o:spt="32" o:oned="t" path="m,l21600,21600e" filled="f">
              <v:path arrowok="t" fillok="f" o:connecttype="none"/>
              <o:lock v:ext="edit" shapetype="t"/>
            </v:shapetype>
            <v:shape id="Shape 1708" o:spid="_x0000_s1026" type="#_x0000_t32" style="position:absolute;margin-left:42pt;margin-top:33pt;width:343.2pt;height:0;z-index:-25150976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" strokeweight="1pt">
              <w10:wrap anchorx="page" anchory="page"/>
            </v:shape>
          </w:pict>
        </mc:Fallback>
      </mc:AlternateContent>
    </w:r>
  </w:p>
</w:hdr>
</file>

<file path=word/header1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1E9B1" w14:textId="77777777" w:rsidR="00D03C17" w:rsidRDefault="00D03C17">
    <w:pPr>
      <w:spacing w:line="1" w:lineRule="exact"/>
    </w:pPr>
    <w:r>
      <w:rPr>
        <w:noProof/>
      </w:rPr>
      <mc:AlternateContent>
        <mc:Choice Requires="wps">
          <w:drawing>
            <wp:anchor distT="0" distB="0" distL="0" distR="0" simplePos="0" relativeHeight="252014592" behindDoc="1" locked="0" layoutInCell="1" allowOverlap="1" wp14:anchorId="0A512F7F" wp14:editId="6797C505">
              <wp:simplePos x="0" y="0"/>
              <wp:positionH relativeFrom="page">
                <wp:posOffset>2459355</wp:posOffset>
              </wp:positionH>
              <wp:positionV relativeFrom="page">
                <wp:posOffset>295910</wp:posOffset>
              </wp:positionV>
              <wp:extent cx="2423160" cy="85090"/>
              <wp:effectExtent l="0" t="0" r="0" b="0"/>
              <wp:wrapNone/>
              <wp:docPr id="1715" name="Shape 1715"/>
              <wp:cNvGraphicFramePr/>
              <a:graphic xmlns:a="http://schemas.openxmlformats.org/drawingml/2006/main">
                <a:graphicData uri="http://schemas.microsoft.com/office/word/2010/wordprocessingShape">
                  <wps:wsp>
                    <wps:cNvSpPr txBox="1"/>
                    <wps:spPr>
                      <a:xfrm>
                        <a:off x="0" y="0"/>
                        <a:ext cx="2423160" cy="85090"/>
                      </a:xfrm>
                      <a:prstGeom prst="rect">
                        <a:avLst/>
                      </a:prstGeom>
                      <a:noFill/>
                    </wps:spPr>
                    <wps:txbx>
                      <w:txbxContent>
                        <w:p w14:paraId="01B16A98" w14:textId="77777777" w:rsidR="00D03C17" w:rsidRDefault="00D03C17">
                          <w:pPr>
                            <w:pStyle w:val="Headerorfooter0"/>
                            <w:tabs>
                              <w:tab w:val="right" w:pos="3816"/>
                            </w:tabs>
                            <w:rPr>
                              <w:sz w:val="16"/>
                              <w:szCs w:val="16"/>
                            </w:rPr>
                          </w:pPr>
                          <w:r>
                            <w:t>SARAMPIÓN</w:t>
                          </w:r>
                          <w:r>
                            <w:tab/>
                          </w:r>
                          <w:r>
                            <w:fldChar w:fldCharType="begin"/>
                          </w:r>
                          <w:r>
                            <w:instrText xml:space="preserve"> PAGE \* MERGEFORMAT </w:instrText>
                          </w:r>
                          <w:r>
                            <w:fldChar w:fldCharType="separate"/>
                          </w:r>
                          <w:r>
                            <w:rPr>
                              <w:sz w:val="16"/>
                              <w:szCs w:val="16"/>
                            </w:rPr>
                            <w:t>#</w:t>
                          </w:r>
                          <w:r>
                            <w:rPr>
                              <w:sz w:val="16"/>
                              <w:szCs w:val="16"/>
                            </w:rPr>
                            <w:fldChar w:fldCharType="end"/>
                          </w:r>
                        </w:p>
                      </w:txbxContent>
                    </wps:txbx>
                    <wps:bodyPr lIns="0" tIns="0" rIns="0" bIns="0">
                      <a:spAutoFit/>
                    </wps:bodyPr>
                  </wps:wsp>
                </a:graphicData>
              </a:graphic>
            </wp:anchor>
          </w:drawing>
        </mc:Choice>
        <mc:Fallback>
          <w:pict>
            <v:shapetype w14:anchorId="0A512F7F" id="_x0000_t202" coordsize="21600,21600" o:spt="202" path="m,l,21600r21600,l21600,xe">
              <v:stroke joinstyle="miter"/>
              <v:path gradientshapeok="t" o:connecttype="rect"/>
            </v:shapetype>
            <v:shape id="Shape 1715" o:spid="_x0000_s1203" type="#_x0000_t202" style="position:absolute;margin-left:193.65pt;margin-top:23.3pt;width:190.8pt;height:6.7pt;z-index:-251301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" filled="f" stroked="f">
              <v:textbox style="mso-fit-shape-to-text:t" inset="0,0,0,0">
                <w:txbxContent>
                  <w:p w14:paraId="01B16A98" w14:textId="77777777" w:rsidR="00D03C17" w:rsidRDefault="00D03C17">
                    <w:pPr>
                      <w:pStyle w:val="Headerorfooter0"/>
                      <w:tabs>
                        <w:tab w:val="right" w:pos="3816"/>
                      </w:tabs>
                      <w:rPr>
                        <w:sz w:val="16"/>
                        <w:szCs w:val="16"/>
                      </w:rPr>
                    </w:pPr>
                    <w:r>
                      <w:t>SARAMPIÓN</w:t>
                    </w:r>
                    <w:r>
                      <w:tab/>
                    </w:r>
                    <w:r>
                      <w:fldChar w:fldCharType="begin"/>
                    </w:r>
                    <w:r>
                      <w:instrText xml:space="preserve"> PAGE \* MERGEFORMAT </w:instrText>
                    </w:r>
                    <w:r>
                      <w:fldChar w:fldCharType="separate"/>
                    </w:r>
                    <w:r>
                      <w:rPr>
                        <w:sz w:val="16"/>
                        <w:szCs w:val="16"/>
                      </w:rPr>
                      <w:t>#</w:t>
                    </w:r>
                    <w:r>
                      <w:rPr>
                        <w:sz w:val="16"/>
                        <w:szCs w:val="1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809792" behindDoc="1" locked="0" layoutInCell="1" allowOverlap="1" wp14:anchorId="446E3F43" wp14:editId="547DBD23">
              <wp:simplePos x="0" y="0"/>
              <wp:positionH relativeFrom="page">
                <wp:posOffset>545465</wp:posOffset>
              </wp:positionH>
              <wp:positionV relativeFrom="page">
                <wp:posOffset>419100</wp:posOffset>
              </wp:positionV>
              <wp:extent cx="4358640" cy="0"/>
              <wp:effectExtent l="0" t="0" r="0" b="0"/>
              <wp:wrapNone/>
              <wp:docPr id="1717" name="Shape 1717"/>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06EEBAF6" id="_x0000_t32" coordsize="21600,21600" o:spt="32" o:oned="t" path="m,l21600,21600e" filled="f">
              <v:path arrowok="t" fillok="f" o:connecttype="none"/>
              <o:lock v:ext="edit" shapetype="t"/>
            </v:shapetype>
            <v:shape id="Shape 1717" o:spid="_x0000_s1026" type="#_x0000_t32" style="position:absolute;margin-left:42.95pt;margin-top:33pt;width:343.2pt;height:0;z-index:-25150668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" strokeweight="1pt">
              <w10:wrap anchorx="page" anchory="page"/>
            </v:shape>
          </w:pict>
        </mc:Fallback>
      </mc:AlternateContent>
    </w:r>
  </w:p>
</w:hdr>
</file>

<file path=word/header1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823B0" w14:textId="77777777" w:rsidR="00D03C17" w:rsidRDefault="00D03C17">
    <w:pPr>
      <w:spacing w:line="1" w:lineRule="exact"/>
    </w:pPr>
    <w:r>
      <w:rPr>
        <w:noProof/>
      </w:rPr>
      <mc:AlternateContent>
        <mc:Choice Requires="wps">
          <w:drawing>
            <wp:anchor distT="0" distB="0" distL="0" distR="0" simplePos="0" relativeHeight="252013568" behindDoc="1" locked="0" layoutInCell="1" allowOverlap="1" wp14:anchorId="76CDD2B6" wp14:editId="511978A4">
              <wp:simplePos x="0" y="0"/>
              <wp:positionH relativeFrom="page">
                <wp:posOffset>2459355</wp:posOffset>
              </wp:positionH>
              <wp:positionV relativeFrom="page">
                <wp:posOffset>295910</wp:posOffset>
              </wp:positionV>
              <wp:extent cx="2423160" cy="85090"/>
              <wp:effectExtent l="0" t="0" r="0" b="0"/>
              <wp:wrapNone/>
              <wp:docPr id="1712" name="Shape 1712"/>
              <wp:cNvGraphicFramePr/>
              <a:graphic xmlns:a="http://schemas.openxmlformats.org/drawingml/2006/main">
                <a:graphicData uri="http://schemas.microsoft.com/office/word/2010/wordprocessingShape">
                  <wps:wsp>
                    <wps:cNvSpPr txBox="1"/>
                    <wps:spPr>
                      <a:xfrm>
                        <a:off x="0" y="0"/>
                        <a:ext cx="2423160" cy="85090"/>
                      </a:xfrm>
                      <a:prstGeom prst="rect">
                        <a:avLst/>
                      </a:prstGeom>
                      <a:noFill/>
                    </wps:spPr>
                    <wps:txbx>
                      <w:txbxContent>
                        <w:p w14:paraId="1F19FCD6" w14:textId="77777777" w:rsidR="00D03C17" w:rsidRDefault="00D03C17">
                          <w:pPr>
                            <w:pStyle w:val="Headerorfooter0"/>
                            <w:tabs>
                              <w:tab w:val="right" w:pos="3816"/>
                            </w:tabs>
                            <w:rPr>
                              <w:sz w:val="16"/>
                              <w:szCs w:val="16"/>
                            </w:rPr>
                          </w:pPr>
                          <w:r>
                            <w:t>SARAMPIÓN</w:t>
                          </w:r>
                          <w:r>
                            <w:tab/>
                          </w:r>
                          <w:r>
                            <w:fldChar w:fldCharType="begin"/>
                          </w:r>
                          <w:r>
                            <w:instrText xml:space="preserve"> PAGE \* MERGEFORMAT </w:instrText>
                          </w:r>
                          <w:r>
                            <w:fldChar w:fldCharType="separate"/>
                          </w:r>
                          <w:r>
                            <w:rPr>
                              <w:sz w:val="16"/>
                              <w:szCs w:val="16"/>
                            </w:rPr>
                            <w:t>#</w:t>
                          </w:r>
                          <w:r>
                            <w:rPr>
                              <w:sz w:val="16"/>
                              <w:szCs w:val="16"/>
                            </w:rPr>
                            <w:fldChar w:fldCharType="end"/>
                          </w:r>
                        </w:p>
                      </w:txbxContent>
                    </wps:txbx>
                    <wps:bodyPr lIns="0" tIns="0" rIns="0" bIns="0">
                      <a:spAutoFit/>
                    </wps:bodyPr>
                  </wps:wsp>
                </a:graphicData>
              </a:graphic>
            </wp:anchor>
          </w:drawing>
        </mc:Choice>
        <mc:Fallback>
          <w:pict>
            <v:shapetype w14:anchorId="76CDD2B6" id="_x0000_t202" coordsize="21600,21600" o:spt="202" path="m,l,21600r21600,l21600,xe">
              <v:stroke joinstyle="miter"/>
              <v:path gradientshapeok="t" o:connecttype="rect"/>
            </v:shapetype>
            <v:shape id="Shape 1712" o:spid="_x0000_s1204" type="#_x0000_t202" style="position:absolute;margin-left:193.65pt;margin-top:23.3pt;width:190.8pt;height:6.7pt;z-index:-251302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" filled="f" stroked="f">
              <v:textbox style="mso-fit-shape-to-text:t" inset="0,0,0,0">
                <w:txbxContent>
                  <w:p w14:paraId="1F19FCD6" w14:textId="77777777" w:rsidR="00D03C17" w:rsidRDefault="00D03C17">
                    <w:pPr>
                      <w:pStyle w:val="Headerorfooter0"/>
                      <w:tabs>
                        <w:tab w:val="right" w:pos="3816"/>
                      </w:tabs>
                      <w:rPr>
                        <w:sz w:val="16"/>
                        <w:szCs w:val="16"/>
                      </w:rPr>
                    </w:pPr>
                    <w:r>
                      <w:t>SARAMPIÓN</w:t>
                    </w:r>
                    <w:r>
                      <w:tab/>
                    </w:r>
                    <w:r>
                      <w:fldChar w:fldCharType="begin"/>
                    </w:r>
                    <w:r>
                      <w:instrText xml:space="preserve"> PAGE \* MERGEFORMAT </w:instrText>
                    </w:r>
                    <w:r>
                      <w:fldChar w:fldCharType="separate"/>
                    </w:r>
                    <w:r>
                      <w:rPr>
                        <w:sz w:val="16"/>
                        <w:szCs w:val="16"/>
                      </w:rPr>
                      <w:t>#</w:t>
                    </w:r>
                    <w:r>
                      <w:rPr>
                        <w:sz w:val="16"/>
                        <w:szCs w:val="1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808768" behindDoc="1" locked="0" layoutInCell="1" allowOverlap="1" wp14:anchorId="59361467" wp14:editId="0AB991AE">
              <wp:simplePos x="0" y="0"/>
              <wp:positionH relativeFrom="page">
                <wp:posOffset>545465</wp:posOffset>
              </wp:positionH>
              <wp:positionV relativeFrom="page">
                <wp:posOffset>419100</wp:posOffset>
              </wp:positionV>
              <wp:extent cx="4358640" cy="0"/>
              <wp:effectExtent l="0" t="0" r="0" b="0"/>
              <wp:wrapNone/>
              <wp:docPr id="1714" name="Shape 1714"/>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6CE35318" id="_x0000_t32" coordsize="21600,21600" o:spt="32" o:oned="t" path="m,l21600,21600e" filled="f">
              <v:path arrowok="t" fillok="f" o:connecttype="none"/>
              <o:lock v:ext="edit" shapetype="t"/>
            </v:shapetype>
            <v:shape id="Shape 1714" o:spid="_x0000_s1026" type="#_x0000_t32" style="position:absolute;margin-left:42.95pt;margin-top:33pt;width:343.2pt;height:0;z-index:-25150771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" strokeweight="1pt">
              <w10:wrap anchorx="page" anchory="page"/>
            </v:shape>
          </w:pict>
        </mc:Fallback>
      </mc:AlternateContent>
    </w:r>
  </w:p>
</w:hdr>
</file>

<file path=word/header1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A4645" w14:textId="77777777" w:rsidR="00D03C17" w:rsidRDefault="00D03C17">
    <w:pPr>
      <w:spacing w:line="1" w:lineRule="exact"/>
    </w:pPr>
    <w:r>
      <w:rPr>
        <w:noProof/>
      </w:rPr>
      <mc:AlternateContent>
        <mc:Choice Requires="wps">
          <w:drawing>
            <wp:anchor distT="0" distB="0" distL="0" distR="0" simplePos="0" relativeHeight="252016640" behindDoc="1" locked="0" layoutInCell="1" allowOverlap="1" wp14:anchorId="0C168706" wp14:editId="5746973E">
              <wp:simplePos x="0" y="0"/>
              <wp:positionH relativeFrom="page">
                <wp:posOffset>2450465</wp:posOffset>
              </wp:positionH>
              <wp:positionV relativeFrom="page">
                <wp:posOffset>311150</wp:posOffset>
              </wp:positionV>
              <wp:extent cx="2416810" cy="69850"/>
              <wp:effectExtent l="0" t="0" r="0" b="0"/>
              <wp:wrapNone/>
              <wp:docPr id="1721" name="Shape 1721"/>
              <wp:cNvGraphicFramePr/>
              <a:graphic xmlns:a="http://schemas.openxmlformats.org/drawingml/2006/main">
                <a:graphicData uri="http://schemas.microsoft.com/office/word/2010/wordprocessingShape">
                  <wps:wsp>
                    <wps:cNvSpPr txBox="1"/>
                    <wps:spPr>
                      <a:xfrm>
                        <a:off x="0" y="0"/>
                        <a:ext cx="2416810" cy="69850"/>
                      </a:xfrm>
                      <a:prstGeom prst="rect">
                        <a:avLst/>
                      </a:prstGeom>
                      <a:noFill/>
                    </wps:spPr>
                    <wps:txbx>
                      <w:txbxContent>
                        <w:p w14:paraId="3DBEE661" w14:textId="77777777" w:rsidR="00D03C17" w:rsidRDefault="00D03C17">
                          <w:pPr>
                            <w:pStyle w:val="Headerorfooter0"/>
                            <w:tabs>
                              <w:tab w:val="right" w:pos="3806"/>
                            </w:tabs>
                            <w:rPr>
                              <w:sz w:val="16"/>
                              <w:szCs w:val="16"/>
                            </w:rPr>
                          </w:pPr>
                          <w:r>
                            <w:t>ESCABIASIS</w:t>
                          </w:r>
                          <w:r>
                            <w:tab/>
                          </w:r>
                          <w:r>
                            <w:rPr>
                              <w:sz w:val="16"/>
                              <w:szCs w:val="16"/>
                            </w:rPr>
                            <w:t>297</w:t>
                          </w:r>
                        </w:p>
                      </w:txbxContent>
                    </wps:txbx>
                    <wps:bodyPr lIns="0" tIns="0" rIns="0" bIns="0">
                      <a:spAutoFit/>
                    </wps:bodyPr>
                  </wps:wsp>
                </a:graphicData>
              </a:graphic>
            </wp:anchor>
          </w:drawing>
        </mc:Choice>
        <mc:Fallback>
          <w:pict>
            <v:shapetype w14:anchorId="0C168706" id="_x0000_t202" coordsize="21600,21600" o:spt="202" path="m,l,21600r21600,l21600,xe">
              <v:stroke joinstyle="miter"/>
              <v:path gradientshapeok="t" o:connecttype="rect"/>
            </v:shapetype>
            <v:shape id="Shape 1721" o:spid="_x0000_s1205" type="#_x0000_t202" style="position:absolute;margin-left:192.95pt;margin-top:24.5pt;width:190.3pt;height:5.5pt;z-index:-251299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" filled="f" stroked="f">
              <v:textbox style="mso-fit-shape-to-text:t" inset="0,0,0,0">
                <w:txbxContent>
                  <w:p w14:paraId="3DBEE661" w14:textId="77777777" w:rsidR="00D03C17" w:rsidRDefault="00D03C17">
                    <w:pPr>
                      <w:pStyle w:val="Headerorfooter0"/>
                      <w:tabs>
                        <w:tab w:val="right" w:pos="3806"/>
                      </w:tabs>
                      <w:rPr>
                        <w:sz w:val="16"/>
                        <w:szCs w:val="16"/>
                      </w:rPr>
                    </w:pPr>
                    <w:r>
                      <w:t>ESCABIASIS</w:t>
                    </w:r>
                    <w:r>
                      <w:tab/>
                    </w:r>
                    <w:r>
                      <w:rPr>
                        <w:sz w:val="16"/>
                        <w:szCs w:val="16"/>
                      </w:rPr>
                      <w:t>297</w:t>
                    </w:r>
                  </w:p>
                </w:txbxContent>
              </v:textbox>
              <w10:wrap anchorx="page" anchory="page"/>
            </v:shape>
          </w:pict>
        </mc:Fallback>
      </mc:AlternateContent>
    </w:r>
    <w:r>
      <w:rPr>
        <w:noProof/>
      </w:rPr>
      <mc:AlternateContent>
        <mc:Choice Requires="wps">
          <w:drawing>
            <wp:anchor distT="0" distB="0" distL="114300" distR="114300" simplePos="0" relativeHeight="251811840" behindDoc="1" locked="0" layoutInCell="1" allowOverlap="1" wp14:anchorId="4A2509DA" wp14:editId="09F7D25B">
              <wp:simplePos x="0" y="0"/>
              <wp:positionH relativeFrom="page">
                <wp:posOffset>530225</wp:posOffset>
              </wp:positionH>
              <wp:positionV relativeFrom="page">
                <wp:posOffset>419100</wp:posOffset>
              </wp:positionV>
              <wp:extent cx="4358640" cy="0"/>
              <wp:effectExtent l="0" t="0" r="0" b="0"/>
              <wp:wrapNone/>
              <wp:docPr id="1723" name="Shape 1723"/>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098849A0" id="_x0000_t32" coordsize="21600,21600" o:spt="32" o:oned="t" path="m,l21600,21600e" filled="f">
              <v:path arrowok="t" fillok="f" o:connecttype="none"/>
              <o:lock v:ext="edit" shapetype="t"/>
            </v:shapetype>
            <v:shape id="Shape 1723" o:spid="_x0000_s1026" type="#_x0000_t32" style="position:absolute;margin-left:41.75pt;margin-top:33pt;width:343.2pt;height:0;z-index:-25150464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" strokeweight="1pt">
              <w10:wrap anchorx="page" anchory="page"/>
            </v:shape>
          </w:pict>
        </mc:Fallback>
      </mc:AlternateContent>
    </w:r>
  </w:p>
</w:hdr>
</file>

<file path=word/header1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CDED0" w14:textId="77777777" w:rsidR="00D03C17" w:rsidRDefault="00D03C17">
    <w:pPr>
      <w:spacing w:line="1" w:lineRule="exact"/>
    </w:pPr>
    <w:r>
      <w:rPr>
        <w:noProof/>
      </w:rPr>
      <mc:AlternateContent>
        <mc:Choice Requires="wps">
          <w:drawing>
            <wp:anchor distT="0" distB="0" distL="0" distR="0" simplePos="0" relativeHeight="252015616" behindDoc="1" locked="0" layoutInCell="1" allowOverlap="1" wp14:anchorId="034D9E97" wp14:editId="53C9BCCE">
              <wp:simplePos x="0" y="0"/>
              <wp:positionH relativeFrom="page">
                <wp:posOffset>2450465</wp:posOffset>
              </wp:positionH>
              <wp:positionV relativeFrom="page">
                <wp:posOffset>311150</wp:posOffset>
              </wp:positionV>
              <wp:extent cx="2416810" cy="69850"/>
              <wp:effectExtent l="0" t="0" r="0" b="0"/>
              <wp:wrapNone/>
              <wp:docPr id="1718" name="Shape 1718"/>
              <wp:cNvGraphicFramePr/>
              <a:graphic xmlns:a="http://schemas.openxmlformats.org/drawingml/2006/main">
                <a:graphicData uri="http://schemas.microsoft.com/office/word/2010/wordprocessingShape">
                  <wps:wsp>
                    <wps:cNvSpPr txBox="1"/>
                    <wps:spPr>
                      <a:xfrm>
                        <a:off x="0" y="0"/>
                        <a:ext cx="2416810" cy="69850"/>
                      </a:xfrm>
                      <a:prstGeom prst="rect">
                        <a:avLst/>
                      </a:prstGeom>
                      <a:noFill/>
                    </wps:spPr>
                    <wps:txbx>
                      <w:txbxContent>
                        <w:p w14:paraId="08236C6D" w14:textId="77777777" w:rsidR="00D03C17" w:rsidRDefault="00D03C17">
                          <w:pPr>
                            <w:pStyle w:val="Headerorfooter0"/>
                            <w:tabs>
                              <w:tab w:val="right" w:pos="3806"/>
                            </w:tabs>
                            <w:rPr>
                              <w:sz w:val="16"/>
                              <w:szCs w:val="16"/>
                            </w:rPr>
                          </w:pPr>
                          <w:r>
                            <w:t>ESCABIASIS</w:t>
                          </w:r>
                          <w:r>
                            <w:tab/>
                          </w:r>
                          <w:r>
                            <w:rPr>
                              <w:sz w:val="16"/>
                              <w:szCs w:val="16"/>
                            </w:rPr>
                            <w:t>297</w:t>
                          </w:r>
                        </w:p>
                      </w:txbxContent>
                    </wps:txbx>
                    <wps:bodyPr lIns="0" tIns="0" rIns="0" bIns="0">
                      <a:spAutoFit/>
                    </wps:bodyPr>
                  </wps:wsp>
                </a:graphicData>
              </a:graphic>
            </wp:anchor>
          </w:drawing>
        </mc:Choice>
        <mc:Fallback>
          <w:pict>
            <v:shapetype w14:anchorId="034D9E97" id="_x0000_t202" coordsize="21600,21600" o:spt="202" path="m,l,21600r21600,l21600,xe">
              <v:stroke joinstyle="miter"/>
              <v:path gradientshapeok="t" o:connecttype="rect"/>
            </v:shapetype>
            <v:shape id="Shape 1718" o:spid="_x0000_s1206" type="#_x0000_t202" style="position:absolute;margin-left:192.95pt;margin-top:24.5pt;width:190.3pt;height:5.5pt;z-index:-251300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" filled="f" stroked="f">
              <v:textbox style="mso-fit-shape-to-text:t" inset="0,0,0,0">
                <w:txbxContent>
                  <w:p w14:paraId="08236C6D" w14:textId="77777777" w:rsidR="00D03C17" w:rsidRDefault="00D03C17">
                    <w:pPr>
                      <w:pStyle w:val="Headerorfooter0"/>
                      <w:tabs>
                        <w:tab w:val="right" w:pos="3806"/>
                      </w:tabs>
                      <w:rPr>
                        <w:sz w:val="16"/>
                        <w:szCs w:val="16"/>
                      </w:rPr>
                    </w:pPr>
                    <w:r>
                      <w:t>ESCABIASIS</w:t>
                    </w:r>
                    <w:r>
                      <w:tab/>
                    </w:r>
                    <w:r>
                      <w:rPr>
                        <w:sz w:val="16"/>
                        <w:szCs w:val="16"/>
                      </w:rPr>
                      <w:t>297</w:t>
                    </w:r>
                  </w:p>
                </w:txbxContent>
              </v:textbox>
              <w10:wrap anchorx="page" anchory="page"/>
            </v:shape>
          </w:pict>
        </mc:Fallback>
      </mc:AlternateContent>
    </w:r>
    <w:r>
      <w:rPr>
        <w:noProof/>
      </w:rPr>
      <mc:AlternateContent>
        <mc:Choice Requires="wps">
          <w:drawing>
            <wp:anchor distT="0" distB="0" distL="114300" distR="114300" simplePos="0" relativeHeight="251810816" behindDoc="1" locked="0" layoutInCell="1" allowOverlap="1" wp14:anchorId="7D5CFC48" wp14:editId="73475801">
              <wp:simplePos x="0" y="0"/>
              <wp:positionH relativeFrom="page">
                <wp:posOffset>530225</wp:posOffset>
              </wp:positionH>
              <wp:positionV relativeFrom="page">
                <wp:posOffset>419100</wp:posOffset>
              </wp:positionV>
              <wp:extent cx="4358640" cy="0"/>
              <wp:effectExtent l="0" t="0" r="0" b="0"/>
              <wp:wrapNone/>
              <wp:docPr id="1720" name="Shape 1720"/>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40ACF4BB" id="_x0000_t32" coordsize="21600,21600" o:spt="32" o:oned="t" path="m,l21600,21600e" filled="f">
              <v:path arrowok="t" fillok="f" o:connecttype="none"/>
              <o:lock v:ext="edit" shapetype="t"/>
            </v:shapetype>
            <v:shape id="Shape 1720" o:spid="_x0000_s1026" type="#_x0000_t32" style="position:absolute;margin-left:41.75pt;margin-top:33pt;width:343.2pt;height:0;z-index:-25150566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" strokeweight="1pt">
              <w10:wrap anchorx="page" anchory="page"/>
            </v:shape>
          </w:pict>
        </mc:Fallback>
      </mc:AlternateContent>
    </w:r>
  </w:p>
</w:hdr>
</file>

<file path=word/header1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8E565" w14:textId="77777777" w:rsidR="00D03C17" w:rsidRDefault="00D03C17">
    <w:pPr>
      <w:spacing w:line="1" w:lineRule="exact"/>
    </w:pPr>
    <w:r>
      <w:rPr>
        <w:noProof/>
      </w:rPr>
      <mc:AlternateContent>
        <mc:Choice Requires="wps">
          <w:drawing>
            <wp:anchor distT="0" distB="0" distL="0" distR="0" simplePos="0" relativeHeight="252017664" behindDoc="1" locked="0" layoutInCell="1" allowOverlap="1" wp14:anchorId="13081654" wp14:editId="384D40A6">
              <wp:simplePos x="0" y="0"/>
              <wp:positionH relativeFrom="page">
                <wp:posOffset>554355</wp:posOffset>
              </wp:positionH>
              <wp:positionV relativeFrom="page">
                <wp:posOffset>311150</wp:posOffset>
              </wp:positionV>
              <wp:extent cx="2423160" cy="69850"/>
              <wp:effectExtent l="0" t="0" r="0" b="0"/>
              <wp:wrapNone/>
              <wp:docPr id="1724" name="Shape 1724"/>
              <wp:cNvGraphicFramePr/>
              <a:graphic xmlns:a="http://schemas.openxmlformats.org/drawingml/2006/main">
                <a:graphicData uri="http://schemas.microsoft.com/office/word/2010/wordprocessingShape">
                  <wps:wsp>
                    <wps:cNvSpPr txBox="1"/>
                    <wps:spPr>
                      <a:xfrm>
                        <a:off x="0" y="0"/>
                        <a:ext cx="2423160" cy="69850"/>
                      </a:xfrm>
                      <a:prstGeom prst="rect">
                        <a:avLst/>
                      </a:prstGeom>
                      <a:noFill/>
                    </wps:spPr>
                    <wps:txbx>
                      <w:txbxContent>
                        <w:p w14:paraId="629A7A47" w14:textId="77777777" w:rsidR="00D03C17" w:rsidRDefault="00D03C17">
                          <w:pPr>
                            <w:pStyle w:val="Headerorfooter0"/>
                            <w:tabs>
                              <w:tab w:val="right" w:pos="3816"/>
                            </w:tabs>
                          </w:pPr>
                          <w:r>
                            <w:rPr>
                              <w:sz w:val="16"/>
                              <w:szCs w:val="16"/>
                            </w:rPr>
                            <w:t>296</w:t>
                          </w:r>
                          <w:r>
                            <w:rPr>
                              <w:sz w:val="16"/>
                              <w:szCs w:val="16"/>
                            </w:rPr>
                            <w:tab/>
                          </w:r>
                          <w:r>
                            <w:t>ESCABIASIS</w:t>
                          </w:r>
                        </w:p>
                      </w:txbxContent>
                    </wps:txbx>
                    <wps:bodyPr lIns="0" tIns="0" rIns="0" bIns="0">
                      <a:spAutoFit/>
                    </wps:bodyPr>
                  </wps:wsp>
                </a:graphicData>
              </a:graphic>
            </wp:anchor>
          </w:drawing>
        </mc:Choice>
        <mc:Fallback>
          <w:pict>
            <v:shapetype w14:anchorId="13081654" id="_x0000_t202" coordsize="21600,21600" o:spt="202" path="m,l,21600r21600,l21600,xe">
              <v:stroke joinstyle="miter"/>
              <v:path gradientshapeok="t" o:connecttype="rect"/>
            </v:shapetype>
            <v:shape id="Shape 1724" o:spid="_x0000_s1207" type="#_x0000_t202" style="position:absolute;margin-left:43.65pt;margin-top:24.5pt;width:190.8pt;height:5.5pt;z-index:-251298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" filled="f" stroked="f">
              <v:textbox style="mso-fit-shape-to-text:t" inset="0,0,0,0">
                <w:txbxContent>
                  <w:p w14:paraId="629A7A47" w14:textId="77777777" w:rsidR="00D03C17" w:rsidRDefault="00D03C17">
                    <w:pPr>
                      <w:pStyle w:val="Headerorfooter0"/>
                      <w:tabs>
                        <w:tab w:val="right" w:pos="3816"/>
                      </w:tabs>
                    </w:pPr>
                    <w:r>
                      <w:rPr>
                        <w:sz w:val="16"/>
                        <w:szCs w:val="16"/>
                      </w:rPr>
                      <w:t>296</w:t>
                    </w:r>
                    <w:r>
                      <w:rPr>
                        <w:sz w:val="16"/>
                        <w:szCs w:val="16"/>
                      </w:rPr>
                      <w:tab/>
                    </w:r>
                    <w:r>
                      <w:t>ESCABIASIS</w:t>
                    </w:r>
                  </w:p>
                </w:txbxContent>
              </v:textbox>
              <w10:wrap anchorx="page" anchory="page"/>
            </v:shape>
          </w:pict>
        </mc:Fallback>
      </mc:AlternateContent>
    </w:r>
    <w:r>
      <w:rPr>
        <w:noProof/>
      </w:rPr>
      <mc:AlternateContent>
        <mc:Choice Requires="wps">
          <w:drawing>
            <wp:anchor distT="0" distB="0" distL="114300" distR="114300" simplePos="0" relativeHeight="251812864" behindDoc="1" locked="0" layoutInCell="1" allowOverlap="1" wp14:anchorId="06B5F99F" wp14:editId="0E361006">
              <wp:simplePos x="0" y="0"/>
              <wp:positionH relativeFrom="page">
                <wp:posOffset>539115</wp:posOffset>
              </wp:positionH>
              <wp:positionV relativeFrom="page">
                <wp:posOffset>419100</wp:posOffset>
              </wp:positionV>
              <wp:extent cx="4358640" cy="0"/>
              <wp:effectExtent l="0" t="0" r="0" b="0"/>
              <wp:wrapNone/>
              <wp:docPr id="1726" name="Shape 1726"/>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683DFA17" id="_x0000_t32" coordsize="21600,21600" o:spt="32" o:oned="t" path="m,l21600,21600e" filled="f">
              <v:path arrowok="t" fillok="f" o:connecttype="none"/>
              <o:lock v:ext="edit" shapetype="t"/>
            </v:shapetype>
            <v:shape id="Shape 1726" o:spid="_x0000_s1026" type="#_x0000_t32" style="position:absolute;margin-left:42.45pt;margin-top:33pt;width:343.2pt;height:0;z-index:-25150361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" strokeweight="1pt">
              <w10:wrap anchorx="page" anchory="page"/>
            </v:shape>
          </w:pict>
        </mc:Fallback>
      </mc:AlternateContent>
    </w:r>
  </w:p>
</w:hdr>
</file>

<file path=word/header1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B7686" w14:textId="77777777" w:rsidR="00D03C17" w:rsidRDefault="00D03C17">
    <w:pPr>
      <w:spacing w:line="1" w:lineRule="exact"/>
    </w:pPr>
    <w:r>
      <w:rPr>
        <w:noProof/>
      </w:rPr>
      <mc:AlternateContent>
        <mc:Choice Requires="wps">
          <w:drawing>
            <wp:anchor distT="0" distB="0" distL="0" distR="0" simplePos="0" relativeHeight="252019712" behindDoc="1" locked="0" layoutInCell="1" allowOverlap="1" wp14:anchorId="4B115FB1" wp14:editId="7490D4E7">
              <wp:simplePos x="0" y="0"/>
              <wp:positionH relativeFrom="page">
                <wp:posOffset>2272030</wp:posOffset>
              </wp:positionH>
              <wp:positionV relativeFrom="page">
                <wp:posOffset>311150</wp:posOffset>
              </wp:positionV>
              <wp:extent cx="2597150" cy="69850"/>
              <wp:effectExtent l="0" t="0" r="0" b="0"/>
              <wp:wrapNone/>
              <wp:docPr id="1730" name="Shape 1730"/>
              <wp:cNvGraphicFramePr/>
              <a:graphic xmlns:a="http://schemas.openxmlformats.org/drawingml/2006/main">
                <a:graphicData uri="http://schemas.microsoft.com/office/word/2010/wordprocessingShape">
                  <wps:wsp>
                    <wps:cNvSpPr txBox="1"/>
                    <wps:spPr>
                      <a:xfrm>
                        <a:off x="0" y="0"/>
                        <a:ext cx="2597150" cy="69850"/>
                      </a:xfrm>
                      <a:prstGeom prst="rect">
                        <a:avLst/>
                      </a:prstGeom>
                      <a:noFill/>
                    </wps:spPr>
                    <wps:txbx>
                      <w:txbxContent>
                        <w:p w14:paraId="71D88EFF" w14:textId="77777777" w:rsidR="00D03C17" w:rsidRDefault="00D03C17">
                          <w:pPr>
                            <w:pStyle w:val="Headerorfooter0"/>
                            <w:tabs>
                              <w:tab w:val="right" w:pos="4090"/>
                            </w:tabs>
                            <w:rPr>
                              <w:sz w:val="16"/>
                              <w:szCs w:val="16"/>
                            </w:rPr>
                          </w:pPr>
                          <w:r>
                            <w:t>ESQUISTOSOMIASIS</w:t>
                          </w:r>
                          <w:r>
                            <w:tab/>
                          </w:r>
                          <w:r>
                            <w:rPr>
                              <w:sz w:val="16"/>
                              <w:szCs w:val="16"/>
                            </w:rPr>
                            <w:t>307</w:t>
                          </w:r>
                        </w:p>
                      </w:txbxContent>
                    </wps:txbx>
                    <wps:bodyPr lIns="0" tIns="0" rIns="0" bIns="0">
                      <a:spAutoFit/>
                    </wps:bodyPr>
                  </wps:wsp>
                </a:graphicData>
              </a:graphic>
            </wp:anchor>
          </w:drawing>
        </mc:Choice>
        <mc:Fallback>
          <w:pict>
            <v:shapetype w14:anchorId="4B115FB1" id="_x0000_t202" coordsize="21600,21600" o:spt="202" path="m,l,21600r21600,l21600,xe">
              <v:stroke joinstyle="miter"/>
              <v:path gradientshapeok="t" o:connecttype="rect"/>
            </v:shapetype>
            <v:shape id="Shape 1730" o:spid="_x0000_s1208" type="#_x0000_t202" style="position:absolute;margin-left:178.9pt;margin-top:24.5pt;width:204.5pt;height:5.5pt;z-index:-251296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" filled="f" stroked="f">
              <v:textbox style="mso-fit-shape-to-text:t" inset="0,0,0,0">
                <w:txbxContent>
                  <w:p w14:paraId="71D88EFF" w14:textId="77777777" w:rsidR="00D03C17" w:rsidRDefault="00D03C17">
                    <w:pPr>
                      <w:pStyle w:val="Headerorfooter0"/>
                      <w:tabs>
                        <w:tab w:val="right" w:pos="4090"/>
                      </w:tabs>
                      <w:rPr>
                        <w:sz w:val="16"/>
                        <w:szCs w:val="16"/>
                      </w:rPr>
                    </w:pPr>
                    <w:r>
                      <w:t>ESQUISTOSOMIASIS</w:t>
                    </w:r>
                    <w:r>
                      <w:tab/>
                    </w:r>
                    <w:r>
                      <w:rPr>
                        <w:sz w:val="16"/>
                        <w:szCs w:val="16"/>
                      </w:rPr>
                      <w:t>307</w:t>
                    </w:r>
                  </w:p>
                </w:txbxContent>
              </v:textbox>
              <w10:wrap anchorx="page" anchory="page"/>
            </v:shape>
          </w:pict>
        </mc:Fallback>
      </mc:AlternateContent>
    </w:r>
    <w:r>
      <w:rPr>
        <w:noProof/>
      </w:rPr>
      <mc:AlternateContent>
        <mc:Choice Requires="wps">
          <w:drawing>
            <wp:anchor distT="0" distB="0" distL="114300" distR="114300" simplePos="0" relativeHeight="251814912" behindDoc="1" locked="0" layoutInCell="1" allowOverlap="1" wp14:anchorId="73448652" wp14:editId="26E1E0EA">
              <wp:simplePos x="0" y="0"/>
              <wp:positionH relativeFrom="page">
                <wp:posOffset>531495</wp:posOffset>
              </wp:positionH>
              <wp:positionV relativeFrom="page">
                <wp:posOffset>419100</wp:posOffset>
              </wp:positionV>
              <wp:extent cx="4358640" cy="0"/>
              <wp:effectExtent l="0" t="0" r="0" b="0"/>
              <wp:wrapNone/>
              <wp:docPr id="1732" name="Shape 1732"/>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15110B2B" id="_x0000_t32" coordsize="21600,21600" o:spt="32" o:oned="t" path="m,l21600,21600e" filled="f">
              <v:path arrowok="t" fillok="f" o:connecttype="none"/>
              <o:lock v:ext="edit" shapetype="t"/>
            </v:shapetype>
            <v:shape id="Shape 1732" o:spid="_x0000_s1026" type="#_x0000_t32" style="position:absolute;margin-left:41.85pt;margin-top:33pt;width:343.2pt;height:0;z-index:-25150156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" strokeweight="1pt">
              <w10:wrap anchorx="page" anchory="page"/>
            </v:shape>
          </w:pict>
        </mc:Fallback>
      </mc:AlternateContent>
    </w:r>
  </w:p>
</w:hdr>
</file>

<file path=word/header1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5ED78" w14:textId="77777777" w:rsidR="00D03C17" w:rsidRDefault="00D03C17">
    <w:pPr>
      <w:spacing w:line="1" w:lineRule="exact"/>
    </w:pPr>
    <w:r>
      <w:rPr>
        <w:noProof/>
      </w:rPr>
      <mc:AlternateContent>
        <mc:Choice Requires="wps">
          <w:drawing>
            <wp:anchor distT="0" distB="0" distL="0" distR="0" simplePos="0" relativeHeight="252018688" behindDoc="1" locked="0" layoutInCell="1" allowOverlap="1" wp14:anchorId="427E44DA" wp14:editId="012442DB">
              <wp:simplePos x="0" y="0"/>
              <wp:positionH relativeFrom="page">
                <wp:posOffset>2272030</wp:posOffset>
              </wp:positionH>
              <wp:positionV relativeFrom="page">
                <wp:posOffset>311150</wp:posOffset>
              </wp:positionV>
              <wp:extent cx="2597150" cy="69850"/>
              <wp:effectExtent l="0" t="0" r="0" b="0"/>
              <wp:wrapNone/>
              <wp:docPr id="1727" name="Shape 1727"/>
              <wp:cNvGraphicFramePr/>
              <a:graphic xmlns:a="http://schemas.openxmlformats.org/drawingml/2006/main">
                <a:graphicData uri="http://schemas.microsoft.com/office/word/2010/wordprocessingShape">
                  <wps:wsp>
                    <wps:cNvSpPr txBox="1"/>
                    <wps:spPr>
                      <a:xfrm>
                        <a:off x="0" y="0"/>
                        <a:ext cx="2597150" cy="69850"/>
                      </a:xfrm>
                      <a:prstGeom prst="rect">
                        <a:avLst/>
                      </a:prstGeom>
                      <a:noFill/>
                    </wps:spPr>
                    <wps:txbx>
                      <w:txbxContent>
                        <w:p w14:paraId="4B0578BC" w14:textId="77777777" w:rsidR="00D03C17" w:rsidRDefault="00D03C17">
                          <w:pPr>
                            <w:pStyle w:val="Headerorfooter0"/>
                            <w:tabs>
                              <w:tab w:val="right" w:pos="4090"/>
                            </w:tabs>
                            <w:rPr>
                              <w:sz w:val="16"/>
                              <w:szCs w:val="16"/>
                            </w:rPr>
                          </w:pPr>
                          <w:r>
                            <w:t>ESQUISTOSOMIASIS</w:t>
                          </w:r>
                          <w:r>
                            <w:tab/>
                          </w:r>
                          <w:r>
                            <w:rPr>
                              <w:sz w:val="16"/>
                              <w:szCs w:val="16"/>
                            </w:rPr>
                            <w:t>307</w:t>
                          </w:r>
                        </w:p>
                      </w:txbxContent>
                    </wps:txbx>
                    <wps:bodyPr lIns="0" tIns="0" rIns="0" bIns="0">
                      <a:spAutoFit/>
                    </wps:bodyPr>
                  </wps:wsp>
                </a:graphicData>
              </a:graphic>
            </wp:anchor>
          </w:drawing>
        </mc:Choice>
        <mc:Fallback>
          <w:pict>
            <v:shapetype w14:anchorId="427E44DA" id="_x0000_t202" coordsize="21600,21600" o:spt="202" path="m,l,21600r21600,l21600,xe">
              <v:stroke joinstyle="miter"/>
              <v:path gradientshapeok="t" o:connecttype="rect"/>
            </v:shapetype>
            <v:shape id="Shape 1727" o:spid="_x0000_s1209" type="#_x0000_t202" style="position:absolute;margin-left:178.9pt;margin-top:24.5pt;width:204.5pt;height:5.5pt;z-index:-251297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" filled="f" stroked="f">
              <v:textbox style="mso-fit-shape-to-text:t" inset="0,0,0,0">
                <w:txbxContent>
                  <w:p w14:paraId="4B0578BC" w14:textId="77777777" w:rsidR="00D03C17" w:rsidRDefault="00D03C17">
                    <w:pPr>
                      <w:pStyle w:val="Headerorfooter0"/>
                      <w:tabs>
                        <w:tab w:val="right" w:pos="4090"/>
                      </w:tabs>
                      <w:rPr>
                        <w:sz w:val="16"/>
                        <w:szCs w:val="16"/>
                      </w:rPr>
                    </w:pPr>
                    <w:r>
                      <w:t>ESQUISTOSOMIASIS</w:t>
                    </w:r>
                    <w:r>
                      <w:tab/>
                    </w:r>
                    <w:r>
                      <w:rPr>
                        <w:sz w:val="16"/>
                        <w:szCs w:val="16"/>
                      </w:rPr>
                      <w:t>307</w:t>
                    </w:r>
                  </w:p>
                </w:txbxContent>
              </v:textbox>
              <w10:wrap anchorx="page" anchory="page"/>
            </v:shape>
          </w:pict>
        </mc:Fallback>
      </mc:AlternateContent>
    </w:r>
    <w:r>
      <w:rPr>
        <w:noProof/>
      </w:rPr>
      <mc:AlternateContent>
        <mc:Choice Requires="wps">
          <w:drawing>
            <wp:anchor distT="0" distB="0" distL="114300" distR="114300" simplePos="0" relativeHeight="251813888" behindDoc="1" locked="0" layoutInCell="1" allowOverlap="1" wp14:anchorId="67256EFF" wp14:editId="2220299F">
              <wp:simplePos x="0" y="0"/>
              <wp:positionH relativeFrom="page">
                <wp:posOffset>531495</wp:posOffset>
              </wp:positionH>
              <wp:positionV relativeFrom="page">
                <wp:posOffset>419100</wp:posOffset>
              </wp:positionV>
              <wp:extent cx="4358640" cy="0"/>
              <wp:effectExtent l="0" t="0" r="0" b="0"/>
              <wp:wrapNone/>
              <wp:docPr id="1729" name="Shape 1729"/>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732CE365" id="_x0000_t32" coordsize="21600,21600" o:spt="32" o:oned="t" path="m,l21600,21600e" filled="f">
              <v:path arrowok="t" fillok="f" o:connecttype="none"/>
              <o:lock v:ext="edit" shapetype="t"/>
            </v:shapetype>
            <v:shape id="Shape 1729" o:spid="_x0000_s1026" type="#_x0000_t32" style="position:absolute;margin-left:41.85pt;margin-top:33pt;width:343.2pt;height:0;z-index:-25150259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" strokeweight="1pt">
              <w10:wrap anchorx="page" anchory="page"/>
            </v:shape>
          </w:pict>
        </mc:Fallback>
      </mc:AlternateContent>
    </w:r>
  </w:p>
</w:hdr>
</file>

<file path=word/header1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C27B9" w14:textId="77777777" w:rsidR="00D03C17" w:rsidRDefault="00D03C17">
    <w:pPr>
      <w:spacing w:line="1" w:lineRule="exact"/>
    </w:pPr>
    <w:r>
      <w:rPr>
        <w:noProof/>
      </w:rPr>
      <mc:AlternateContent>
        <mc:Choice Requires="wps">
          <w:drawing>
            <wp:anchor distT="0" distB="0" distL="0" distR="0" simplePos="0" relativeHeight="252020736" behindDoc="1" locked="0" layoutInCell="1" allowOverlap="1" wp14:anchorId="46E976CD" wp14:editId="057F7F9A">
              <wp:simplePos x="0" y="0"/>
              <wp:positionH relativeFrom="page">
                <wp:posOffset>548640</wp:posOffset>
              </wp:positionH>
              <wp:positionV relativeFrom="page">
                <wp:posOffset>311150</wp:posOffset>
              </wp:positionV>
              <wp:extent cx="3395345" cy="79375"/>
              <wp:effectExtent l="0" t="0" r="0" b="0"/>
              <wp:wrapNone/>
              <wp:docPr id="1733" name="Shape 1733"/>
              <wp:cNvGraphicFramePr/>
              <a:graphic xmlns:a="http://schemas.openxmlformats.org/drawingml/2006/main">
                <a:graphicData uri="http://schemas.microsoft.com/office/word/2010/wordprocessingShape">
                  <wps:wsp>
                    <wps:cNvSpPr txBox="1"/>
                    <wps:spPr>
                      <a:xfrm>
                        <a:off x="0" y="0"/>
                        <a:ext cx="3395345" cy="79375"/>
                      </a:xfrm>
                      <a:prstGeom prst="rect">
                        <a:avLst/>
                      </a:prstGeom>
                      <a:noFill/>
                    </wps:spPr>
                    <wps:txbx>
                      <w:txbxContent>
                        <w:p w14:paraId="07E8E017" w14:textId="77777777" w:rsidR="00D03C17" w:rsidRDefault="00D03C17">
                          <w:pPr>
                            <w:pStyle w:val="Headerorfooter0"/>
                            <w:tabs>
                              <w:tab w:val="right" w:pos="5347"/>
                            </w:tabs>
                          </w:pPr>
                          <w:r>
                            <w:rPr>
                              <w:sz w:val="16"/>
                              <w:szCs w:val="16"/>
                            </w:rPr>
                            <w:t>298</w:t>
                          </w:r>
                          <w:r>
                            <w:rPr>
                              <w:sz w:val="16"/>
                              <w:szCs w:val="16"/>
                            </w:rPr>
                            <w:tab/>
                          </w:r>
                          <w:r>
                            <w:rPr>
                              <w:i/>
                              <w:iCs/>
                              <w:sz w:val="13"/>
                              <w:szCs w:val="13"/>
                            </w:rPr>
                            <w:t>ESCHERICHIA COLI</w:t>
                          </w:r>
                          <w:r>
                            <w:rPr>
                              <w:i/>
                              <w:iCs/>
                            </w:rPr>
                            <w:t>,</w:t>
                          </w:r>
                          <w:r>
                            <w:t xml:space="preserve"> Y OTROS BACILOS GRAMNEGATIVOS</w:t>
                          </w:r>
                        </w:p>
                      </w:txbxContent>
                    </wps:txbx>
                    <wps:bodyPr lIns="0" tIns="0" rIns="0" bIns="0">
                      <a:spAutoFit/>
                    </wps:bodyPr>
                  </wps:wsp>
                </a:graphicData>
              </a:graphic>
            </wp:anchor>
          </w:drawing>
        </mc:Choice>
        <mc:Fallback>
          <w:pict>
            <v:shapetype w14:anchorId="46E976CD" id="_x0000_t202" coordsize="21600,21600" o:spt="202" path="m,l,21600r21600,l21600,xe">
              <v:stroke joinstyle="miter"/>
              <v:path gradientshapeok="t" o:connecttype="rect"/>
            </v:shapetype>
            <v:shape id="Shape 1733" o:spid="_x0000_s1210" type="#_x0000_t202" style="position:absolute;margin-left:43.2pt;margin-top:24.5pt;width:267.35pt;height:6.25pt;z-index:-251295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" filled="f" stroked="f">
              <v:textbox style="mso-fit-shape-to-text:t" inset="0,0,0,0">
                <w:txbxContent>
                  <w:p w14:paraId="07E8E017" w14:textId="77777777" w:rsidR="00D03C17" w:rsidRDefault="00D03C17">
                    <w:pPr>
                      <w:pStyle w:val="Headerorfooter0"/>
                      <w:tabs>
                        <w:tab w:val="right" w:pos="5347"/>
                      </w:tabs>
                    </w:pPr>
                    <w:r>
                      <w:rPr>
                        <w:sz w:val="16"/>
                        <w:szCs w:val="16"/>
                      </w:rPr>
                      <w:t>298</w:t>
                    </w:r>
                    <w:r>
                      <w:rPr>
                        <w:sz w:val="16"/>
                        <w:szCs w:val="16"/>
                      </w:rPr>
                      <w:tab/>
                    </w:r>
                    <w:r>
                      <w:rPr>
                        <w:i/>
                        <w:iCs/>
                        <w:sz w:val="13"/>
                        <w:szCs w:val="13"/>
                      </w:rPr>
                      <w:t>ESCHERICHIA COLI</w:t>
                    </w:r>
                    <w:r>
                      <w:rPr>
                        <w:i/>
                        <w:iCs/>
                      </w:rPr>
                      <w:t>,</w:t>
                    </w:r>
                    <w:r>
                      <w:t xml:space="preserve"> Y OTROS BACILOS GRAMNEGATIVOS</w:t>
                    </w:r>
                  </w:p>
                </w:txbxContent>
              </v:textbox>
              <w10:wrap anchorx="page" anchory="page"/>
            </v:shape>
          </w:pict>
        </mc:Fallback>
      </mc:AlternateContent>
    </w:r>
    <w:r>
      <w:rPr>
        <w:noProof/>
      </w:rPr>
      <mc:AlternateContent>
        <mc:Choice Requires="wps">
          <w:drawing>
            <wp:anchor distT="0" distB="0" distL="114300" distR="114300" simplePos="0" relativeHeight="251815936" behindDoc="1" locked="0" layoutInCell="1" allowOverlap="1" wp14:anchorId="074EE45B" wp14:editId="789B2D61">
              <wp:simplePos x="0" y="0"/>
              <wp:positionH relativeFrom="page">
                <wp:posOffset>533400</wp:posOffset>
              </wp:positionH>
              <wp:positionV relativeFrom="page">
                <wp:posOffset>419100</wp:posOffset>
              </wp:positionV>
              <wp:extent cx="4358640" cy="0"/>
              <wp:effectExtent l="0" t="0" r="0" b="0"/>
              <wp:wrapNone/>
              <wp:docPr id="1735" name="Shape 1735"/>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2640D638" id="_x0000_t32" coordsize="21600,21600" o:spt="32" o:oned="t" path="m,l21600,21600e" filled="f">
              <v:path arrowok="t" fillok="f" o:connecttype="none"/>
              <o:lock v:ext="edit" shapetype="t"/>
            </v:shapetype>
            <v:shape id="Shape 1735" o:spid="_x0000_s1026" type="#_x0000_t32" style="position:absolute;margin-left:42pt;margin-top:33pt;width:343.2pt;height:0;z-index:-25150054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" strokeweight="1pt">
              <w10:wrap anchorx="page" anchory="page"/>
            </v:shape>
          </w:pict>
        </mc:Fallback>
      </mc:AlternateContent>
    </w:r>
  </w:p>
</w:hdr>
</file>

<file path=word/header1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FA3A0" w14:textId="77777777" w:rsidR="00D03C17" w:rsidRDefault="00D03C17">
    <w:pPr>
      <w:spacing w:line="1" w:lineRule="exact"/>
    </w:pPr>
    <w:r>
      <w:rPr>
        <w:noProof/>
      </w:rPr>
      <mc:AlternateContent>
        <mc:Choice Requires="wps">
          <w:drawing>
            <wp:anchor distT="0" distB="0" distL="0" distR="0" simplePos="0" relativeHeight="252022784" behindDoc="1" locked="0" layoutInCell="1" allowOverlap="1" wp14:anchorId="7428D686" wp14:editId="5DBACF49">
              <wp:simplePos x="0" y="0"/>
              <wp:positionH relativeFrom="page">
                <wp:posOffset>2012950</wp:posOffset>
              </wp:positionH>
              <wp:positionV relativeFrom="page">
                <wp:posOffset>311150</wp:posOffset>
              </wp:positionV>
              <wp:extent cx="2853055" cy="79375"/>
              <wp:effectExtent l="0" t="0" r="0" b="0"/>
              <wp:wrapNone/>
              <wp:docPr id="1739" name="Shape 1739"/>
              <wp:cNvGraphicFramePr/>
              <a:graphic xmlns:a="http://schemas.openxmlformats.org/drawingml/2006/main">
                <a:graphicData uri="http://schemas.microsoft.com/office/word/2010/wordprocessingShape">
                  <wps:wsp>
                    <wps:cNvSpPr txBox="1"/>
                    <wps:spPr>
                      <a:xfrm>
                        <a:off x="0" y="0"/>
                        <a:ext cx="2853055" cy="79375"/>
                      </a:xfrm>
                      <a:prstGeom prst="rect">
                        <a:avLst/>
                      </a:prstGeom>
                      <a:noFill/>
                    </wps:spPr>
                    <wps:txbx>
                      <w:txbxContent>
                        <w:p w14:paraId="19022B14" w14:textId="77777777" w:rsidR="00D03C17" w:rsidRDefault="00D03C17">
                          <w:pPr>
                            <w:pStyle w:val="Headerorfooter0"/>
                            <w:tabs>
                              <w:tab w:val="right" w:pos="4493"/>
                            </w:tabs>
                            <w:rPr>
                              <w:sz w:val="16"/>
                              <w:szCs w:val="16"/>
                            </w:rPr>
                          </w:pPr>
                          <w:r>
                            <w:t>ESTAFILOCOCOS, INFECCIONES</w:t>
                          </w:r>
                          <w:r>
                            <w:tab/>
                          </w:r>
                          <w:r>
                            <w:rPr>
                              <w:sz w:val="16"/>
                              <w:szCs w:val="16"/>
                            </w:rPr>
                            <w:t>309</w:t>
                          </w:r>
                        </w:p>
                      </w:txbxContent>
                    </wps:txbx>
                    <wps:bodyPr lIns="0" tIns="0" rIns="0" bIns="0">
                      <a:spAutoFit/>
                    </wps:bodyPr>
                  </wps:wsp>
                </a:graphicData>
              </a:graphic>
            </wp:anchor>
          </w:drawing>
        </mc:Choice>
        <mc:Fallback>
          <w:pict>
            <v:shapetype w14:anchorId="7428D686" id="_x0000_t202" coordsize="21600,21600" o:spt="202" path="m,l,21600r21600,l21600,xe">
              <v:stroke joinstyle="miter"/>
              <v:path gradientshapeok="t" o:connecttype="rect"/>
            </v:shapetype>
            <v:shape id="Shape 1739" o:spid="_x0000_s1211" type="#_x0000_t202" style="position:absolute;margin-left:158.5pt;margin-top:24.5pt;width:224.65pt;height:6.25pt;z-index:-251293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" filled="f" stroked="f">
              <v:textbox style="mso-fit-shape-to-text:t" inset="0,0,0,0">
                <w:txbxContent>
                  <w:p w14:paraId="19022B14" w14:textId="77777777" w:rsidR="00D03C17" w:rsidRDefault="00D03C17">
                    <w:pPr>
                      <w:pStyle w:val="Headerorfooter0"/>
                      <w:tabs>
                        <w:tab w:val="right" w:pos="4493"/>
                      </w:tabs>
                      <w:rPr>
                        <w:sz w:val="16"/>
                        <w:szCs w:val="16"/>
                      </w:rPr>
                    </w:pPr>
                    <w:r>
                      <w:t>ESTAFILOCOCOS, INFECCIONES</w:t>
                    </w:r>
                    <w:r>
                      <w:tab/>
                    </w:r>
                    <w:r>
                      <w:rPr>
                        <w:sz w:val="16"/>
                        <w:szCs w:val="16"/>
                      </w:rPr>
                      <w:t>309</w:t>
                    </w:r>
                  </w:p>
                </w:txbxContent>
              </v:textbox>
              <w10:wrap anchorx="page" anchory="page"/>
            </v:shape>
          </w:pict>
        </mc:Fallback>
      </mc:AlternateContent>
    </w:r>
    <w:r>
      <w:rPr>
        <w:noProof/>
      </w:rPr>
      <mc:AlternateContent>
        <mc:Choice Requires="wps">
          <w:drawing>
            <wp:anchor distT="0" distB="0" distL="114300" distR="114300" simplePos="0" relativeHeight="251817984" behindDoc="1" locked="0" layoutInCell="1" allowOverlap="1" wp14:anchorId="62AF000E" wp14:editId="6EA1FF6F">
              <wp:simplePos x="0" y="0"/>
              <wp:positionH relativeFrom="page">
                <wp:posOffset>528320</wp:posOffset>
              </wp:positionH>
              <wp:positionV relativeFrom="page">
                <wp:posOffset>419100</wp:posOffset>
              </wp:positionV>
              <wp:extent cx="4358640" cy="0"/>
              <wp:effectExtent l="0" t="0" r="0" b="0"/>
              <wp:wrapNone/>
              <wp:docPr id="1741" name="Shape 1741"/>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12118672" id="_x0000_t32" coordsize="21600,21600" o:spt="32" o:oned="t" path="m,l21600,21600e" filled="f">
              <v:path arrowok="t" fillok="f" o:connecttype="none"/>
              <o:lock v:ext="edit" shapetype="t"/>
            </v:shapetype>
            <v:shape id="Shape 1741" o:spid="_x0000_s1026" type="#_x0000_t32" style="position:absolute;margin-left:41.6pt;margin-top:33pt;width:343.2pt;height:0;z-index:-25149849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" strokeweight="1pt">
              <w10:wrap anchorx="page" anchory="page"/>
            </v:shape>
          </w:pict>
        </mc:Fallback>
      </mc:AlternateContent>
    </w:r>
  </w:p>
</w:hdr>
</file>

<file path=word/header1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BC50E" w14:textId="77777777" w:rsidR="00D03C17" w:rsidRDefault="00D03C17">
    <w:pPr>
      <w:spacing w:line="1" w:lineRule="exact"/>
    </w:pPr>
    <w:r>
      <w:rPr>
        <w:noProof/>
      </w:rPr>
      <mc:AlternateContent>
        <mc:Choice Requires="wps">
          <w:drawing>
            <wp:anchor distT="0" distB="0" distL="0" distR="0" simplePos="0" relativeHeight="252021760" behindDoc="1" locked="0" layoutInCell="1" allowOverlap="1" wp14:anchorId="57D14A2C" wp14:editId="131755C6">
              <wp:simplePos x="0" y="0"/>
              <wp:positionH relativeFrom="page">
                <wp:posOffset>2012950</wp:posOffset>
              </wp:positionH>
              <wp:positionV relativeFrom="page">
                <wp:posOffset>311150</wp:posOffset>
              </wp:positionV>
              <wp:extent cx="2853055" cy="79375"/>
              <wp:effectExtent l="0" t="0" r="0" b="0"/>
              <wp:wrapNone/>
              <wp:docPr id="1736" name="Shape 1736"/>
              <wp:cNvGraphicFramePr/>
              <a:graphic xmlns:a="http://schemas.openxmlformats.org/drawingml/2006/main">
                <a:graphicData uri="http://schemas.microsoft.com/office/word/2010/wordprocessingShape">
                  <wps:wsp>
                    <wps:cNvSpPr txBox="1"/>
                    <wps:spPr>
                      <a:xfrm>
                        <a:off x="0" y="0"/>
                        <a:ext cx="2853055" cy="79375"/>
                      </a:xfrm>
                      <a:prstGeom prst="rect">
                        <a:avLst/>
                      </a:prstGeom>
                      <a:noFill/>
                    </wps:spPr>
                    <wps:txbx>
                      <w:txbxContent>
                        <w:p w14:paraId="18B5756D" w14:textId="77777777" w:rsidR="00D03C17" w:rsidRDefault="00D03C17">
                          <w:pPr>
                            <w:pStyle w:val="Headerorfooter0"/>
                            <w:tabs>
                              <w:tab w:val="right" w:pos="4493"/>
                            </w:tabs>
                            <w:rPr>
                              <w:sz w:val="16"/>
                              <w:szCs w:val="16"/>
                            </w:rPr>
                          </w:pPr>
                          <w:r>
                            <w:t>ESTAFILOCOCOS, INFECCIONES</w:t>
                          </w:r>
                          <w:r>
                            <w:tab/>
                          </w:r>
                          <w:r>
                            <w:rPr>
                              <w:sz w:val="16"/>
                              <w:szCs w:val="16"/>
                            </w:rPr>
                            <w:t>309</w:t>
                          </w:r>
                        </w:p>
                      </w:txbxContent>
                    </wps:txbx>
                    <wps:bodyPr lIns="0" tIns="0" rIns="0" bIns="0">
                      <a:spAutoFit/>
                    </wps:bodyPr>
                  </wps:wsp>
                </a:graphicData>
              </a:graphic>
            </wp:anchor>
          </w:drawing>
        </mc:Choice>
        <mc:Fallback>
          <w:pict>
            <v:shapetype w14:anchorId="57D14A2C" id="_x0000_t202" coordsize="21600,21600" o:spt="202" path="m,l,21600r21600,l21600,xe">
              <v:stroke joinstyle="miter"/>
              <v:path gradientshapeok="t" o:connecttype="rect"/>
            </v:shapetype>
            <v:shape id="Shape 1736" o:spid="_x0000_s1212" type="#_x0000_t202" style="position:absolute;margin-left:158.5pt;margin-top:24.5pt;width:224.65pt;height:6.25pt;z-index:-251294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" filled="f" stroked="f">
              <v:textbox style="mso-fit-shape-to-text:t" inset="0,0,0,0">
                <w:txbxContent>
                  <w:p w14:paraId="18B5756D" w14:textId="77777777" w:rsidR="00D03C17" w:rsidRDefault="00D03C17">
                    <w:pPr>
                      <w:pStyle w:val="Headerorfooter0"/>
                      <w:tabs>
                        <w:tab w:val="right" w:pos="4493"/>
                      </w:tabs>
                      <w:rPr>
                        <w:sz w:val="16"/>
                        <w:szCs w:val="16"/>
                      </w:rPr>
                    </w:pPr>
                    <w:r>
                      <w:t>ESTAFILOCOCOS, INFECCIONES</w:t>
                    </w:r>
                    <w:r>
                      <w:tab/>
                    </w:r>
                    <w:r>
                      <w:rPr>
                        <w:sz w:val="16"/>
                        <w:szCs w:val="16"/>
                      </w:rPr>
                      <w:t>309</w:t>
                    </w:r>
                  </w:p>
                </w:txbxContent>
              </v:textbox>
              <w10:wrap anchorx="page" anchory="page"/>
            </v:shape>
          </w:pict>
        </mc:Fallback>
      </mc:AlternateContent>
    </w:r>
    <w:r>
      <w:rPr>
        <w:noProof/>
      </w:rPr>
      <mc:AlternateContent>
        <mc:Choice Requires="wps">
          <w:drawing>
            <wp:anchor distT="0" distB="0" distL="114300" distR="114300" simplePos="0" relativeHeight="251816960" behindDoc="1" locked="0" layoutInCell="1" allowOverlap="1" wp14:anchorId="014253F7" wp14:editId="689BE5B2">
              <wp:simplePos x="0" y="0"/>
              <wp:positionH relativeFrom="page">
                <wp:posOffset>528320</wp:posOffset>
              </wp:positionH>
              <wp:positionV relativeFrom="page">
                <wp:posOffset>419100</wp:posOffset>
              </wp:positionV>
              <wp:extent cx="4358640" cy="0"/>
              <wp:effectExtent l="0" t="0" r="0" b="0"/>
              <wp:wrapNone/>
              <wp:docPr id="1738" name="Shape 1738"/>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40F5D458" id="_x0000_t32" coordsize="21600,21600" o:spt="32" o:oned="t" path="m,l21600,21600e" filled="f">
              <v:path arrowok="t" fillok="f" o:connecttype="none"/>
              <o:lock v:ext="edit" shapetype="t"/>
            </v:shapetype>
            <v:shape id="Shape 1738" o:spid="_x0000_s1026" type="#_x0000_t32" style="position:absolute;margin-left:41.6pt;margin-top:33pt;width:343.2pt;height:0;z-index:-25149952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" strokeweight="1pt">
              <w10:wrap anchorx="page" anchory="page"/>
            </v:shape>
          </w:pict>
        </mc:Fallback>
      </mc:AlternateContent>
    </w:r>
  </w:p>
</w:hdr>
</file>

<file path=word/header1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194E7" w14:textId="77777777" w:rsidR="00D03C17" w:rsidRDefault="00D03C17">
    <w:pPr>
      <w:spacing w:line="1" w:lineRule="exact"/>
    </w:pPr>
    <w:r>
      <w:rPr>
        <w:noProof/>
      </w:rPr>
      <mc:AlternateContent>
        <mc:Choice Requires="wps">
          <w:drawing>
            <wp:anchor distT="0" distB="0" distL="0" distR="0" simplePos="0" relativeHeight="252023808" behindDoc="1" locked="0" layoutInCell="1" allowOverlap="1" wp14:anchorId="3FC7DBFF" wp14:editId="714F8E04">
              <wp:simplePos x="0" y="0"/>
              <wp:positionH relativeFrom="page">
                <wp:posOffset>546735</wp:posOffset>
              </wp:positionH>
              <wp:positionV relativeFrom="page">
                <wp:posOffset>311150</wp:posOffset>
              </wp:positionV>
              <wp:extent cx="2602865" cy="69850"/>
              <wp:effectExtent l="0" t="0" r="0" b="0"/>
              <wp:wrapNone/>
              <wp:docPr id="1742" name="Shape 1742"/>
              <wp:cNvGraphicFramePr/>
              <a:graphic xmlns:a="http://schemas.openxmlformats.org/drawingml/2006/main">
                <a:graphicData uri="http://schemas.microsoft.com/office/word/2010/wordprocessingShape">
                  <wps:wsp>
                    <wps:cNvSpPr txBox="1"/>
                    <wps:spPr>
                      <a:xfrm>
                        <a:off x="0" y="0"/>
                        <a:ext cx="2602865" cy="69850"/>
                      </a:xfrm>
                      <a:prstGeom prst="rect">
                        <a:avLst/>
                      </a:prstGeom>
                      <a:noFill/>
                    </wps:spPr>
                    <wps:txbx>
                      <w:txbxContent>
                        <w:p w14:paraId="6FCB610B" w14:textId="77777777" w:rsidR="00D03C17" w:rsidRDefault="00D03C17">
                          <w:pPr>
                            <w:pStyle w:val="Headerorfooter0"/>
                            <w:tabs>
                              <w:tab w:val="right" w:pos="4099"/>
                            </w:tabs>
                          </w:pPr>
                          <w:r>
                            <w:rPr>
                              <w:sz w:val="16"/>
                              <w:szCs w:val="16"/>
                            </w:rPr>
                            <w:t>308</w:t>
                          </w:r>
                          <w:r>
                            <w:rPr>
                              <w:sz w:val="16"/>
                              <w:szCs w:val="16"/>
                            </w:rPr>
                            <w:tab/>
                          </w:r>
                          <w:r>
                            <w:t>ESQUISTOSOMIASIS</w:t>
                          </w:r>
                        </w:p>
                      </w:txbxContent>
                    </wps:txbx>
                    <wps:bodyPr lIns="0" tIns="0" rIns="0" bIns="0">
                      <a:spAutoFit/>
                    </wps:bodyPr>
                  </wps:wsp>
                </a:graphicData>
              </a:graphic>
            </wp:anchor>
          </w:drawing>
        </mc:Choice>
        <mc:Fallback>
          <w:pict>
            <v:shapetype w14:anchorId="3FC7DBFF" id="_x0000_t202" coordsize="21600,21600" o:spt="202" path="m,l,21600r21600,l21600,xe">
              <v:stroke joinstyle="miter"/>
              <v:path gradientshapeok="t" o:connecttype="rect"/>
            </v:shapetype>
            <v:shape id="Shape 1742" o:spid="_x0000_s1213" type="#_x0000_t202" style="position:absolute;margin-left:43.05pt;margin-top:24.5pt;width:204.95pt;height:5.5pt;z-index:-251292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" filled="f" stroked="f">
              <v:textbox style="mso-fit-shape-to-text:t" inset="0,0,0,0">
                <w:txbxContent>
                  <w:p w14:paraId="6FCB610B" w14:textId="77777777" w:rsidR="00D03C17" w:rsidRDefault="00D03C17">
                    <w:pPr>
                      <w:pStyle w:val="Headerorfooter0"/>
                      <w:tabs>
                        <w:tab w:val="right" w:pos="4099"/>
                      </w:tabs>
                    </w:pPr>
                    <w:r>
                      <w:rPr>
                        <w:sz w:val="16"/>
                        <w:szCs w:val="16"/>
                      </w:rPr>
                      <w:t>308</w:t>
                    </w:r>
                    <w:r>
                      <w:rPr>
                        <w:sz w:val="16"/>
                        <w:szCs w:val="16"/>
                      </w:rPr>
                      <w:tab/>
                    </w:r>
                    <w:r>
                      <w:t>ESQUISTOSOMIASIS</w:t>
                    </w:r>
                  </w:p>
                </w:txbxContent>
              </v:textbox>
              <w10:wrap anchorx="page" anchory="page"/>
            </v:shape>
          </w:pict>
        </mc:Fallback>
      </mc:AlternateContent>
    </w:r>
    <w:r>
      <w:rPr>
        <w:noProof/>
      </w:rPr>
      <mc:AlternateContent>
        <mc:Choice Requires="wps">
          <w:drawing>
            <wp:anchor distT="0" distB="0" distL="114300" distR="114300" simplePos="0" relativeHeight="251819008" behindDoc="1" locked="0" layoutInCell="1" allowOverlap="1" wp14:anchorId="14081B21" wp14:editId="16057537">
              <wp:simplePos x="0" y="0"/>
              <wp:positionH relativeFrom="page">
                <wp:posOffset>531495</wp:posOffset>
              </wp:positionH>
              <wp:positionV relativeFrom="page">
                <wp:posOffset>419100</wp:posOffset>
              </wp:positionV>
              <wp:extent cx="4358640" cy="0"/>
              <wp:effectExtent l="0" t="0" r="0" b="0"/>
              <wp:wrapNone/>
              <wp:docPr id="1744" name="Shape 1744"/>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48F3E1A3" id="_x0000_t32" coordsize="21600,21600" o:spt="32" o:oned="t" path="m,l21600,21600e" filled="f">
              <v:path arrowok="t" fillok="f" o:connecttype="none"/>
              <o:lock v:ext="edit" shapetype="t"/>
            </v:shapetype>
            <v:shape id="Shape 1744" o:spid="_x0000_s1026" type="#_x0000_t32" style="position:absolute;margin-left:41.85pt;margin-top:33pt;width:343.2pt;height:0;z-index:-25149747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" strokeweight="1pt">
              <w10:wrap anchorx="page" anchory="page"/>
            </v:shape>
          </w:pict>
        </mc:Fallback>
      </mc:AlternateContent>
    </w:r>
  </w:p>
</w:hdr>
</file>

<file path=word/header1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61439" w14:textId="77777777" w:rsidR="00D03C17" w:rsidRDefault="00D03C17">
    <w:pPr>
      <w:spacing w:line="1" w:lineRule="exact"/>
    </w:pPr>
    <w:r>
      <w:rPr>
        <w:noProof/>
      </w:rPr>
      <mc:AlternateContent>
        <mc:Choice Requires="wps">
          <w:drawing>
            <wp:anchor distT="0" distB="0" distL="0" distR="0" simplePos="0" relativeHeight="252025856" behindDoc="1" locked="0" layoutInCell="1" allowOverlap="1" wp14:anchorId="6A6E899B" wp14:editId="2DA1FC37">
              <wp:simplePos x="0" y="0"/>
              <wp:positionH relativeFrom="page">
                <wp:posOffset>545465</wp:posOffset>
              </wp:positionH>
              <wp:positionV relativeFrom="page">
                <wp:posOffset>311150</wp:posOffset>
              </wp:positionV>
              <wp:extent cx="2700655" cy="79375"/>
              <wp:effectExtent l="0" t="0" r="0" b="0"/>
              <wp:wrapNone/>
              <wp:docPr id="1748" name="Shape 1748"/>
              <wp:cNvGraphicFramePr/>
              <a:graphic xmlns:a="http://schemas.openxmlformats.org/drawingml/2006/main">
                <a:graphicData uri="http://schemas.microsoft.com/office/word/2010/wordprocessingShape">
                  <wps:wsp>
                    <wps:cNvSpPr txBox="1"/>
                    <wps:spPr>
                      <a:xfrm>
                        <a:off x="0" y="0"/>
                        <a:ext cx="2700655" cy="79375"/>
                      </a:xfrm>
                      <a:prstGeom prst="rect">
                        <a:avLst/>
                      </a:prstGeom>
                      <a:noFill/>
                    </wps:spPr>
                    <wps:txbx>
                      <w:txbxContent>
                        <w:p w14:paraId="68BE689E" w14:textId="77777777" w:rsidR="00D03C17" w:rsidRDefault="00D03C17">
                          <w:pPr>
                            <w:pStyle w:val="Headerorfooter0"/>
                            <w:tabs>
                              <w:tab w:val="right" w:pos="4253"/>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rPr>
                              <w:i/>
                              <w:iCs/>
                              <w:sz w:val="13"/>
                              <w:szCs w:val="13"/>
                            </w:rPr>
                            <w:t>SHIGELLA,</w:t>
                          </w:r>
                          <w:r>
                            <w:t xml:space="preserve"> INFECCIONES</w:t>
                          </w:r>
                        </w:p>
                      </w:txbxContent>
                    </wps:txbx>
                    <wps:bodyPr lIns="0" tIns="0" rIns="0" bIns="0">
                      <a:spAutoFit/>
                    </wps:bodyPr>
                  </wps:wsp>
                </a:graphicData>
              </a:graphic>
            </wp:anchor>
          </w:drawing>
        </mc:Choice>
        <mc:Fallback>
          <w:pict>
            <v:shapetype w14:anchorId="6A6E899B" id="_x0000_t202" coordsize="21600,21600" o:spt="202" path="m,l,21600r21600,l21600,xe">
              <v:stroke joinstyle="miter"/>
              <v:path gradientshapeok="t" o:connecttype="rect"/>
            </v:shapetype>
            <v:shape id="Shape 1748" o:spid="_x0000_s1214" type="#_x0000_t202" style="position:absolute;margin-left:42.95pt;margin-top:24.5pt;width:212.65pt;height:6.25pt;z-index:-251290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" filled="f" stroked="f">
              <v:textbox style="mso-fit-shape-to-text:t" inset="0,0,0,0">
                <w:txbxContent>
                  <w:p w14:paraId="68BE689E" w14:textId="77777777" w:rsidR="00D03C17" w:rsidRDefault="00D03C17">
                    <w:pPr>
                      <w:pStyle w:val="Headerorfooter0"/>
                      <w:tabs>
                        <w:tab w:val="right" w:pos="4253"/>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rPr>
                        <w:i/>
                        <w:iCs/>
                        <w:sz w:val="13"/>
                        <w:szCs w:val="13"/>
                      </w:rPr>
                      <w:t>SHIGELLA,</w:t>
                    </w:r>
                    <w:r>
                      <w:t xml:space="preserve"> INFECCIONES</w:t>
                    </w:r>
                  </w:p>
                </w:txbxContent>
              </v:textbox>
              <w10:wrap anchorx="page" anchory="page"/>
            </v:shape>
          </w:pict>
        </mc:Fallback>
      </mc:AlternateContent>
    </w:r>
    <w:r>
      <w:rPr>
        <w:noProof/>
      </w:rPr>
      <mc:AlternateContent>
        <mc:Choice Requires="wps">
          <w:drawing>
            <wp:anchor distT="0" distB="0" distL="114300" distR="114300" simplePos="0" relativeHeight="251821056" behindDoc="1" locked="0" layoutInCell="1" allowOverlap="1" wp14:anchorId="3A559BF4" wp14:editId="014CAE8B">
              <wp:simplePos x="0" y="0"/>
              <wp:positionH relativeFrom="page">
                <wp:posOffset>530225</wp:posOffset>
              </wp:positionH>
              <wp:positionV relativeFrom="page">
                <wp:posOffset>419100</wp:posOffset>
              </wp:positionV>
              <wp:extent cx="4358640" cy="0"/>
              <wp:effectExtent l="0" t="0" r="0" b="0"/>
              <wp:wrapNone/>
              <wp:docPr id="1750" name="Shape 1750"/>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533B979C" id="_x0000_t32" coordsize="21600,21600" o:spt="32" o:oned="t" path="m,l21600,21600e" filled="f">
              <v:path arrowok="t" fillok="f" o:connecttype="none"/>
              <o:lock v:ext="edit" shapetype="t"/>
            </v:shapetype>
            <v:shape id="Shape 1750" o:spid="_x0000_s1026" type="#_x0000_t32" style="position:absolute;margin-left:41.75pt;margin-top:33pt;width:343.2pt;height:0;z-index:-25149542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" strokeweight="1pt">
              <w10:wrap anchorx="page" anchory="page"/>
            </v:shape>
          </w:pict>
        </mc:Fallback>
      </mc:AlternateContent>
    </w:r>
  </w:p>
</w:hdr>
</file>

<file path=word/header1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4CA3E" w14:textId="77777777" w:rsidR="00D03C17" w:rsidRDefault="00D03C17">
    <w:pPr>
      <w:spacing w:line="1" w:lineRule="exact"/>
    </w:pPr>
    <w:r>
      <w:rPr>
        <w:noProof/>
      </w:rPr>
      <mc:AlternateContent>
        <mc:Choice Requires="wps">
          <w:drawing>
            <wp:anchor distT="0" distB="0" distL="0" distR="0" simplePos="0" relativeHeight="252024832" behindDoc="1" locked="0" layoutInCell="1" allowOverlap="1" wp14:anchorId="75D0C83C" wp14:editId="659E9969">
              <wp:simplePos x="0" y="0"/>
              <wp:positionH relativeFrom="page">
                <wp:posOffset>2174240</wp:posOffset>
              </wp:positionH>
              <wp:positionV relativeFrom="page">
                <wp:posOffset>311150</wp:posOffset>
              </wp:positionV>
              <wp:extent cx="2682240" cy="79375"/>
              <wp:effectExtent l="0" t="0" r="0" b="0"/>
              <wp:wrapNone/>
              <wp:docPr id="1745" name="Shape 1745"/>
              <wp:cNvGraphicFramePr/>
              <a:graphic xmlns:a="http://schemas.openxmlformats.org/drawingml/2006/main">
                <a:graphicData uri="http://schemas.microsoft.com/office/word/2010/wordprocessingShape">
                  <wps:wsp>
                    <wps:cNvSpPr txBox="1"/>
                    <wps:spPr>
                      <a:xfrm>
                        <a:off x="0" y="0"/>
                        <a:ext cx="2682240" cy="79375"/>
                      </a:xfrm>
                      <a:prstGeom prst="rect">
                        <a:avLst/>
                      </a:prstGeom>
                      <a:noFill/>
                    </wps:spPr>
                    <wps:txbx>
                      <w:txbxContent>
                        <w:p w14:paraId="4D6A34C9" w14:textId="77777777" w:rsidR="00D03C17" w:rsidRDefault="00D03C17">
                          <w:pPr>
                            <w:pStyle w:val="Headerorfooter0"/>
                            <w:tabs>
                              <w:tab w:val="right" w:pos="4224"/>
                            </w:tabs>
                            <w:rPr>
                              <w:sz w:val="16"/>
                              <w:szCs w:val="16"/>
                            </w:rPr>
                          </w:pPr>
                          <w:r>
                            <w:rPr>
                              <w:i/>
                              <w:iCs/>
                              <w:sz w:val="13"/>
                              <w:szCs w:val="13"/>
                            </w:rPr>
                            <w:t>SHIGELLA,</w:t>
                          </w:r>
                          <w:r>
                            <w:t xml:space="preserve"> INFECCIONES</w:t>
                          </w:r>
                          <w:r>
                            <w:tab/>
                          </w:r>
                          <w:r>
                            <w:fldChar w:fldCharType="begin"/>
                          </w:r>
                          <w:r>
                            <w:instrText xml:space="preserve"> PAGE \* MERGEFORMAT </w:instrText>
                          </w:r>
                          <w:r>
                            <w:fldChar w:fldCharType="separate"/>
                          </w:r>
                          <w:r>
                            <w:rPr>
                              <w:sz w:val="16"/>
                              <w:szCs w:val="16"/>
                            </w:rPr>
                            <w:t>#</w:t>
                          </w:r>
                          <w:r>
                            <w:rPr>
                              <w:sz w:val="16"/>
                              <w:szCs w:val="16"/>
                            </w:rPr>
                            <w:fldChar w:fldCharType="end"/>
                          </w:r>
                        </w:p>
                      </w:txbxContent>
                    </wps:txbx>
                    <wps:bodyPr lIns="0" tIns="0" rIns="0" bIns="0">
                      <a:spAutoFit/>
                    </wps:bodyPr>
                  </wps:wsp>
                </a:graphicData>
              </a:graphic>
            </wp:anchor>
          </w:drawing>
        </mc:Choice>
        <mc:Fallback>
          <w:pict>
            <v:shapetype w14:anchorId="75D0C83C" id="_x0000_t202" coordsize="21600,21600" o:spt="202" path="m,l,21600r21600,l21600,xe">
              <v:stroke joinstyle="miter"/>
              <v:path gradientshapeok="t" o:connecttype="rect"/>
            </v:shapetype>
            <v:shape id="Shape 1745" o:spid="_x0000_s1215" type="#_x0000_t202" style="position:absolute;margin-left:171.2pt;margin-top:24.5pt;width:211.2pt;height:6.25pt;z-index:-251291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" filled="f" stroked="f">
              <v:textbox style="mso-fit-shape-to-text:t" inset="0,0,0,0">
                <w:txbxContent>
                  <w:p w14:paraId="4D6A34C9" w14:textId="77777777" w:rsidR="00D03C17" w:rsidRDefault="00D03C17">
                    <w:pPr>
                      <w:pStyle w:val="Headerorfooter0"/>
                      <w:tabs>
                        <w:tab w:val="right" w:pos="4224"/>
                      </w:tabs>
                      <w:rPr>
                        <w:sz w:val="16"/>
                        <w:szCs w:val="16"/>
                      </w:rPr>
                    </w:pPr>
                    <w:r>
                      <w:rPr>
                        <w:i/>
                        <w:iCs/>
                        <w:sz w:val="13"/>
                        <w:szCs w:val="13"/>
                      </w:rPr>
                      <w:t>SHIGELLA,</w:t>
                    </w:r>
                    <w:r>
                      <w:t xml:space="preserve"> INFECCIONES</w:t>
                    </w:r>
                    <w:r>
                      <w:tab/>
                    </w:r>
                    <w:r>
                      <w:fldChar w:fldCharType="begin"/>
                    </w:r>
                    <w:r>
                      <w:instrText xml:space="preserve"> PAGE \* MERGEFORMAT </w:instrText>
                    </w:r>
                    <w:r>
                      <w:fldChar w:fldCharType="separate"/>
                    </w:r>
                    <w:r>
                      <w:rPr>
                        <w:sz w:val="16"/>
                        <w:szCs w:val="16"/>
                      </w:rPr>
                      <w:t>#</w:t>
                    </w:r>
                    <w:r>
                      <w:rPr>
                        <w:sz w:val="16"/>
                        <w:szCs w:val="1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820032" behindDoc="1" locked="0" layoutInCell="1" allowOverlap="1" wp14:anchorId="10704104" wp14:editId="3D7AF133">
              <wp:simplePos x="0" y="0"/>
              <wp:positionH relativeFrom="page">
                <wp:posOffset>534670</wp:posOffset>
              </wp:positionH>
              <wp:positionV relativeFrom="page">
                <wp:posOffset>419100</wp:posOffset>
              </wp:positionV>
              <wp:extent cx="4358640" cy="0"/>
              <wp:effectExtent l="0" t="0" r="0" b="0"/>
              <wp:wrapNone/>
              <wp:docPr id="1747" name="Shape 1747"/>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6571E187" id="_x0000_t32" coordsize="21600,21600" o:spt="32" o:oned="t" path="m,l21600,21600e" filled="f">
              <v:path arrowok="t" fillok="f" o:connecttype="none"/>
              <o:lock v:ext="edit" shapetype="t"/>
            </v:shapetype>
            <v:shape id="Shape 1747" o:spid="_x0000_s1026" type="#_x0000_t32" style="position:absolute;margin-left:42.1pt;margin-top:33pt;width:343.2pt;height:0;z-index:-25149644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" strokeweight="1pt">
              <w10:wrap anchorx="page" anchory="page"/>
            </v:shape>
          </w:pict>
        </mc:Fallback>
      </mc:AlternateContent>
    </w:r>
  </w:p>
</w:hdr>
</file>

<file path=word/header1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DC3B2" w14:textId="77777777" w:rsidR="00D03C17" w:rsidRDefault="00D03C17">
    <w:pPr>
      <w:spacing w:line="1" w:lineRule="exact"/>
    </w:pPr>
    <w:r>
      <w:rPr>
        <w:noProof/>
      </w:rPr>
      <mc:AlternateContent>
        <mc:Choice Requires="wps">
          <w:drawing>
            <wp:anchor distT="0" distB="0" distL="0" distR="0" simplePos="0" relativeHeight="252027904" behindDoc="1" locked="0" layoutInCell="1" allowOverlap="1" wp14:anchorId="3083F497" wp14:editId="514B0E22">
              <wp:simplePos x="0" y="0"/>
              <wp:positionH relativeFrom="page">
                <wp:posOffset>545465</wp:posOffset>
              </wp:positionH>
              <wp:positionV relativeFrom="page">
                <wp:posOffset>311150</wp:posOffset>
              </wp:positionV>
              <wp:extent cx="2350135" cy="69850"/>
              <wp:effectExtent l="0" t="0" r="0" b="0"/>
              <wp:wrapNone/>
              <wp:docPr id="1754" name="Shape 1754"/>
              <wp:cNvGraphicFramePr/>
              <a:graphic xmlns:a="http://schemas.openxmlformats.org/drawingml/2006/main">
                <a:graphicData uri="http://schemas.microsoft.com/office/word/2010/wordprocessingShape">
                  <wps:wsp>
                    <wps:cNvSpPr txBox="1"/>
                    <wps:spPr>
                      <a:xfrm>
                        <a:off x="0" y="0"/>
                        <a:ext cx="2350135" cy="69850"/>
                      </a:xfrm>
                      <a:prstGeom prst="rect">
                        <a:avLst/>
                      </a:prstGeom>
                      <a:noFill/>
                    </wps:spPr>
                    <wps:txbx>
                      <w:txbxContent>
                        <w:p w14:paraId="5954DF17" w14:textId="77777777" w:rsidR="00D03C17" w:rsidRDefault="00D03C17">
                          <w:pPr>
                            <w:pStyle w:val="Headerorfooter0"/>
                            <w:tabs>
                              <w:tab w:val="right" w:pos="3701"/>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VIRUELA</w:t>
                          </w:r>
                        </w:p>
                      </w:txbxContent>
                    </wps:txbx>
                    <wps:bodyPr lIns="0" tIns="0" rIns="0" bIns="0">
                      <a:spAutoFit/>
                    </wps:bodyPr>
                  </wps:wsp>
                </a:graphicData>
              </a:graphic>
            </wp:anchor>
          </w:drawing>
        </mc:Choice>
        <mc:Fallback>
          <w:pict>
            <v:shapetype w14:anchorId="3083F497" id="_x0000_t202" coordsize="21600,21600" o:spt="202" path="m,l,21600r21600,l21600,xe">
              <v:stroke joinstyle="miter"/>
              <v:path gradientshapeok="t" o:connecttype="rect"/>
            </v:shapetype>
            <v:shape id="Shape 1754" o:spid="_x0000_s1216" type="#_x0000_t202" style="position:absolute;margin-left:42.95pt;margin-top:24.5pt;width:185.05pt;height:5.5pt;z-index:-251288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" filled="f" stroked="f">
              <v:textbox style="mso-fit-shape-to-text:t" inset="0,0,0,0">
                <w:txbxContent>
                  <w:p w14:paraId="5954DF17" w14:textId="77777777" w:rsidR="00D03C17" w:rsidRDefault="00D03C17">
                    <w:pPr>
                      <w:pStyle w:val="Headerorfooter0"/>
                      <w:tabs>
                        <w:tab w:val="right" w:pos="3701"/>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VIRUELA</w:t>
                    </w:r>
                  </w:p>
                </w:txbxContent>
              </v:textbox>
              <w10:wrap anchorx="page" anchory="page"/>
            </v:shape>
          </w:pict>
        </mc:Fallback>
      </mc:AlternateContent>
    </w:r>
    <w:r>
      <w:rPr>
        <w:noProof/>
      </w:rPr>
      <mc:AlternateContent>
        <mc:Choice Requires="wps">
          <w:drawing>
            <wp:anchor distT="0" distB="0" distL="114300" distR="114300" simplePos="0" relativeHeight="251823104" behindDoc="1" locked="0" layoutInCell="1" allowOverlap="1" wp14:anchorId="476A20EB" wp14:editId="4D7DA6CB">
              <wp:simplePos x="0" y="0"/>
              <wp:positionH relativeFrom="page">
                <wp:posOffset>530225</wp:posOffset>
              </wp:positionH>
              <wp:positionV relativeFrom="page">
                <wp:posOffset>419100</wp:posOffset>
              </wp:positionV>
              <wp:extent cx="4358640" cy="0"/>
              <wp:effectExtent l="0" t="0" r="0" b="0"/>
              <wp:wrapNone/>
              <wp:docPr id="1756" name="Shape 1756"/>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5E94C0C8" id="_x0000_t32" coordsize="21600,21600" o:spt="32" o:oned="t" path="m,l21600,21600e" filled="f">
              <v:path arrowok="t" fillok="f" o:connecttype="none"/>
              <o:lock v:ext="edit" shapetype="t"/>
            </v:shapetype>
            <v:shape id="Shape 1756" o:spid="_x0000_s1026" type="#_x0000_t32" style="position:absolute;margin-left:41.75pt;margin-top:33pt;width:343.2pt;height:0;z-index:-25149337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" strokeweight="1pt">
              <w10:wrap anchorx="page" anchory="page"/>
            </v:shape>
          </w:pict>
        </mc:Fallback>
      </mc:AlternateContent>
    </w:r>
  </w:p>
</w:hdr>
</file>

<file path=word/header1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14892" w14:textId="77777777" w:rsidR="00D03C17" w:rsidRDefault="00D03C17">
    <w:pPr>
      <w:spacing w:line="1" w:lineRule="exact"/>
    </w:pPr>
    <w:r>
      <w:rPr>
        <w:noProof/>
      </w:rPr>
      <mc:AlternateContent>
        <mc:Choice Requires="wps">
          <w:drawing>
            <wp:anchor distT="0" distB="0" distL="0" distR="0" simplePos="0" relativeHeight="252026880" behindDoc="1" locked="0" layoutInCell="1" allowOverlap="1" wp14:anchorId="6874A843" wp14:editId="5E680F78">
              <wp:simplePos x="0" y="0"/>
              <wp:positionH relativeFrom="page">
                <wp:posOffset>2523490</wp:posOffset>
              </wp:positionH>
              <wp:positionV relativeFrom="page">
                <wp:posOffset>311150</wp:posOffset>
              </wp:positionV>
              <wp:extent cx="2343785" cy="69850"/>
              <wp:effectExtent l="0" t="0" r="0" b="0"/>
              <wp:wrapNone/>
              <wp:docPr id="1751" name="Shape 1751"/>
              <wp:cNvGraphicFramePr/>
              <a:graphic xmlns:a="http://schemas.openxmlformats.org/drawingml/2006/main">
                <a:graphicData uri="http://schemas.microsoft.com/office/word/2010/wordprocessingShape">
                  <wps:wsp>
                    <wps:cNvSpPr txBox="1"/>
                    <wps:spPr>
                      <a:xfrm>
                        <a:off x="0" y="0"/>
                        <a:ext cx="2343785" cy="69850"/>
                      </a:xfrm>
                      <a:prstGeom prst="rect">
                        <a:avLst/>
                      </a:prstGeom>
                      <a:noFill/>
                    </wps:spPr>
                    <wps:txbx>
                      <w:txbxContent>
                        <w:p w14:paraId="0A42EF2F" w14:textId="77777777" w:rsidR="00D03C17" w:rsidRDefault="00D03C17">
                          <w:pPr>
                            <w:pStyle w:val="Headerorfooter0"/>
                            <w:tabs>
                              <w:tab w:val="right" w:pos="3691"/>
                            </w:tabs>
                            <w:rPr>
                              <w:sz w:val="16"/>
                              <w:szCs w:val="16"/>
                            </w:rPr>
                          </w:pPr>
                          <w:r>
                            <w:t>VIRUELA</w:t>
                          </w:r>
                          <w:r>
                            <w:tab/>
                          </w:r>
                          <w:r>
                            <w:fldChar w:fldCharType="begin"/>
                          </w:r>
                          <w:r>
                            <w:instrText xml:space="preserve"> PAGE \* MERGEFORMAT </w:instrText>
                          </w:r>
                          <w:r>
                            <w:fldChar w:fldCharType="separate"/>
                          </w:r>
                          <w:r>
                            <w:rPr>
                              <w:sz w:val="16"/>
                              <w:szCs w:val="16"/>
                            </w:rPr>
                            <w:t>#</w:t>
                          </w:r>
                          <w:r>
                            <w:rPr>
                              <w:sz w:val="16"/>
                              <w:szCs w:val="16"/>
                            </w:rPr>
                            <w:fldChar w:fldCharType="end"/>
                          </w:r>
                        </w:p>
                      </w:txbxContent>
                    </wps:txbx>
                    <wps:bodyPr lIns="0" tIns="0" rIns="0" bIns="0">
                      <a:spAutoFit/>
                    </wps:bodyPr>
                  </wps:wsp>
                </a:graphicData>
              </a:graphic>
            </wp:anchor>
          </w:drawing>
        </mc:Choice>
        <mc:Fallback>
          <w:pict>
            <v:shapetype w14:anchorId="6874A843" id="_x0000_t202" coordsize="21600,21600" o:spt="202" path="m,l,21600r21600,l21600,xe">
              <v:stroke joinstyle="miter"/>
              <v:path gradientshapeok="t" o:connecttype="rect"/>
            </v:shapetype>
            <v:shape id="Shape 1751" o:spid="_x0000_s1217" type="#_x0000_t202" style="position:absolute;margin-left:198.7pt;margin-top:24.5pt;width:184.55pt;height:5.5pt;z-index:-251289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" filled="f" stroked="f">
              <v:textbox style="mso-fit-shape-to-text:t" inset="0,0,0,0">
                <w:txbxContent>
                  <w:p w14:paraId="0A42EF2F" w14:textId="77777777" w:rsidR="00D03C17" w:rsidRDefault="00D03C17">
                    <w:pPr>
                      <w:pStyle w:val="Headerorfooter0"/>
                      <w:tabs>
                        <w:tab w:val="right" w:pos="3691"/>
                      </w:tabs>
                      <w:rPr>
                        <w:sz w:val="16"/>
                        <w:szCs w:val="16"/>
                      </w:rPr>
                    </w:pPr>
                    <w:r>
                      <w:t>VIRUELA</w:t>
                    </w:r>
                    <w:r>
                      <w:tab/>
                    </w:r>
                    <w:r>
                      <w:fldChar w:fldCharType="begin"/>
                    </w:r>
                    <w:r>
                      <w:instrText xml:space="preserve"> PAGE \* MERGEFORMAT </w:instrText>
                    </w:r>
                    <w:r>
                      <w:fldChar w:fldCharType="separate"/>
                    </w:r>
                    <w:r>
                      <w:rPr>
                        <w:sz w:val="16"/>
                        <w:szCs w:val="16"/>
                      </w:rPr>
                      <w:t>#</w:t>
                    </w:r>
                    <w:r>
                      <w:rPr>
                        <w:sz w:val="16"/>
                        <w:szCs w:val="1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822080" behindDoc="1" locked="0" layoutInCell="1" allowOverlap="1" wp14:anchorId="59265578" wp14:editId="2EA9C57F">
              <wp:simplePos x="0" y="0"/>
              <wp:positionH relativeFrom="page">
                <wp:posOffset>530225</wp:posOffset>
              </wp:positionH>
              <wp:positionV relativeFrom="page">
                <wp:posOffset>419100</wp:posOffset>
              </wp:positionV>
              <wp:extent cx="4358640" cy="0"/>
              <wp:effectExtent l="0" t="0" r="0" b="0"/>
              <wp:wrapNone/>
              <wp:docPr id="1753" name="Shape 1753"/>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56872B55" id="_x0000_t32" coordsize="21600,21600" o:spt="32" o:oned="t" path="m,l21600,21600e" filled="f">
              <v:path arrowok="t" fillok="f" o:connecttype="none"/>
              <o:lock v:ext="edit" shapetype="t"/>
            </v:shapetype>
            <v:shape id="Shape 1753" o:spid="_x0000_s1026" type="#_x0000_t32" style="position:absolute;margin-left:41.75pt;margin-top:33pt;width:343.2pt;height:0;z-index:-25149440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" strokeweight="1pt">
              <w10:wrap anchorx="page" anchory="page"/>
            </v:shape>
          </w:pict>
        </mc:Fallback>
      </mc:AlternateContent>
    </w:r>
  </w:p>
</w:hdr>
</file>

<file path=word/header1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507E2" w14:textId="77777777" w:rsidR="00D03C17" w:rsidRDefault="00D03C17">
    <w:pPr>
      <w:spacing w:line="1" w:lineRule="exact"/>
    </w:pPr>
    <w:r>
      <w:rPr>
        <w:noProof/>
      </w:rPr>
      <mc:AlternateContent>
        <mc:Choice Requires="wps">
          <w:drawing>
            <wp:anchor distT="0" distB="0" distL="0" distR="0" simplePos="0" relativeHeight="252029952" behindDoc="1" locked="0" layoutInCell="1" allowOverlap="1" wp14:anchorId="420A5800" wp14:editId="21DEE10D">
              <wp:simplePos x="0" y="0"/>
              <wp:positionH relativeFrom="page">
                <wp:posOffset>984250</wp:posOffset>
              </wp:positionH>
              <wp:positionV relativeFrom="page">
                <wp:posOffset>311150</wp:posOffset>
              </wp:positionV>
              <wp:extent cx="3883025" cy="79375"/>
              <wp:effectExtent l="0" t="0" r="0" b="0"/>
              <wp:wrapNone/>
              <wp:docPr id="1760" name="Shape 1760"/>
              <wp:cNvGraphicFramePr/>
              <a:graphic xmlns:a="http://schemas.openxmlformats.org/drawingml/2006/main">
                <a:graphicData uri="http://schemas.microsoft.com/office/word/2010/wordprocessingShape">
                  <wps:wsp>
                    <wps:cNvSpPr txBox="1"/>
                    <wps:spPr>
                      <a:xfrm>
                        <a:off x="0" y="0"/>
                        <a:ext cx="3883025" cy="79375"/>
                      </a:xfrm>
                      <a:prstGeom prst="rect">
                        <a:avLst/>
                      </a:prstGeom>
                      <a:noFill/>
                    </wps:spPr>
                    <wps:txbx>
                      <w:txbxContent>
                        <w:p w14:paraId="278E7666" w14:textId="77777777" w:rsidR="00D03C17" w:rsidRDefault="00D03C17">
                          <w:pPr>
                            <w:pStyle w:val="Headerorfooter0"/>
                            <w:tabs>
                              <w:tab w:val="right" w:pos="6115"/>
                            </w:tabs>
                            <w:rPr>
                              <w:sz w:val="16"/>
                              <w:szCs w:val="16"/>
                            </w:rPr>
                          </w:pPr>
                          <w:r>
                            <w:t xml:space="preserve">YERSINIA ENTEROCOLITICA Y </w:t>
                          </w:r>
                          <w:r>
                            <w:rPr>
                              <w:i/>
                              <w:iCs/>
                              <w:sz w:val="13"/>
                              <w:szCs w:val="13"/>
                            </w:rPr>
                            <w:t>YERSINIA PSEUDOTUBERCULOSIS</w:t>
                          </w:r>
                          <w:r>
                            <w:rPr>
                              <w:i/>
                              <w:iCs/>
                            </w:rPr>
                            <w:t>,</w:t>
                          </w:r>
                          <w:r>
                            <w:t xml:space="preserve"> INFECCIONES</w:t>
                          </w:r>
                          <w:r>
                            <w:tab/>
                          </w:r>
                          <w:r>
                            <w:fldChar w:fldCharType="begin"/>
                          </w:r>
                          <w:r>
                            <w:instrText xml:space="preserve"> PAGE \* MERGEFORMAT </w:instrText>
                          </w:r>
                          <w:r>
                            <w:fldChar w:fldCharType="separate"/>
                          </w:r>
                          <w:r>
                            <w:rPr>
                              <w:sz w:val="16"/>
                              <w:szCs w:val="16"/>
                            </w:rPr>
                            <w:t>#</w:t>
                          </w:r>
                          <w:r>
                            <w:rPr>
                              <w:sz w:val="16"/>
                              <w:szCs w:val="16"/>
                            </w:rPr>
                            <w:fldChar w:fldCharType="end"/>
                          </w:r>
                        </w:p>
                      </w:txbxContent>
                    </wps:txbx>
                    <wps:bodyPr lIns="0" tIns="0" rIns="0" bIns="0">
                      <a:spAutoFit/>
                    </wps:bodyPr>
                  </wps:wsp>
                </a:graphicData>
              </a:graphic>
            </wp:anchor>
          </w:drawing>
        </mc:Choice>
        <mc:Fallback>
          <w:pict>
            <v:shapetype w14:anchorId="420A5800" id="_x0000_t202" coordsize="21600,21600" o:spt="202" path="m,l,21600r21600,l21600,xe">
              <v:stroke joinstyle="miter"/>
              <v:path gradientshapeok="t" o:connecttype="rect"/>
            </v:shapetype>
            <v:shape id="Shape 1760" o:spid="_x0000_s1218" type="#_x0000_t202" style="position:absolute;margin-left:77.5pt;margin-top:24.5pt;width:305.75pt;height:6.25pt;z-index:-251286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" filled="f" stroked="f">
              <v:textbox style="mso-fit-shape-to-text:t" inset="0,0,0,0">
                <w:txbxContent>
                  <w:p w14:paraId="278E7666" w14:textId="77777777" w:rsidR="00D03C17" w:rsidRDefault="00D03C17">
                    <w:pPr>
                      <w:pStyle w:val="Headerorfooter0"/>
                      <w:tabs>
                        <w:tab w:val="right" w:pos="6115"/>
                      </w:tabs>
                      <w:rPr>
                        <w:sz w:val="16"/>
                        <w:szCs w:val="16"/>
                      </w:rPr>
                    </w:pPr>
                    <w:r>
                      <w:t xml:space="preserve">YERSINIA ENTEROCOLITICA Y </w:t>
                    </w:r>
                    <w:r>
                      <w:rPr>
                        <w:i/>
                        <w:iCs/>
                        <w:sz w:val="13"/>
                        <w:szCs w:val="13"/>
                      </w:rPr>
                      <w:t>YERSINIA PSEUDOTUBERCULOSIS</w:t>
                    </w:r>
                    <w:r>
                      <w:rPr>
                        <w:i/>
                        <w:iCs/>
                      </w:rPr>
                      <w:t>,</w:t>
                    </w:r>
                    <w:r>
                      <w:t xml:space="preserve"> INFECCIONES</w:t>
                    </w:r>
                    <w:r>
                      <w:tab/>
                    </w:r>
                    <w:r>
                      <w:fldChar w:fldCharType="begin"/>
                    </w:r>
                    <w:r>
                      <w:instrText xml:space="preserve"> PAGE \* MERGEFORMAT </w:instrText>
                    </w:r>
                    <w:r>
                      <w:fldChar w:fldCharType="separate"/>
                    </w:r>
                    <w:r>
                      <w:rPr>
                        <w:sz w:val="16"/>
                        <w:szCs w:val="16"/>
                      </w:rPr>
                      <w:t>#</w:t>
                    </w:r>
                    <w:r>
                      <w:rPr>
                        <w:sz w:val="16"/>
                        <w:szCs w:val="1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825152" behindDoc="1" locked="0" layoutInCell="1" allowOverlap="1" wp14:anchorId="7E6C7C85" wp14:editId="22F2017D">
              <wp:simplePos x="0" y="0"/>
              <wp:positionH relativeFrom="page">
                <wp:posOffset>530225</wp:posOffset>
              </wp:positionH>
              <wp:positionV relativeFrom="page">
                <wp:posOffset>419100</wp:posOffset>
              </wp:positionV>
              <wp:extent cx="4358640" cy="0"/>
              <wp:effectExtent l="0" t="0" r="0" b="0"/>
              <wp:wrapNone/>
              <wp:docPr id="1762" name="Shape 1762"/>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4CAFD8F5" id="_x0000_t32" coordsize="21600,21600" o:spt="32" o:oned="t" path="m,l21600,21600e" filled="f">
              <v:path arrowok="t" fillok="f" o:connecttype="none"/>
              <o:lock v:ext="edit" shapetype="t"/>
            </v:shapetype>
            <v:shape id="Shape 1762" o:spid="_x0000_s1026" type="#_x0000_t32" style="position:absolute;margin-left:41.75pt;margin-top:33pt;width:343.2pt;height:0;z-index:-25149132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" strokeweight="1pt">
              <w10:wrap anchorx="page" anchory="page"/>
            </v:shape>
          </w:pict>
        </mc:Fallback>
      </mc:AlternateContent>
    </w:r>
  </w:p>
</w:hdr>
</file>

<file path=word/header1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64DB1" w14:textId="77777777" w:rsidR="00D03C17" w:rsidRDefault="00D03C17">
    <w:pPr>
      <w:spacing w:line="1" w:lineRule="exact"/>
    </w:pPr>
    <w:r>
      <w:rPr>
        <w:noProof/>
      </w:rPr>
      <mc:AlternateContent>
        <mc:Choice Requires="wps">
          <w:drawing>
            <wp:anchor distT="0" distB="0" distL="0" distR="0" simplePos="0" relativeHeight="252028928" behindDoc="1" locked="0" layoutInCell="1" allowOverlap="1" wp14:anchorId="392FE5F6" wp14:editId="7D95E821">
              <wp:simplePos x="0" y="0"/>
              <wp:positionH relativeFrom="page">
                <wp:posOffset>984250</wp:posOffset>
              </wp:positionH>
              <wp:positionV relativeFrom="page">
                <wp:posOffset>311150</wp:posOffset>
              </wp:positionV>
              <wp:extent cx="3883025" cy="79375"/>
              <wp:effectExtent l="0" t="0" r="0" b="0"/>
              <wp:wrapNone/>
              <wp:docPr id="1757" name="Shape 1757"/>
              <wp:cNvGraphicFramePr/>
              <a:graphic xmlns:a="http://schemas.openxmlformats.org/drawingml/2006/main">
                <a:graphicData uri="http://schemas.microsoft.com/office/word/2010/wordprocessingShape">
                  <wps:wsp>
                    <wps:cNvSpPr txBox="1"/>
                    <wps:spPr>
                      <a:xfrm>
                        <a:off x="0" y="0"/>
                        <a:ext cx="3883025" cy="79375"/>
                      </a:xfrm>
                      <a:prstGeom prst="rect">
                        <a:avLst/>
                      </a:prstGeom>
                      <a:noFill/>
                    </wps:spPr>
                    <wps:txbx>
                      <w:txbxContent>
                        <w:p w14:paraId="6594B812" w14:textId="77777777" w:rsidR="00D03C17" w:rsidRDefault="00D03C17">
                          <w:pPr>
                            <w:pStyle w:val="Headerorfooter0"/>
                            <w:tabs>
                              <w:tab w:val="right" w:pos="6115"/>
                            </w:tabs>
                            <w:rPr>
                              <w:sz w:val="16"/>
                              <w:szCs w:val="16"/>
                            </w:rPr>
                          </w:pPr>
                          <w:r>
                            <w:t xml:space="preserve">YERSINIA ENTEROCOLITICA Y </w:t>
                          </w:r>
                          <w:r>
                            <w:rPr>
                              <w:i/>
                              <w:iCs/>
                              <w:sz w:val="13"/>
                              <w:szCs w:val="13"/>
                            </w:rPr>
                            <w:t>YERSINIA PSEUDOTUBERCULOSIS</w:t>
                          </w:r>
                          <w:r>
                            <w:rPr>
                              <w:i/>
                              <w:iCs/>
                            </w:rPr>
                            <w:t>,</w:t>
                          </w:r>
                          <w:r>
                            <w:t xml:space="preserve"> INFECCIONES</w:t>
                          </w:r>
                          <w:r>
                            <w:tab/>
                          </w:r>
                          <w:r>
                            <w:fldChar w:fldCharType="begin"/>
                          </w:r>
                          <w:r>
                            <w:instrText xml:space="preserve"> PAGE \* MERGEFORMAT </w:instrText>
                          </w:r>
                          <w:r>
                            <w:fldChar w:fldCharType="separate"/>
                          </w:r>
                          <w:r>
                            <w:rPr>
                              <w:sz w:val="16"/>
                              <w:szCs w:val="16"/>
                            </w:rPr>
                            <w:t>#</w:t>
                          </w:r>
                          <w:r>
                            <w:rPr>
                              <w:sz w:val="16"/>
                              <w:szCs w:val="16"/>
                            </w:rPr>
                            <w:fldChar w:fldCharType="end"/>
                          </w:r>
                        </w:p>
                      </w:txbxContent>
                    </wps:txbx>
                    <wps:bodyPr lIns="0" tIns="0" rIns="0" bIns="0">
                      <a:spAutoFit/>
                    </wps:bodyPr>
                  </wps:wsp>
                </a:graphicData>
              </a:graphic>
            </wp:anchor>
          </w:drawing>
        </mc:Choice>
        <mc:Fallback>
          <w:pict>
            <v:shapetype w14:anchorId="392FE5F6" id="_x0000_t202" coordsize="21600,21600" o:spt="202" path="m,l,21600r21600,l21600,xe">
              <v:stroke joinstyle="miter"/>
              <v:path gradientshapeok="t" o:connecttype="rect"/>
            </v:shapetype>
            <v:shape id="Shape 1757" o:spid="_x0000_s1219" type="#_x0000_t202" style="position:absolute;margin-left:77.5pt;margin-top:24.5pt;width:305.75pt;height:6.25pt;z-index:-251287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" filled="f" stroked="f">
              <v:textbox style="mso-fit-shape-to-text:t" inset="0,0,0,0">
                <w:txbxContent>
                  <w:p w14:paraId="6594B812" w14:textId="77777777" w:rsidR="00D03C17" w:rsidRDefault="00D03C17">
                    <w:pPr>
                      <w:pStyle w:val="Headerorfooter0"/>
                      <w:tabs>
                        <w:tab w:val="right" w:pos="6115"/>
                      </w:tabs>
                      <w:rPr>
                        <w:sz w:val="16"/>
                        <w:szCs w:val="16"/>
                      </w:rPr>
                    </w:pPr>
                    <w:r>
                      <w:t xml:space="preserve">YERSINIA ENTEROCOLITICA Y </w:t>
                    </w:r>
                    <w:r>
                      <w:rPr>
                        <w:i/>
                        <w:iCs/>
                        <w:sz w:val="13"/>
                        <w:szCs w:val="13"/>
                      </w:rPr>
                      <w:t>YERSINIA PSEUDOTUBERCULOSIS</w:t>
                    </w:r>
                    <w:r>
                      <w:rPr>
                        <w:i/>
                        <w:iCs/>
                      </w:rPr>
                      <w:t>,</w:t>
                    </w:r>
                    <w:r>
                      <w:t xml:space="preserve"> INFECCIONES</w:t>
                    </w:r>
                    <w:r>
                      <w:tab/>
                    </w:r>
                    <w:r>
                      <w:fldChar w:fldCharType="begin"/>
                    </w:r>
                    <w:r>
                      <w:instrText xml:space="preserve"> PAGE \* MERGEFORMAT </w:instrText>
                    </w:r>
                    <w:r>
                      <w:fldChar w:fldCharType="separate"/>
                    </w:r>
                    <w:r>
                      <w:rPr>
                        <w:sz w:val="16"/>
                        <w:szCs w:val="16"/>
                      </w:rPr>
                      <w:t>#</w:t>
                    </w:r>
                    <w:r>
                      <w:rPr>
                        <w:sz w:val="16"/>
                        <w:szCs w:val="1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824128" behindDoc="1" locked="0" layoutInCell="1" allowOverlap="1" wp14:anchorId="7AF72B0D" wp14:editId="773B95AB">
              <wp:simplePos x="0" y="0"/>
              <wp:positionH relativeFrom="page">
                <wp:posOffset>530225</wp:posOffset>
              </wp:positionH>
              <wp:positionV relativeFrom="page">
                <wp:posOffset>419100</wp:posOffset>
              </wp:positionV>
              <wp:extent cx="4358640" cy="0"/>
              <wp:effectExtent l="0" t="0" r="0" b="0"/>
              <wp:wrapNone/>
              <wp:docPr id="1759" name="Shape 1759"/>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0F78E4BC" id="_x0000_t32" coordsize="21600,21600" o:spt="32" o:oned="t" path="m,l21600,21600e" filled="f">
              <v:path arrowok="t" fillok="f" o:connecttype="none"/>
              <o:lock v:ext="edit" shapetype="t"/>
            </v:shapetype>
            <v:shape id="Shape 1759" o:spid="_x0000_s1026" type="#_x0000_t32" style="position:absolute;margin-left:41.75pt;margin-top:33pt;width:343.2pt;height:0;z-index:-25149235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" strokeweight="1pt">
              <w10:wrap anchorx="page" anchory="page"/>
            </v:shape>
          </w:pict>
        </mc:Fallback>
      </mc:AlternateContent>
    </w:r>
  </w:p>
</w:hdr>
</file>

<file path=word/header1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6653A" w14:textId="77777777" w:rsidR="00D03C17" w:rsidRDefault="00D03C17">
    <w:pPr>
      <w:spacing w:line="1" w:lineRule="exact"/>
    </w:pPr>
    <w:r>
      <w:rPr>
        <w:noProof/>
      </w:rPr>
      <mc:AlternateContent>
        <mc:Choice Requires="wps">
          <w:drawing>
            <wp:anchor distT="0" distB="0" distL="0" distR="0" simplePos="0" relativeHeight="252032000" behindDoc="1" locked="0" layoutInCell="1" allowOverlap="1" wp14:anchorId="43E9BC61" wp14:editId="78ECA76E">
              <wp:simplePos x="0" y="0"/>
              <wp:positionH relativeFrom="page">
                <wp:posOffset>548640</wp:posOffset>
              </wp:positionH>
              <wp:positionV relativeFrom="page">
                <wp:posOffset>311150</wp:posOffset>
              </wp:positionV>
              <wp:extent cx="2557145" cy="69850"/>
              <wp:effectExtent l="0" t="0" r="0" b="0"/>
              <wp:wrapNone/>
              <wp:docPr id="1766" name="Shape 1766"/>
              <wp:cNvGraphicFramePr/>
              <a:graphic xmlns:a="http://schemas.openxmlformats.org/drawingml/2006/main">
                <a:graphicData uri="http://schemas.microsoft.com/office/word/2010/wordprocessingShape">
                  <wps:wsp>
                    <wps:cNvSpPr txBox="1"/>
                    <wps:spPr>
                      <a:xfrm>
                        <a:off x="0" y="0"/>
                        <a:ext cx="2557145" cy="69850"/>
                      </a:xfrm>
                      <a:prstGeom prst="rect">
                        <a:avLst/>
                      </a:prstGeom>
                      <a:noFill/>
                    </wps:spPr>
                    <wps:txbx>
                      <w:txbxContent>
                        <w:p w14:paraId="17A0C6D2" w14:textId="77777777" w:rsidR="00D03C17" w:rsidRDefault="00D03C17">
                          <w:pPr>
                            <w:pStyle w:val="Headerorfooter0"/>
                            <w:tabs>
                              <w:tab w:val="right" w:pos="4027"/>
                            </w:tabs>
                          </w:pPr>
                          <w:r>
                            <w:rPr>
                              <w:sz w:val="16"/>
                              <w:szCs w:val="16"/>
                            </w:rPr>
                            <w:t>306</w:t>
                          </w:r>
                          <w:r>
                            <w:rPr>
                              <w:sz w:val="16"/>
                              <w:szCs w:val="16"/>
                            </w:rPr>
                            <w:tab/>
                          </w:r>
                          <w:r>
                            <w:t>ESPOROTRICOSIS</w:t>
                          </w:r>
                        </w:p>
                      </w:txbxContent>
                    </wps:txbx>
                    <wps:bodyPr lIns="0" tIns="0" rIns="0" bIns="0">
                      <a:spAutoFit/>
                    </wps:bodyPr>
                  </wps:wsp>
                </a:graphicData>
              </a:graphic>
            </wp:anchor>
          </w:drawing>
        </mc:Choice>
        <mc:Fallback>
          <w:pict>
            <v:shapetype w14:anchorId="43E9BC61" id="_x0000_t202" coordsize="21600,21600" o:spt="202" path="m,l,21600r21600,l21600,xe">
              <v:stroke joinstyle="miter"/>
              <v:path gradientshapeok="t" o:connecttype="rect"/>
            </v:shapetype>
            <v:shape id="Shape 1766" o:spid="_x0000_s1220" type="#_x0000_t202" style="position:absolute;margin-left:43.2pt;margin-top:24.5pt;width:201.35pt;height:5.5pt;z-index:-251284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" filled="f" stroked="f">
              <v:textbox style="mso-fit-shape-to-text:t" inset="0,0,0,0">
                <w:txbxContent>
                  <w:p w14:paraId="17A0C6D2" w14:textId="77777777" w:rsidR="00D03C17" w:rsidRDefault="00D03C17">
                    <w:pPr>
                      <w:pStyle w:val="Headerorfooter0"/>
                      <w:tabs>
                        <w:tab w:val="right" w:pos="4027"/>
                      </w:tabs>
                    </w:pPr>
                    <w:r>
                      <w:rPr>
                        <w:sz w:val="16"/>
                        <w:szCs w:val="16"/>
                      </w:rPr>
                      <w:t>306</w:t>
                    </w:r>
                    <w:r>
                      <w:rPr>
                        <w:sz w:val="16"/>
                        <w:szCs w:val="16"/>
                      </w:rPr>
                      <w:tab/>
                    </w:r>
                    <w:r>
                      <w:t>ESPOROTRICOSIS</w:t>
                    </w:r>
                  </w:p>
                </w:txbxContent>
              </v:textbox>
              <w10:wrap anchorx="page" anchory="page"/>
            </v:shape>
          </w:pict>
        </mc:Fallback>
      </mc:AlternateContent>
    </w:r>
    <w:r>
      <w:rPr>
        <w:noProof/>
      </w:rPr>
      <mc:AlternateContent>
        <mc:Choice Requires="wps">
          <w:drawing>
            <wp:anchor distT="0" distB="0" distL="114300" distR="114300" simplePos="0" relativeHeight="251827200" behindDoc="1" locked="0" layoutInCell="1" allowOverlap="1" wp14:anchorId="29E03121" wp14:editId="18C996BB">
              <wp:simplePos x="0" y="0"/>
              <wp:positionH relativeFrom="page">
                <wp:posOffset>533400</wp:posOffset>
              </wp:positionH>
              <wp:positionV relativeFrom="page">
                <wp:posOffset>419100</wp:posOffset>
              </wp:positionV>
              <wp:extent cx="4358640" cy="0"/>
              <wp:effectExtent l="0" t="0" r="0" b="0"/>
              <wp:wrapNone/>
              <wp:docPr id="1768" name="Shape 1768"/>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7365E8CD" id="_x0000_t32" coordsize="21600,21600" o:spt="32" o:oned="t" path="m,l21600,21600e" filled="f">
              <v:path arrowok="t" fillok="f" o:connecttype="none"/>
              <o:lock v:ext="edit" shapetype="t"/>
            </v:shapetype>
            <v:shape id="Shape 1768" o:spid="_x0000_s1026" type="#_x0000_t32" style="position:absolute;margin-left:42pt;margin-top:33pt;width:343.2pt;height:0;z-index:-25148928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" strokeweight="1pt">
              <w10:wrap anchorx="page" anchory="page"/>
            </v:shape>
          </w:pict>
        </mc:Fallback>
      </mc:AlternateContent>
    </w:r>
  </w:p>
</w:hdr>
</file>

<file path=word/header1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A9E70" w14:textId="77777777" w:rsidR="00D03C17" w:rsidRDefault="00D03C17">
    <w:pPr>
      <w:spacing w:line="1" w:lineRule="exact"/>
    </w:pPr>
    <w:r>
      <w:rPr>
        <w:noProof/>
      </w:rPr>
      <mc:AlternateContent>
        <mc:Choice Requires="wps">
          <w:drawing>
            <wp:anchor distT="0" distB="0" distL="0" distR="0" simplePos="0" relativeHeight="252030976" behindDoc="1" locked="0" layoutInCell="1" allowOverlap="1" wp14:anchorId="08A85250" wp14:editId="3C6A7A64">
              <wp:simplePos x="0" y="0"/>
              <wp:positionH relativeFrom="page">
                <wp:posOffset>548640</wp:posOffset>
              </wp:positionH>
              <wp:positionV relativeFrom="page">
                <wp:posOffset>311150</wp:posOffset>
              </wp:positionV>
              <wp:extent cx="2557145" cy="69850"/>
              <wp:effectExtent l="0" t="0" r="0" b="0"/>
              <wp:wrapNone/>
              <wp:docPr id="1763" name="Shape 1763"/>
              <wp:cNvGraphicFramePr/>
              <a:graphic xmlns:a="http://schemas.openxmlformats.org/drawingml/2006/main">
                <a:graphicData uri="http://schemas.microsoft.com/office/word/2010/wordprocessingShape">
                  <wps:wsp>
                    <wps:cNvSpPr txBox="1"/>
                    <wps:spPr>
                      <a:xfrm>
                        <a:off x="0" y="0"/>
                        <a:ext cx="2557145" cy="69850"/>
                      </a:xfrm>
                      <a:prstGeom prst="rect">
                        <a:avLst/>
                      </a:prstGeom>
                      <a:noFill/>
                    </wps:spPr>
                    <wps:txbx>
                      <w:txbxContent>
                        <w:p w14:paraId="05F5185B" w14:textId="77777777" w:rsidR="00D03C17" w:rsidRDefault="00D03C17">
                          <w:pPr>
                            <w:pStyle w:val="Headerorfooter0"/>
                            <w:tabs>
                              <w:tab w:val="right" w:pos="4027"/>
                            </w:tabs>
                          </w:pPr>
                          <w:r>
                            <w:rPr>
                              <w:sz w:val="16"/>
                              <w:szCs w:val="16"/>
                            </w:rPr>
                            <w:t>306</w:t>
                          </w:r>
                          <w:r>
                            <w:rPr>
                              <w:sz w:val="16"/>
                              <w:szCs w:val="16"/>
                            </w:rPr>
                            <w:tab/>
                          </w:r>
                          <w:r>
                            <w:t>ESPOROTRICOSIS</w:t>
                          </w:r>
                        </w:p>
                      </w:txbxContent>
                    </wps:txbx>
                    <wps:bodyPr lIns="0" tIns="0" rIns="0" bIns="0">
                      <a:spAutoFit/>
                    </wps:bodyPr>
                  </wps:wsp>
                </a:graphicData>
              </a:graphic>
            </wp:anchor>
          </w:drawing>
        </mc:Choice>
        <mc:Fallback>
          <w:pict>
            <v:shapetype w14:anchorId="08A85250" id="_x0000_t202" coordsize="21600,21600" o:spt="202" path="m,l,21600r21600,l21600,xe">
              <v:stroke joinstyle="miter"/>
              <v:path gradientshapeok="t" o:connecttype="rect"/>
            </v:shapetype>
            <v:shape id="Shape 1763" o:spid="_x0000_s1221" type="#_x0000_t202" style="position:absolute;margin-left:43.2pt;margin-top:24.5pt;width:201.35pt;height:5.5pt;z-index:-251285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" filled="f" stroked="f">
              <v:textbox style="mso-fit-shape-to-text:t" inset="0,0,0,0">
                <w:txbxContent>
                  <w:p w14:paraId="05F5185B" w14:textId="77777777" w:rsidR="00D03C17" w:rsidRDefault="00D03C17">
                    <w:pPr>
                      <w:pStyle w:val="Headerorfooter0"/>
                      <w:tabs>
                        <w:tab w:val="right" w:pos="4027"/>
                      </w:tabs>
                    </w:pPr>
                    <w:r>
                      <w:rPr>
                        <w:sz w:val="16"/>
                        <w:szCs w:val="16"/>
                      </w:rPr>
                      <w:t>306</w:t>
                    </w:r>
                    <w:r>
                      <w:rPr>
                        <w:sz w:val="16"/>
                        <w:szCs w:val="16"/>
                      </w:rPr>
                      <w:tab/>
                    </w:r>
                    <w:r>
                      <w:t>ESPOROTRICOSIS</w:t>
                    </w:r>
                  </w:p>
                </w:txbxContent>
              </v:textbox>
              <w10:wrap anchorx="page" anchory="page"/>
            </v:shape>
          </w:pict>
        </mc:Fallback>
      </mc:AlternateContent>
    </w:r>
    <w:r>
      <w:rPr>
        <w:noProof/>
      </w:rPr>
      <mc:AlternateContent>
        <mc:Choice Requires="wps">
          <w:drawing>
            <wp:anchor distT="0" distB="0" distL="114300" distR="114300" simplePos="0" relativeHeight="251826176" behindDoc="1" locked="0" layoutInCell="1" allowOverlap="1" wp14:anchorId="5BE61210" wp14:editId="244FD172">
              <wp:simplePos x="0" y="0"/>
              <wp:positionH relativeFrom="page">
                <wp:posOffset>533400</wp:posOffset>
              </wp:positionH>
              <wp:positionV relativeFrom="page">
                <wp:posOffset>419100</wp:posOffset>
              </wp:positionV>
              <wp:extent cx="4358640" cy="0"/>
              <wp:effectExtent l="0" t="0" r="0" b="0"/>
              <wp:wrapNone/>
              <wp:docPr id="1765" name="Shape 1765"/>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6A2C2F70" id="_x0000_t32" coordsize="21600,21600" o:spt="32" o:oned="t" path="m,l21600,21600e" filled="f">
              <v:path arrowok="t" fillok="f" o:connecttype="none"/>
              <o:lock v:ext="edit" shapetype="t"/>
            </v:shapetype>
            <v:shape id="Shape 1765" o:spid="_x0000_s1026" type="#_x0000_t32" style="position:absolute;margin-left:42pt;margin-top:33pt;width:343.2pt;height:0;z-index:-25149030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" strokeweight="1pt">
              <w10:wrap anchorx="page" anchory="page"/>
            </v:shape>
          </w:pict>
        </mc:Fallback>
      </mc:AlternateContent>
    </w:r>
  </w:p>
</w:hdr>
</file>

<file path=word/header1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BB30B" w14:textId="77777777" w:rsidR="00D03C17" w:rsidRDefault="00D03C17">
    <w:pPr>
      <w:spacing w:line="1" w:lineRule="exact"/>
    </w:pPr>
    <w:r>
      <w:rPr>
        <w:noProof/>
      </w:rPr>
      <mc:AlternateContent>
        <mc:Choice Requires="wps">
          <w:drawing>
            <wp:anchor distT="0" distB="0" distL="0" distR="0" simplePos="0" relativeHeight="252033024" behindDoc="1" locked="0" layoutInCell="1" allowOverlap="1" wp14:anchorId="2522CFE4" wp14:editId="438E30A0">
              <wp:simplePos x="0" y="0"/>
              <wp:positionH relativeFrom="page">
                <wp:posOffset>2319020</wp:posOffset>
              </wp:positionH>
              <wp:positionV relativeFrom="page">
                <wp:posOffset>311150</wp:posOffset>
              </wp:positionV>
              <wp:extent cx="2545080" cy="69850"/>
              <wp:effectExtent l="0" t="0" r="0" b="0"/>
              <wp:wrapNone/>
              <wp:docPr id="1769" name="Shape 1769"/>
              <wp:cNvGraphicFramePr/>
              <a:graphic xmlns:a="http://schemas.openxmlformats.org/drawingml/2006/main">
                <a:graphicData uri="http://schemas.microsoft.com/office/word/2010/wordprocessingShape">
                  <wps:wsp>
                    <wps:cNvSpPr txBox="1"/>
                    <wps:spPr>
                      <a:xfrm>
                        <a:off x="0" y="0"/>
                        <a:ext cx="2545080" cy="69850"/>
                      </a:xfrm>
                      <a:prstGeom prst="rect">
                        <a:avLst/>
                      </a:prstGeom>
                      <a:noFill/>
                    </wps:spPr>
                    <wps:txbx>
                      <w:txbxContent>
                        <w:p w14:paraId="65A123CD" w14:textId="77777777" w:rsidR="00D03C17" w:rsidRDefault="00D03C17">
                          <w:pPr>
                            <w:pStyle w:val="Headerorfooter0"/>
                            <w:tabs>
                              <w:tab w:val="right" w:pos="4008"/>
                            </w:tabs>
                            <w:rPr>
                              <w:sz w:val="16"/>
                              <w:szCs w:val="16"/>
                            </w:rPr>
                          </w:pPr>
                          <w:r>
                            <w:rPr>
                              <w:i/>
                              <w:iCs/>
                              <w:sz w:val="13"/>
                              <w:szCs w:val="13"/>
                            </w:rPr>
                            <w:t>ESPOROTRICOSIS</w:t>
                          </w:r>
                          <w:r>
                            <w:rPr>
                              <w:i/>
                              <w:iCs/>
                              <w:sz w:val="13"/>
                              <w:szCs w:val="13"/>
                            </w:rPr>
                            <w:tab/>
                          </w:r>
                          <w:r>
                            <w:rPr>
                              <w:sz w:val="16"/>
                              <w:szCs w:val="16"/>
                            </w:rPr>
                            <w:t>305</w:t>
                          </w:r>
                        </w:p>
                      </w:txbxContent>
                    </wps:txbx>
                    <wps:bodyPr lIns="0" tIns="0" rIns="0" bIns="0">
                      <a:spAutoFit/>
                    </wps:bodyPr>
                  </wps:wsp>
                </a:graphicData>
              </a:graphic>
            </wp:anchor>
          </w:drawing>
        </mc:Choice>
        <mc:Fallback>
          <w:pict>
            <v:shapetype w14:anchorId="2522CFE4" id="_x0000_t202" coordsize="21600,21600" o:spt="202" path="m,l,21600r21600,l21600,xe">
              <v:stroke joinstyle="miter"/>
              <v:path gradientshapeok="t" o:connecttype="rect"/>
            </v:shapetype>
            <v:shape id="Shape 1769" o:spid="_x0000_s1222" type="#_x0000_t202" style="position:absolute;margin-left:182.6pt;margin-top:24.5pt;width:200.4pt;height:5.5pt;z-index:-251283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" filled="f" stroked="f">
              <v:textbox style="mso-fit-shape-to-text:t" inset="0,0,0,0">
                <w:txbxContent>
                  <w:p w14:paraId="65A123CD" w14:textId="77777777" w:rsidR="00D03C17" w:rsidRDefault="00D03C17">
                    <w:pPr>
                      <w:pStyle w:val="Headerorfooter0"/>
                      <w:tabs>
                        <w:tab w:val="right" w:pos="4008"/>
                      </w:tabs>
                      <w:rPr>
                        <w:sz w:val="16"/>
                        <w:szCs w:val="16"/>
                      </w:rPr>
                    </w:pPr>
                    <w:r>
                      <w:rPr>
                        <w:i/>
                        <w:iCs/>
                        <w:sz w:val="13"/>
                        <w:szCs w:val="13"/>
                      </w:rPr>
                      <w:t>ESPOROTRICOSIS</w:t>
                    </w:r>
                    <w:r>
                      <w:rPr>
                        <w:i/>
                        <w:iCs/>
                        <w:sz w:val="13"/>
                        <w:szCs w:val="13"/>
                      </w:rPr>
                      <w:tab/>
                    </w:r>
                    <w:r>
                      <w:rPr>
                        <w:sz w:val="16"/>
                        <w:szCs w:val="16"/>
                      </w:rPr>
                      <w:t>305</w:t>
                    </w:r>
                  </w:p>
                </w:txbxContent>
              </v:textbox>
              <w10:wrap anchorx="page" anchory="page"/>
            </v:shape>
          </w:pict>
        </mc:Fallback>
      </mc:AlternateContent>
    </w:r>
    <w:r>
      <w:rPr>
        <w:noProof/>
      </w:rPr>
      <mc:AlternateContent>
        <mc:Choice Requires="wps">
          <w:drawing>
            <wp:anchor distT="0" distB="0" distL="114300" distR="114300" simplePos="0" relativeHeight="251828224" behindDoc="1" locked="0" layoutInCell="1" allowOverlap="1" wp14:anchorId="40EC38F3" wp14:editId="41519F6A">
              <wp:simplePos x="0" y="0"/>
              <wp:positionH relativeFrom="page">
                <wp:posOffset>527050</wp:posOffset>
              </wp:positionH>
              <wp:positionV relativeFrom="page">
                <wp:posOffset>419100</wp:posOffset>
              </wp:positionV>
              <wp:extent cx="4358640" cy="0"/>
              <wp:effectExtent l="0" t="0" r="0" b="0"/>
              <wp:wrapNone/>
              <wp:docPr id="1771" name="Shape 1771"/>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345653D8" id="_x0000_t32" coordsize="21600,21600" o:spt="32" o:oned="t" path="m,l21600,21600e" filled="f">
              <v:path arrowok="t" fillok="f" o:connecttype="none"/>
              <o:lock v:ext="edit" shapetype="t"/>
            </v:shapetype>
            <v:shape id="Shape 1771" o:spid="_x0000_s1026" type="#_x0000_t32" style="position:absolute;margin-left:41.5pt;margin-top:33pt;width:343.2pt;height:0;z-index:-25148825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" strokeweight="1pt">
              <w10:wrap anchorx="page" anchory="page"/>
            </v:shape>
          </w:pict>
        </mc:Fallback>
      </mc:AlternateContent>
    </w:r>
  </w:p>
</w:hdr>
</file>

<file path=word/header1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09CC8" w14:textId="77777777" w:rsidR="00D03C17" w:rsidRDefault="00D03C17">
    <w:pPr>
      <w:spacing w:line="1" w:lineRule="exact"/>
    </w:pPr>
    <w:r>
      <w:rPr>
        <w:noProof/>
      </w:rPr>
      <mc:AlternateContent>
        <mc:Choice Requires="wps">
          <w:drawing>
            <wp:anchor distT="0" distB="0" distL="0" distR="0" simplePos="0" relativeHeight="252035072" behindDoc="1" locked="0" layoutInCell="1" allowOverlap="1" wp14:anchorId="735D76E1" wp14:editId="63A6799E">
              <wp:simplePos x="0" y="0"/>
              <wp:positionH relativeFrom="page">
                <wp:posOffset>1711325</wp:posOffset>
              </wp:positionH>
              <wp:positionV relativeFrom="page">
                <wp:posOffset>295910</wp:posOffset>
              </wp:positionV>
              <wp:extent cx="3169920" cy="94615"/>
              <wp:effectExtent l="0" t="0" r="0" b="0"/>
              <wp:wrapNone/>
              <wp:docPr id="1775" name="Shape 1775"/>
              <wp:cNvGraphicFramePr/>
              <a:graphic xmlns:a="http://schemas.openxmlformats.org/drawingml/2006/main">
                <a:graphicData uri="http://schemas.microsoft.com/office/word/2010/wordprocessingShape">
                  <wps:wsp>
                    <wps:cNvSpPr txBox="1"/>
                    <wps:spPr>
                      <a:xfrm>
                        <a:off x="0" y="0"/>
                        <a:ext cx="3169920" cy="94615"/>
                      </a:xfrm>
                      <a:prstGeom prst="rect">
                        <a:avLst/>
                      </a:prstGeom>
                      <a:noFill/>
                    </wps:spPr>
                    <wps:txbx>
                      <w:txbxContent>
                        <w:p w14:paraId="52CBBE86" w14:textId="77777777" w:rsidR="00D03C17" w:rsidRDefault="00D03C17">
                          <w:pPr>
                            <w:pStyle w:val="Headerorfooter0"/>
                            <w:tabs>
                              <w:tab w:val="right" w:pos="4992"/>
                            </w:tabs>
                            <w:rPr>
                              <w:sz w:val="16"/>
                              <w:szCs w:val="16"/>
                            </w:rPr>
                          </w:pPr>
                          <w:r>
                            <w:t>ESTAFILOCOCOS, INTOXICACIÓN ALIMENTARIA</w:t>
                          </w:r>
                          <w:r>
                            <w:tab/>
                          </w:r>
                          <w:r>
                            <w:rPr>
                              <w:sz w:val="16"/>
                              <w:szCs w:val="16"/>
                            </w:rPr>
                            <w:t>323</w:t>
                          </w:r>
                        </w:p>
                      </w:txbxContent>
                    </wps:txbx>
                    <wps:bodyPr lIns="0" tIns="0" rIns="0" bIns="0">
                      <a:spAutoFit/>
                    </wps:bodyPr>
                  </wps:wsp>
                </a:graphicData>
              </a:graphic>
            </wp:anchor>
          </w:drawing>
        </mc:Choice>
        <mc:Fallback>
          <w:pict>
            <v:shapetype w14:anchorId="735D76E1" id="_x0000_t202" coordsize="21600,21600" o:spt="202" path="m,l,21600r21600,l21600,xe">
              <v:stroke joinstyle="miter"/>
              <v:path gradientshapeok="t" o:connecttype="rect"/>
            </v:shapetype>
            <v:shape id="Shape 1775" o:spid="_x0000_s1223" type="#_x0000_t202" style="position:absolute;margin-left:134.75pt;margin-top:23.3pt;width:249.6pt;height:7.45pt;z-index:-251281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" filled="f" stroked="f">
              <v:textbox style="mso-fit-shape-to-text:t" inset="0,0,0,0">
                <w:txbxContent>
                  <w:p w14:paraId="52CBBE86" w14:textId="77777777" w:rsidR="00D03C17" w:rsidRDefault="00D03C17">
                    <w:pPr>
                      <w:pStyle w:val="Headerorfooter0"/>
                      <w:tabs>
                        <w:tab w:val="right" w:pos="4992"/>
                      </w:tabs>
                      <w:rPr>
                        <w:sz w:val="16"/>
                        <w:szCs w:val="16"/>
                      </w:rPr>
                    </w:pPr>
                    <w:r>
                      <w:t>ESTAFILOCOCOS, INTOXICACIÓN ALIMENTARIA</w:t>
                    </w:r>
                    <w:r>
                      <w:tab/>
                    </w:r>
                    <w:r>
                      <w:rPr>
                        <w:sz w:val="16"/>
                        <w:szCs w:val="16"/>
                      </w:rPr>
                      <w:t>323</w:t>
                    </w:r>
                  </w:p>
                </w:txbxContent>
              </v:textbox>
              <w10:wrap anchorx="page" anchory="page"/>
            </v:shape>
          </w:pict>
        </mc:Fallback>
      </mc:AlternateContent>
    </w:r>
    <w:r>
      <w:rPr>
        <w:noProof/>
      </w:rPr>
      <mc:AlternateContent>
        <mc:Choice Requires="wps">
          <w:drawing>
            <wp:anchor distT="0" distB="0" distL="114300" distR="114300" simplePos="0" relativeHeight="251830272" behindDoc="1" locked="0" layoutInCell="1" allowOverlap="1" wp14:anchorId="04948130" wp14:editId="502CB94C">
              <wp:simplePos x="0" y="0"/>
              <wp:positionH relativeFrom="page">
                <wp:posOffset>543560</wp:posOffset>
              </wp:positionH>
              <wp:positionV relativeFrom="page">
                <wp:posOffset>419100</wp:posOffset>
              </wp:positionV>
              <wp:extent cx="4358640" cy="0"/>
              <wp:effectExtent l="0" t="0" r="0" b="0"/>
              <wp:wrapNone/>
              <wp:docPr id="1777" name="Shape 1777"/>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479D27F8" id="_x0000_t32" coordsize="21600,21600" o:spt="32" o:oned="t" path="m,l21600,21600e" filled="f">
              <v:path arrowok="t" fillok="f" o:connecttype="none"/>
              <o:lock v:ext="edit" shapetype="t"/>
            </v:shapetype>
            <v:shape id="Shape 1777" o:spid="_x0000_s1026" type="#_x0000_t32" style="position:absolute;margin-left:42.8pt;margin-top:33pt;width:343.2pt;height:0;z-index:-25148620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" strokeweight="1pt">
              <w10:wrap anchorx="page" anchory="page"/>
            </v:shape>
          </w:pict>
        </mc:Fallback>
      </mc:AlternateContent>
    </w:r>
  </w:p>
</w:hdr>
</file>

<file path=word/header1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70149" w14:textId="77777777" w:rsidR="00D03C17" w:rsidRDefault="00D03C17">
    <w:pPr>
      <w:spacing w:line="1" w:lineRule="exact"/>
    </w:pPr>
    <w:r>
      <w:rPr>
        <w:noProof/>
      </w:rPr>
      <mc:AlternateContent>
        <mc:Choice Requires="wps">
          <w:drawing>
            <wp:anchor distT="0" distB="0" distL="0" distR="0" simplePos="0" relativeHeight="252034048" behindDoc="1" locked="0" layoutInCell="1" allowOverlap="1" wp14:anchorId="5ECD6E8D" wp14:editId="0A16FE2E">
              <wp:simplePos x="0" y="0"/>
              <wp:positionH relativeFrom="page">
                <wp:posOffset>1711325</wp:posOffset>
              </wp:positionH>
              <wp:positionV relativeFrom="page">
                <wp:posOffset>295910</wp:posOffset>
              </wp:positionV>
              <wp:extent cx="3169920" cy="94615"/>
              <wp:effectExtent l="0" t="0" r="0" b="0"/>
              <wp:wrapNone/>
              <wp:docPr id="1772" name="Shape 1772"/>
              <wp:cNvGraphicFramePr/>
              <a:graphic xmlns:a="http://schemas.openxmlformats.org/drawingml/2006/main">
                <a:graphicData uri="http://schemas.microsoft.com/office/word/2010/wordprocessingShape">
                  <wps:wsp>
                    <wps:cNvSpPr txBox="1"/>
                    <wps:spPr>
                      <a:xfrm>
                        <a:off x="0" y="0"/>
                        <a:ext cx="3169920" cy="94615"/>
                      </a:xfrm>
                      <a:prstGeom prst="rect">
                        <a:avLst/>
                      </a:prstGeom>
                      <a:noFill/>
                    </wps:spPr>
                    <wps:txbx>
                      <w:txbxContent>
                        <w:p w14:paraId="0AD14B29" w14:textId="77777777" w:rsidR="00D03C17" w:rsidRDefault="00D03C17">
                          <w:pPr>
                            <w:pStyle w:val="Headerorfooter0"/>
                            <w:tabs>
                              <w:tab w:val="right" w:pos="4992"/>
                            </w:tabs>
                            <w:rPr>
                              <w:sz w:val="16"/>
                              <w:szCs w:val="16"/>
                            </w:rPr>
                          </w:pPr>
                          <w:r>
                            <w:t>ESTAFILOCOCOS, INTOXICACIÓN ALIMENTARIA</w:t>
                          </w:r>
                          <w:r>
                            <w:tab/>
                          </w:r>
                          <w:r>
                            <w:rPr>
                              <w:sz w:val="16"/>
                              <w:szCs w:val="16"/>
                            </w:rPr>
                            <w:t>323</w:t>
                          </w:r>
                        </w:p>
                      </w:txbxContent>
                    </wps:txbx>
                    <wps:bodyPr lIns="0" tIns="0" rIns="0" bIns="0">
                      <a:spAutoFit/>
                    </wps:bodyPr>
                  </wps:wsp>
                </a:graphicData>
              </a:graphic>
            </wp:anchor>
          </w:drawing>
        </mc:Choice>
        <mc:Fallback>
          <w:pict>
            <v:shapetype w14:anchorId="5ECD6E8D" id="_x0000_t202" coordsize="21600,21600" o:spt="202" path="m,l,21600r21600,l21600,xe">
              <v:stroke joinstyle="miter"/>
              <v:path gradientshapeok="t" o:connecttype="rect"/>
            </v:shapetype>
            <v:shape id="Shape 1772" o:spid="_x0000_s1224" type="#_x0000_t202" style="position:absolute;margin-left:134.75pt;margin-top:23.3pt;width:249.6pt;height:7.45pt;z-index:-251282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" filled="f" stroked="f">
              <v:textbox style="mso-fit-shape-to-text:t" inset="0,0,0,0">
                <w:txbxContent>
                  <w:p w14:paraId="0AD14B29" w14:textId="77777777" w:rsidR="00D03C17" w:rsidRDefault="00D03C17">
                    <w:pPr>
                      <w:pStyle w:val="Headerorfooter0"/>
                      <w:tabs>
                        <w:tab w:val="right" w:pos="4992"/>
                      </w:tabs>
                      <w:rPr>
                        <w:sz w:val="16"/>
                        <w:szCs w:val="16"/>
                      </w:rPr>
                    </w:pPr>
                    <w:r>
                      <w:t>ESTAFILOCOCOS, INTOXICACIÓN ALIMENTARIA</w:t>
                    </w:r>
                    <w:r>
                      <w:tab/>
                    </w:r>
                    <w:r>
                      <w:rPr>
                        <w:sz w:val="16"/>
                        <w:szCs w:val="16"/>
                      </w:rPr>
                      <w:t>323</w:t>
                    </w:r>
                  </w:p>
                </w:txbxContent>
              </v:textbox>
              <w10:wrap anchorx="page" anchory="page"/>
            </v:shape>
          </w:pict>
        </mc:Fallback>
      </mc:AlternateContent>
    </w:r>
    <w:r>
      <w:rPr>
        <w:noProof/>
      </w:rPr>
      <mc:AlternateContent>
        <mc:Choice Requires="wps">
          <w:drawing>
            <wp:anchor distT="0" distB="0" distL="114300" distR="114300" simplePos="0" relativeHeight="251829248" behindDoc="1" locked="0" layoutInCell="1" allowOverlap="1" wp14:anchorId="2F21CDDB" wp14:editId="3EE3054E">
              <wp:simplePos x="0" y="0"/>
              <wp:positionH relativeFrom="page">
                <wp:posOffset>543560</wp:posOffset>
              </wp:positionH>
              <wp:positionV relativeFrom="page">
                <wp:posOffset>419100</wp:posOffset>
              </wp:positionV>
              <wp:extent cx="4358640" cy="0"/>
              <wp:effectExtent l="0" t="0" r="0" b="0"/>
              <wp:wrapNone/>
              <wp:docPr id="1774" name="Shape 1774"/>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458BC12B" id="_x0000_t32" coordsize="21600,21600" o:spt="32" o:oned="t" path="m,l21600,21600e" filled="f">
              <v:path arrowok="t" fillok="f" o:connecttype="none"/>
              <o:lock v:ext="edit" shapetype="t"/>
            </v:shapetype>
            <v:shape id="Shape 1774" o:spid="_x0000_s1026" type="#_x0000_t32" style="position:absolute;margin-left:42.8pt;margin-top:33pt;width:343.2pt;height:0;z-index:-25148723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" strokeweight="1pt">
              <w10:wrap anchorx="page" anchory="page"/>
            </v:shape>
          </w:pict>
        </mc:Fallback>
      </mc:AlternateContent>
    </w:r>
  </w:p>
</w:hdr>
</file>

<file path=word/header1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AAE7E" w14:textId="77777777" w:rsidR="00D03C17" w:rsidRDefault="00D03C17">
    <w:pPr>
      <w:spacing w:line="1" w:lineRule="exact"/>
    </w:pPr>
    <w:r>
      <w:rPr>
        <w:noProof/>
      </w:rPr>
      <mc:AlternateContent>
        <mc:Choice Requires="wps">
          <w:drawing>
            <wp:anchor distT="0" distB="0" distL="0" distR="0" simplePos="0" relativeHeight="252036096" behindDoc="1" locked="0" layoutInCell="1" allowOverlap="1" wp14:anchorId="264F4466" wp14:editId="49FFC656">
              <wp:simplePos x="0" y="0"/>
              <wp:positionH relativeFrom="page">
                <wp:posOffset>2272030</wp:posOffset>
              </wp:positionH>
              <wp:positionV relativeFrom="page">
                <wp:posOffset>311150</wp:posOffset>
              </wp:positionV>
              <wp:extent cx="2597150" cy="69850"/>
              <wp:effectExtent l="0" t="0" r="0" b="0"/>
              <wp:wrapNone/>
              <wp:docPr id="1778" name="Shape 1778"/>
              <wp:cNvGraphicFramePr/>
              <a:graphic xmlns:a="http://schemas.openxmlformats.org/drawingml/2006/main">
                <a:graphicData uri="http://schemas.microsoft.com/office/word/2010/wordprocessingShape">
                  <wps:wsp>
                    <wps:cNvSpPr txBox="1"/>
                    <wps:spPr>
                      <a:xfrm>
                        <a:off x="0" y="0"/>
                        <a:ext cx="2597150" cy="69850"/>
                      </a:xfrm>
                      <a:prstGeom prst="rect">
                        <a:avLst/>
                      </a:prstGeom>
                      <a:noFill/>
                    </wps:spPr>
                    <wps:txbx>
                      <w:txbxContent>
                        <w:p w14:paraId="36D2D0DF" w14:textId="77777777" w:rsidR="00D03C17" w:rsidRDefault="00D03C17">
                          <w:pPr>
                            <w:pStyle w:val="Headerorfooter0"/>
                            <w:tabs>
                              <w:tab w:val="right" w:pos="4090"/>
                            </w:tabs>
                            <w:rPr>
                              <w:sz w:val="16"/>
                              <w:szCs w:val="16"/>
                            </w:rPr>
                          </w:pPr>
                          <w:r>
                            <w:t>ESQUISTOSOMIASIS</w:t>
                          </w:r>
                          <w:r>
                            <w:tab/>
                          </w:r>
                          <w:r>
                            <w:rPr>
                              <w:sz w:val="16"/>
                              <w:szCs w:val="16"/>
                            </w:rPr>
                            <w:t>307</w:t>
                          </w:r>
                        </w:p>
                      </w:txbxContent>
                    </wps:txbx>
                    <wps:bodyPr lIns="0" tIns="0" rIns="0" bIns="0">
                      <a:spAutoFit/>
                    </wps:bodyPr>
                  </wps:wsp>
                </a:graphicData>
              </a:graphic>
            </wp:anchor>
          </w:drawing>
        </mc:Choice>
        <mc:Fallback>
          <w:pict>
            <v:shapetype w14:anchorId="264F4466" id="_x0000_t202" coordsize="21600,21600" o:spt="202" path="m,l,21600r21600,l21600,xe">
              <v:stroke joinstyle="miter"/>
              <v:path gradientshapeok="t" o:connecttype="rect"/>
            </v:shapetype>
            <v:shape id="Shape 1778" o:spid="_x0000_s1225" type="#_x0000_t202" style="position:absolute;margin-left:178.9pt;margin-top:24.5pt;width:204.5pt;height:5.5pt;z-index:-251280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" filled="f" stroked="f">
              <v:textbox style="mso-fit-shape-to-text:t" inset="0,0,0,0">
                <w:txbxContent>
                  <w:p w14:paraId="36D2D0DF" w14:textId="77777777" w:rsidR="00D03C17" w:rsidRDefault="00D03C17">
                    <w:pPr>
                      <w:pStyle w:val="Headerorfooter0"/>
                      <w:tabs>
                        <w:tab w:val="right" w:pos="4090"/>
                      </w:tabs>
                      <w:rPr>
                        <w:sz w:val="16"/>
                        <w:szCs w:val="16"/>
                      </w:rPr>
                    </w:pPr>
                    <w:r>
                      <w:t>ESQUISTOSOMIASIS</w:t>
                    </w:r>
                    <w:r>
                      <w:tab/>
                    </w:r>
                    <w:r>
                      <w:rPr>
                        <w:sz w:val="16"/>
                        <w:szCs w:val="16"/>
                      </w:rPr>
                      <w:t>307</w:t>
                    </w:r>
                  </w:p>
                </w:txbxContent>
              </v:textbox>
              <w10:wrap anchorx="page" anchory="page"/>
            </v:shape>
          </w:pict>
        </mc:Fallback>
      </mc:AlternateContent>
    </w:r>
    <w:r>
      <w:rPr>
        <w:noProof/>
      </w:rPr>
      <mc:AlternateContent>
        <mc:Choice Requires="wps">
          <w:drawing>
            <wp:anchor distT="0" distB="0" distL="114300" distR="114300" simplePos="0" relativeHeight="251831296" behindDoc="1" locked="0" layoutInCell="1" allowOverlap="1" wp14:anchorId="74689D71" wp14:editId="6C6CEDD6">
              <wp:simplePos x="0" y="0"/>
              <wp:positionH relativeFrom="page">
                <wp:posOffset>531495</wp:posOffset>
              </wp:positionH>
              <wp:positionV relativeFrom="page">
                <wp:posOffset>419100</wp:posOffset>
              </wp:positionV>
              <wp:extent cx="4358640" cy="0"/>
              <wp:effectExtent l="0" t="0" r="0" b="0"/>
              <wp:wrapNone/>
              <wp:docPr id="1780" name="Shape 1780"/>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0F3A2734" id="_x0000_t32" coordsize="21600,21600" o:spt="32" o:oned="t" path="m,l21600,21600e" filled="f">
              <v:path arrowok="t" fillok="f" o:connecttype="none"/>
              <o:lock v:ext="edit" shapetype="t"/>
            </v:shapetype>
            <v:shape id="Shape 1780" o:spid="_x0000_s1026" type="#_x0000_t32" style="position:absolute;margin-left:41.85pt;margin-top:33pt;width:343.2pt;height:0;z-index:-25148518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" strokeweight="1pt">
              <w10:wrap anchorx="page" anchory="page"/>
            </v:shape>
          </w:pict>
        </mc:Fallback>
      </mc:AlternateContent>
    </w:r>
  </w:p>
</w:hdr>
</file>

<file path=word/header1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7289B" w14:textId="77777777" w:rsidR="00D03C17" w:rsidRDefault="00D03C17">
    <w:pPr>
      <w:spacing w:line="1" w:lineRule="exact"/>
    </w:pPr>
    <w:r>
      <w:rPr>
        <w:noProof/>
      </w:rPr>
      <mc:AlternateContent>
        <mc:Choice Requires="wps">
          <w:drawing>
            <wp:anchor distT="0" distB="0" distL="0" distR="0" simplePos="0" relativeHeight="252038144" behindDoc="1" locked="0" layoutInCell="1" allowOverlap="1" wp14:anchorId="29ED1943" wp14:editId="07EEF62F">
              <wp:simplePos x="0" y="0"/>
              <wp:positionH relativeFrom="page">
                <wp:posOffset>546735</wp:posOffset>
              </wp:positionH>
              <wp:positionV relativeFrom="page">
                <wp:posOffset>295910</wp:posOffset>
              </wp:positionV>
              <wp:extent cx="3337560" cy="94615"/>
              <wp:effectExtent l="0" t="0" r="0" b="0"/>
              <wp:wrapNone/>
              <wp:docPr id="1784" name="Shape 1784"/>
              <wp:cNvGraphicFramePr/>
              <a:graphic xmlns:a="http://schemas.openxmlformats.org/drawingml/2006/main">
                <a:graphicData uri="http://schemas.microsoft.com/office/word/2010/wordprocessingShape">
                  <wps:wsp>
                    <wps:cNvSpPr txBox="1"/>
                    <wps:spPr>
                      <a:xfrm>
                        <a:off x="0" y="0"/>
                        <a:ext cx="3337560" cy="94615"/>
                      </a:xfrm>
                      <a:prstGeom prst="rect">
                        <a:avLst/>
                      </a:prstGeom>
                      <a:noFill/>
                    </wps:spPr>
                    <wps:txbx>
                      <w:txbxContent>
                        <w:p w14:paraId="36F8CE94" w14:textId="77777777" w:rsidR="00D03C17" w:rsidRDefault="00D03C17">
                          <w:pPr>
                            <w:pStyle w:val="Headerorfooter0"/>
                            <w:tabs>
                              <w:tab w:val="right" w:pos="5256"/>
                            </w:tabs>
                          </w:pPr>
                          <w:r>
                            <w:rPr>
                              <w:sz w:val="16"/>
                              <w:szCs w:val="16"/>
                            </w:rPr>
                            <w:t>324</w:t>
                          </w:r>
                          <w:r>
                            <w:rPr>
                              <w:sz w:val="16"/>
                              <w:szCs w:val="16"/>
                            </w:rPr>
                            <w:tab/>
                          </w:r>
                          <w:r>
                            <w:t>ESTREPTOCÓCICA Y ENTEROCÓCICAS, INFECCIONES</w:t>
                          </w:r>
                        </w:p>
                      </w:txbxContent>
                    </wps:txbx>
                    <wps:bodyPr lIns="0" tIns="0" rIns="0" bIns="0">
                      <a:spAutoFit/>
                    </wps:bodyPr>
                  </wps:wsp>
                </a:graphicData>
              </a:graphic>
            </wp:anchor>
          </w:drawing>
        </mc:Choice>
        <mc:Fallback>
          <w:pict>
            <v:shapetype w14:anchorId="29ED1943" id="_x0000_t202" coordsize="21600,21600" o:spt="202" path="m,l,21600r21600,l21600,xe">
              <v:stroke joinstyle="miter"/>
              <v:path gradientshapeok="t" o:connecttype="rect"/>
            </v:shapetype>
            <v:shape id="Shape 1784" o:spid="_x0000_s1226" type="#_x0000_t202" style="position:absolute;margin-left:43.05pt;margin-top:23.3pt;width:262.8pt;height:7.45pt;z-index:-251278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" filled="f" stroked="f">
              <v:textbox style="mso-fit-shape-to-text:t" inset="0,0,0,0">
                <w:txbxContent>
                  <w:p w14:paraId="36F8CE94" w14:textId="77777777" w:rsidR="00D03C17" w:rsidRDefault="00D03C17">
                    <w:pPr>
                      <w:pStyle w:val="Headerorfooter0"/>
                      <w:tabs>
                        <w:tab w:val="right" w:pos="5256"/>
                      </w:tabs>
                    </w:pPr>
                    <w:r>
                      <w:rPr>
                        <w:sz w:val="16"/>
                        <w:szCs w:val="16"/>
                      </w:rPr>
                      <w:t>324</w:t>
                    </w:r>
                    <w:r>
                      <w:rPr>
                        <w:sz w:val="16"/>
                        <w:szCs w:val="16"/>
                      </w:rPr>
                      <w:tab/>
                    </w:r>
                    <w:r>
                      <w:t>ESTREPTOCÓCICA Y ENTEROCÓCICAS, INFECCIONES</w:t>
                    </w:r>
                  </w:p>
                </w:txbxContent>
              </v:textbox>
              <w10:wrap anchorx="page" anchory="page"/>
            </v:shape>
          </w:pict>
        </mc:Fallback>
      </mc:AlternateContent>
    </w:r>
    <w:r>
      <w:rPr>
        <w:noProof/>
      </w:rPr>
      <mc:AlternateContent>
        <mc:Choice Requires="wps">
          <w:drawing>
            <wp:anchor distT="0" distB="0" distL="114300" distR="114300" simplePos="0" relativeHeight="251833344" behindDoc="1" locked="0" layoutInCell="1" allowOverlap="1" wp14:anchorId="7567308E" wp14:editId="12BE9C5E">
              <wp:simplePos x="0" y="0"/>
              <wp:positionH relativeFrom="page">
                <wp:posOffset>531495</wp:posOffset>
              </wp:positionH>
              <wp:positionV relativeFrom="page">
                <wp:posOffset>419100</wp:posOffset>
              </wp:positionV>
              <wp:extent cx="4358640" cy="0"/>
              <wp:effectExtent l="0" t="0" r="0" b="0"/>
              <wp:wrapNone/>
              <wp:docPr id="1786" name="Shape 1786"/>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21D2144B" id="_x0000_t32" coordsize="21600,21600" o:spt="32" o:oned="t" path="m,l21600,21600e" filled="f">
              <v:path arrowok="t" fillok="f" o:connecttype="none"/>
              <o:lock v:ext="edit" shapetype="t"/>
            </v:shapetype>
            <v:shape id="Shape 1786" o:spid="_x0000_s1026" type="#_x0000_t32" style="position:absolute;margin-left:41.85pt;margin-top:33pt;width:343.2pt;height:0;z-index:-25148313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" strokeweight="1pt">
              <w10:wrap anchorx="page" anchory="page"/>
            </v:shape>
          </w:pict>
        </mc:Fallback>
      </mc:AlternateContent>
    </w:r>
  </w:p>
</w:hdr>
</file>

<file path=word/header1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4319B" w14:textId="77777777" w:rsidR="00D03C17" w:rsidRDefault="00D03C17">
    <w:pPr>
      <w:spacing w:line="1" w:lineRule="exact"/>
    </w:pPr>
    <w:r>
      <w:rPr>
        <w:noProof/>
      </w:rPr>
      <mc:AlternateContent>
        <mc:Choice Requires="wps">
          <w:drawing>
            <wp:anchor distT="0" distB="0" distL="0" distR="0" simplePos="0" relativeHeight="252037120" behindDoc="1" locked="0" layoutInCell="1" allowOverlap="1" wp14:anchorId="35818177" wp14:editId="4450785D">
              <wp:simplePos x="0" y="0"/>
              <wp:positionH relativeFrom="page">
                <wp:posOffset>546735</wp:posOffset>
              </wp:positionH>
              <wp:positionV relativeFrom="page">
                <wp:posOffset>295910</wp:posOffset>
              </wp:positionV>
              <wp:extent cx="3337560" cy="94615"/>
              <wp:effectExtent l="0" t="0" r="0" b="0"/>
              <wp:wrapNone/>
              <wp:docPr id="1781" name="Shape 1781"/>
              <wp:cNvGraphicFramePr/>
              <a:graphic xmlns:a="http://schemas.openxmlformats.org/drawingml/2006/main">
                <a:graphicData uri="http://schemas.microsoft.com/office/word/2010/wordprocessingShape">
                  <wps:wsp>
                    <wps:cNvSpPr txBox="1"/>
                    <wps:spPr>
                      <a:xfrm>
                        <a:off x="0" y="0"/>
                        <a:ext cx="3337560" cy="94615"/>
                      </a:xfrm>
                      <a:prstGeom prst="rect">
                        <a:avLst/>
                      </a:prstGeom>
                      <a:noFill/>
                    </wps:spPr>
                    <wps:txbx>
                      <w:txbxContent>
                        <w:p w14:paraId="31BF7E5E" w14:textId="77777777" w:rsidR="00D03C17" w:rsidRDefault="00D03C17">
                          <w:pPr>
                            <w:pStyle w:val="Headerorfooter0"/>
                            <w:tabs>
                              <w:tab w:val="right" w:pos="5256"/>
                            </w:tabs>
                          </w:pPr>
                          <w:r>
                            <w:rPr>
                              <w:sz w:val="16"/>
                              <w:szCs w:val="16"/>
                            </w:rPr>
                            <w:t>324</w:t>
                          </w:r>
                          <w:r>
                            <w:rPr>
                              <w:sz w:val="16"/>
                              <w:szCs w:val="16"/>
                            </w:rPr>
                            <w:tab/>
                          </w:r>
                          <w:r>
                            <w:t>ESTREPTOCÓCICA Y ENTEROCÓCICAS, INFECCIONES</w:t>
                          </w:r>
                        </w:p>
                      </w:txbxContent>
                    </wps:txbx>
                    <wps:bodyPr lIns="0" tIns="0" rIns="0" bIns="0">
                      <a:spAutoFit/>
                    </wps:bodyPr>
                  </wps:wsp>
                </a:graphicData>
              </a:graphic>
            </wp:anchor>
          </w:drawing>
        </mc:Choice>
        <mc:Fallback>
          <w:pict>
            <v:shapetype w14:anchorId="35818177" id="_x0000_t202" coordsize="21600,21600" o:spt="202" path="m,l,21600r21600,l21600,xe">
              <v:stroke joinstyle="miter"/>
              <v:path gradientshapeok="t" o:connecttype="rect"/>
            </v:shapetype>
            <v:shape id="Shape 1781" o:spid="_x0000_s1227" type="#_x0000_t202" style="position:absolute;margin-left:43.05pt;margin-top:23.3pt;width:262.8pt;height:7.45pt;z-index:-251279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" filled="f" stroked="f">
              <v:textbox style="mso-fit-shape-to-text:t" inset="0,0,0,0">
                <w:txbxContent>
                  <w:p w14:paraId="31BF7E5E" w14:textId="77777777" w:rsidR="00D03C17" w:rsidRDefault="00D03C17">
                    <w:pPr>
                      <w:pStyle w:val="Headerorfooter0"/>
                      <w:tabs>
                        <w:tab w:val="right" w:pos="5256"/>
                      </w:tabs>
                    </w:pPr>
                    <w:r>
                      <w:rPr>
                        <w:sz w:val="16"/>
                        <w:szCs w:val="16"/>
                      </w:rPr>
                      <w:t>324</w:t>
                    </w:r>
                    <w:r>
                      <w:rPr>
                        <w:sz w:val="16"/>
                        <w:szCs w:val="16"/>
                      </w:rPr>
                      <w:tab/>
                    </w:r>
                    <w:r>
                      <w:t>ESTREPTOCÓCICA Y ENTEROCÓCICAS, INFECCIONES</w:t>
                    </w:r>
                  </w:p>
                </w:txbxContent>
              </v:textbox>
              <w10:wrap anchorx="page" anchory="page"/>
            </v:shape>
          </w:pict>
        </mc:Fallback>
      </mc:AlternateContent>
    </w:r>
    <w:r>
      <w:rPr>
        <w:noProof/>
      </w:rPr>
      <mc:AlternateContent>
        <mc:Choice Requires="wps">
          <w:drawing>
            <wp:anchor distT="0" distB="0" distL="114300" distR="114300" simplePos="0" relativeHeight="251832320" behindDoc="1" locked="0" layoutInCell="1" allowOverlap="1" wp14:anchorId="5E266239" wp14:editId="019307C4">
              <wp:simplePos x="0" y="0"/>
              <wp:positionH relativeFrom="page">
                <wp:posOffset>531495</wp:posOffset>
              </wp:positionH>
              <wp:positionV relativeFrom="page">
                <wp:posOffset>419100</wp:posOffset>
              </wp:positionV>
              <wp:extent cx="4358640" cy="0"/>
              <wp:effectExtent l="0" t="0" r="0" b="0"/>
              <wp:wrapNone/>
              <wp:docPr id="1783" name="Shape 1783"/>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0D21E152" id="_x0000_t32" coordsize="21600,21600" o:spt="32" o:oned="t" path="m,l21600,21600e" filled="f">
              <v:path arrowok="t" fillok="f" o:connecttype="none"/>
              <o:lock v:ext="edit" shapetype="t"/>
            </v:shapetype>
            <v:shape id="Shape 1783" o:spid="_x0000_s1026" type="#_x0000_t32" style="position:absolute;margin-left:41.85pt;margin-top:33pt;width:343.2pt;height:0;z-index:-25148416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" strokeweight="1pt">
              <w10:wrap anchorx="page" anchory="page"/>
            </v:shape>
          </w:pict>
        </mc:Fallback>
      </mc:AlternateContent>
    </w:r>
  </w:p>
</w:hdr>
</file>

<file path=word/header1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2BFC3" w14:textId="77777777" w:rsidR="00D03C17" w:rsidRDefault="00D03C17">
    <w:pPr>
      <w:spacing w:line="1" w:lineRule="exact"/>
    </w:pPr>
    <w:r>
      <w:rPr>
        <w:noProof/>
      </w:rPr>
      <mc:AlternateContent>
        <mc:Choice Requires="wps">
          <w:drawing>
            <wp:anchor distT="0" distB="0" distL="0" distR="0" simplePos="0" relativeHeight="252040192" behindDoc="1" locked="0" layoutInCell="1" allowOverlap="1" wp14:anchorId="009DA2A1" wp14:editId="3A74A559">
              <wp:simplePos x="0" y="0"/>
              <wp:positionH relativeFrom="page">
                <wp:posOffset>548640</wp:posOffset>
              </wp:positionH>
              <wp:positionV relativeFrom="page">
                <wp:posOffset>308610</wp:posOffset>
              </wp:positionV>
              <wp:extent cx="2861945" cy="79375"/>
              <wp:effectExtent l="0" t="0" r="0" b="0"/>
              <wp:wrapNone/>
              <wp:docPr id="1790" name="Shape 1790"/>
              <wp:cNvGraphicFramePr/>
              <a:graphic xmlns:a="http://schemas.openxmlformats.org/drawingml/2006/main">
                <a:graphicData uri="http://schemas.microsoft.com/office/word/2010/wordprocessingShape">
                  <wps:wsp>
                    <wps:cNvSpPr txBox="1"/>
                    <wps:spPr>
                      <a:xfrm>
                        <a:off x="0" y="0"/>
                        <a:ext cx="2861945" cy="79375"/>
                      </a:xfrm>
                      <a:prstGeom prst="rect">
                        <a:avLst/>
                      </a:prstGeom>
                      <a:noFill/>
                    </wps:spPr>
                    <wps:txbx>
                      <w:txbxContent>
                        <w:p w14:paraId="612C7DBE" w14:textId="77777777" w:rsidR="00D03C17" w:rsidRDefault="00D03C17">
                          <w:pPr>
                            <w:pStyle w:val="Headerorfooter0"/>
                            <w:tabs>
                              <w:tab w:val="right" w:pos="4507"/>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ESTAFILOCOCOS, INFECCIONES</w:t>
                          </w:r>
                        </w:p>
                      </w:txbxContent>
                    </wps:txbx>
                    <wps:bodyPr lIns="0" tIns="0" rIns="0" bIns="0">
                      <a:spAutoFit/>
                    </wps:bodyPr>
                  </wps:wsp>
                </a:graphicData>
              </a:graphic>
            </wp:anchor>
          </w:drawing>
        </mc:Choice>
        <mc:Fallback>
          <w:pict>
            <v:shapetype w14:anchorId="009DA2A1" id="_x0000_t202" coordsize="21600,21600" o:spt="202" path="m,l,21600r21600,l21600,xe">
              <v:stroke joinstyle="miter"/>
              <v:path gradientshapeok="t" o:connecttype="rect"/>
            </v:shapetype>
            <v:shape id="Shape 1790" o:spid="_x0000_s1228" type="#_x0000_t202" style="position:absolute;margin-left:43.2pt;margin-top:24.3pt;width:225.35pt;height:6.25pt;z-index:-251276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" filled="f" stroked="f">
              <v:textbox style="mso-fit-shape-to-text:t" inset="0,0,0,0">
                <w:txbxContent>
                  <w:p w14:paraId="612C7DBE" w14:textId="77777777" w:rsidR="00D03C17" w:rsidRDefault="00D03C17">
                    <w:pPr>
                      <w:pStyle w:val="Headerorfooter0"/>
                      <w:tabs>
                        <w:tab w:val="right" w:pos="4507"/>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ESTAFILOCOCOS, INFECCIONES</w:t>
                    </w:r>
                  </w:p>
                </w:txbxContent>
              </v:textbox>
              <w10:wrap anchorx="page" anchory="page"/>
            </v:shape>
          </w:pict>
        </mc:Fallback>
      </mc:AlternateContent>
    </w:r>
    <w:r>
      <w:rPr>
        <w:noProof/>
      </w:rPr>
      <mc:AlternateContent>
        <mc:Choice Requires="wps">
          <w:drawing>
            <wp:anchor distT="0" distB="0" distL="114300" distR="114300" simplePos="0" relativeHeight="251835392" behindDoc="1" locked="0" layoutInCell="1" allowOverlap="1" wp14:anchorId="27F828C7" wp14:editId="76411290">
              <wp:simplePos x="0" y="0"/>
              <wp:positionH relativeFrom="page">
                <wp:posOffset>533400</wp:posOffset>
              </wp:positionH>
              <wp:positionV relativeFrom="page">
                <wp:posOffset>419100</wp:posOffset>
              </wp:positionV>
              <wp:extent cx="4358640" cy="0"/>
              <wp:effectExtent l="0" t="0" r="0" b="0"/>
              <wp:wrapNone/>
              <wp:docPr id="1792" name="Shape 1792"/>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73FFBA18" id="_x0000_t32" coordsize="21600,21600" o:spt="32" o:oned="t" path="m,l21600,21600e" filled="f">
              <v:path arrowok="t" fillok="f" o:connecttype="none"/>
              <o:lock v:ext="edit" shapetype="t"/>
            </v:shapetype>
            <v:shape id="Shape 1792" o:spid="_x0000_s1026" type="#_x0000_t32" style="position:absolute;margin-left:42pt;margin-top:33pt;width:343.2pt;height:0;z-index:-25148108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" strokeweight="1pt">
              <w10:wrap anchorx="page" anchory="page"/>
            </v:shape>
          </w:pict>
        </mc:Fallback>
      </mc:AlternateContent>
    </w:r>
  </w:p>
</w:hdr>
</file>

<file path=word/header1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1A50D" w14:textId="77777777" w:rsidR="00D03C17" w:rsidRDefault="00D03C17">
    <w:pPr>
      <w:spacing w:line="1" w:lineRule="exact"/>
    </w:pPr>
    <w:r>
      <w:rPr>
        <w:noProof/>
      </w:rPr>
      <mc:AlternateContent>
        <mc:Choice Requires="wps">
          <w:drawing>
            <wp:anchor distT="0" distB="0" distL="0" distR="0" simplePos="0" relativeHeight="252039168" behindDoc="1" locked="0" layoutInCell="1" allowOverlap="1" wp14:anchorId="397207F6" wp14:editId="66A846B3">
              <wp:simplePos x="0" y="0"/>
              <wp:positionH relativeFrom="page">
                <wp:posOffset>2012950</wp:posOffset>
              </wp:positionH>
              <wp:positionV relativeFrom="page">
                <wp:posOffset>308610</wp:posOffset>
              </wp:positionV>
              <wp:extent cx="2853055" cy="79375"/>
              <wp:effectExtent l="0" t="0" r="0" b="0"/>
              <wp:wrapNone/>
              <wp:docPr id="1787" name="Shape 1787"/>
              <wp:cNvGraphicFramePr/>
              <a:graphic xmlns:a="http://schemas.openxmlformats.org/drawingml/2006/main">
                <a:graphicData uri="http://schemas.microsoft.com/office/word/2010/wordprocessingShape">
                  <wps:wsp>
                    <wps:cNvSpPr txBox="1"/>
                    <wps:spPr>
                      <a:xfrm>
                        <a:off x="0" y="0"/>
                        <a:ext cx="2853055" cy="79375"/>
                      </a:xfrm>
                      <a:prstGeom prst="rect">
                        <a:avLst/>
                      </a:prstGeom>
                      <a:noFill/>
                    </wps:spPr>
                    <wps:txbx>
                      <w:txbxContent>
                        <w:p w14:paraId="07034BE1" w14:textId="77777777" w:rsidR="00D03C17" w:rsidRDefault="00D03C17">
                          <w:pPr>
                            <w:pStyle w:val="Headerorfooter0"/>
                            <w:tabs>
                              <w:tab w:val="right" w:pos="4493"/>
                            </w:tabs>
                            <w:rPr>
                              <w:sz w:val="16"/>
                              <w:szCs w:val="16"/>
                            </w:rPr>
                          </w:pPr>
                          <w:r>
                            <w:t>ESTAFILOCOCOS, INFECCIONES</w:t>
                          </w:r>
                          <w:r>
                            <w:tab/>
                          </w:r>
                          <w:r>
                            <w:fldChar w:fldCharType="begin"/>
                          </w:r>
                          <w:r>
                            <w:instrText xml:space="preserve"> PAGE \* MERGEFORMAT </w:instrText>
                          </w:r>
                          <w:r>
                            <w:fldChar w:fldCharType="separate"/>
                          </w:r>
                          <w:r>
                            <w:rPr>
                              <w:sz w:val="16"/>
                              <w:szCs w:val="16"/>
                            </w:rPr>
                            <w:t>#</w:t>
                          </w:r>
                          <w:r>
                            <w:rPr>
                              <w:sz w:val="16"/>
                              <w:szCs w:val="16"/>
                            </w:rPr>
                            <w:fldChar w:fldCharType="end"/>
                          </w:r>
                        </w:p>
                      </w:txbxContent>
                    </wps:txbx>
                    <wps:bodyPr lIns="0" tIns="0" rIns="0" bIns="0">
                      <a:spAutoFit/>
                    </wps:bodyPr>
                  </wps:wsp>
                </a:graphicData>
              </a:graphic>
            </wp:anchor>
          </w:drawing>
        </mc:Choice>
        <mc:Fallback>
          <w:pict>
            <v:shapetype w14:anchorId="397207F6" id="_x0000_t202" coordsize="21600,21600" o:spt="202" path="m,l,21600r21600,l21600,xe">
              <v:stroke joinstyle="miter"/>
              <v:path gradientshapeok="t" o:connecttype="rect"/>
            </v:shapetype>
            <v:shape id="Shape 1787" o:spid="_x0000_s1229" type="#_x0000_t202" style="position:absolute;margin-left:158.5pt;margin-top:24.3pt;width:224.65pt;height:6.25pt;z-index:-251277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" filled="f" stroked="f">
              <v:textbox style="mso-fit-shape-to-text:t" inset="0,0,0,0">
                <w:txbxContent>
                  <w:p w14:paraId="07034BE1" w14:textId="77777777" w:rsidR="00D03C17" w:rsidRDefault="00D03C17">
                    <w:pPr>
                      <w:pStyle w:val="Headerorfooter0"/>
                      <w:tabs>
                        <w:tab w:val="right" w:pos="4493"/>
                      </w:tabs>
                      <w:rPr>
                        <w:sz w:val="16"/>
                        <w:szCs w:val="16"/>
                      </w:rPr>
                    </w:pPr>
                    <w:r>
                      <w:t>ESTAFILOCOCOS, INFECCIONES</w:t>
                    </w:r>
                    <w:r>
                      <w:tab/>
                    </w:r>
                    <w:r>
                      <w:fldChar w:fldCharType="begin"/>
                    </w:r>
                    <w:r>
                      <w:instrText xml:space="preserve"> PAGE \* MERGEFORMAT </w:instrText>
                    </w:r>
                    <w:r>
                      <w:fldChar w:fldCharType="separate"/>
                    </w:r>
                    <w:r>
                      <w:rPr>
                        <w:sz w:val="16"/>
                        <w:szCs w:val="16"/>
                      </w:rPr>
                      <w:t>#</w:t>
                    </w:r>
                    <w:r>
                      <w:rPr>
                        <w:sz w:val="16"/>
                        <w:szCs w:val="1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834368" behindDoc="1" locked="0" layoutInCell="1" allowOverlap="1" wp14:anchorId="60AD352A" wp14:editId="6FDD7AED">
              <wp:simplePos x="0" y="0"/>
              <wp:positionH relativeFrom="page">
                <wp:posOffset>528320</wp:posOffset>
              </wp:positionH>
              <wp:positionV relativeFrom="page">
                <wp:posOffset>419100</wp:posOffset>
              </wp:positionV>
              <wp:extent cx="4358640" cy="0"/>
              <wp:effectExtent l="0" t="0" r="0" b="0"/>
              <wp:wrapNone/>
              <wp:docPr id="1789" name="Shape 1789"/>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420F4D45" id="_x0000_t32" coordsize="21600,21600" o:spt="32" o:oned="t" path="m,l21600,21600e" filled="f">
              <v:path arrowok="t" fillok="f" o:connecttype="none"/>
              <o:lock v:ext="edit" shapetype="t"/>
            </v:shapetype>
            <v:shape id="Shape 1789" o:spid="_x0000_s1026" type="#_x0000_t32" style="position:absolute;margin-left:41.6pt;margin-top:33pt;width:343.2pt;height:0;z-index:-25148211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" strokeweight="1pt">
              <w10:wrap anchorx="page" anchory="page"/>
            </v:shape>
          </w:pict>
        </mc:Fallback>
      </mc:AlternateContent>
    </w:r>
  </w:p>
</w:hdr>
</file>

<file path=word/header1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7BC37" w14:textId="77777777" w:rsidR="00D03C17" w:rsidRDefault="00D03C17"/>
</w:hdr>
</file>

<file path=word/header1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C9C10" w14:textId="77777777" w:rsidR="00D03C17" w:rsidRDefault="00D03C17"/>
</w:hdr>
</file>

<file path=word/header1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679C7" w14:textId="77777777" w:rsidR="00D03C17" w:rsidRDefault="00D03C17">
    <w:pPr>
      <w:spacing w:line="1" w:lineRule="exact"/>
    </w:pPr>
    <w:r>
      <w:rPr>
        <w:noProof/>
      </w:rPr>
      <mc:AlternateContent>
        <mc:Choice Requires="wps">
          <w:drawing>
            <wp:anchor distT="0" distB="0" distL="0" distR="0" simplePos="0" relativeHeight="252042240" behindDoc="1" locked="0" layoutInCell="1" allowOverlap="1" wp14:anchorId="1EC1BACE" wp14:editId="0928291C">
              <wp:simplePos x="0" y="0"/>
              <wp:positionH relativeFrom="page">
                <wp:posOffset>548640</wp:posOffset>
              </wp:positionH>
              <wp:positionV relativeFrom="page">
                <wp:posOffset>308610</wp:posOffset>
              </wp:positionV>
              <wp:extent cx="2861945" cy="79375"/>
              <wp:effectExtent l="0" t="0" r="0" b="0"/>
              <wp:wrapNone/>
              <wp:docPr id="1796" name="Shape 1796"/>
              <wp:cNvGraphicFramePr/>
              <a:graphic xmlns:a="http://schemas.openxmlformats.org/drawingml/2006/main">
                <a:graphicData uri="http://schemas.microsoft.com/office/word/2010/wordprocessingShape">
                  <wps:wsp>
                    <wps:cNvSpPr txBox="1"/>
                    <wps:spPr>
                      <a:xfrm>
                        <a:off x="0" y="0"/>
                        <a:ext cx="2861945" cy="79375"/>
                      </a:xfrm>
                      <a:prstGeom prst="rect">
                        <a:avLst/>
                      </a:prstGeom>
                      <a:noFill/>
                    </wps:spPr>
                    <wps:txbx>
                      <w:txbxContent>
                        <w:p w14:paraId="413C6601" w14:textId="77777777" w:rsidR="00D03C17" w:rsidRDefault="00D03C17">
                          <w:pPr>
                            <w:pStyle w:val="Headerorfooter0"/>
                            <w:tabs>
                              <w:tab w:val="right" w:pos="4507"/>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ESTAFILOCOCOS, INFECCIONES</w:t>
                          </w:r>
                        </w:p>
                      </w:txbxContent>
                    </wps:txbx>
                    <wps:bodyPr lIns="0" tIns="0" rIns="0" bIns="0">
                      <a:spAutoFit/>
                    </wps:bodyPr>
                  </wps:wsp>
                </a:graphicData>
              </a:graphic>
            </wp:anchor>
          </w:drawing>
        </mc:Choice>
        <mc:Fallback>
          <w:pict>
            <v:shapetype w14:anchorId="1EC1BACE" id="_x0000_t202" coordsize="21600,21600" o:spt="202" path="m,l,21600r21600,l21600,xe">
              <v:stroke joinstyle="miter"/>
              <v:path gradientshapeok="t" o:connecttype="rect"/>
            </v:shapetype>
            <v:shape id="Shape 1796" o:spid="_x0000_s1230" type="#_x0000_t202" style="position:absolute;margin-left:43.2pt;margin-top:24.3pt;width:225.35pt;height:6.25pt;z-index:-251274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" filled="f" stroked="f">
              <v:textbox style="mso-fit-shape-to-text:t" inset="0,0,0,0">
                <w:txbxContent>
                  <w:p w14:paraId="413C6601" w14:textId="77777777" w:rsidR="00D03C17" w:rsidRDefault="00D03C17">
                    <w:pPr>
                      <w:pStyle w:val="Headerorfooter0"/>
                      <w:tabs>
                        <w:tab w:val="right" w:pos="4507"/>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ESTAFILOCOCOS, INFECCIONES</w:t>
                    </w:r>
                  </w:p>
                </w:txbxContent>
              </v:textbox>
              <w10:wrap anchorx="page" anchory="page"/>
            </v:shape>
          </w:pict>
        </mc:Fallback>
      </mc:AlternateContent>
    </w:r>
    <w:r>
      <w:rPr>
        <w:noProof/>
      </w:rPr>
      <mc:AlternateContent>
        <mc:Choice Requires="wps">
          <w:drawing>
            <wp:anchor distT="0" distB="0" distL="114300" distR="114300" simplePos="0" relativeHeight="251837440" behindDoc="1" locked="0" layoutInCell="1" allowOverlap="1" wp14:anchorId="64BDDA75" wp14:editId="627298B0">
              <wp:simplePos x="0" y="0"/>
              <wp:positionH relativeFrom="page">
                <wp:posOffset>533400</wp:posOffset>
              </wp:positionH>
              <wp:positionV relativeFrom="page">
                <wp:posOffset>419100</wp:posOffset>
              </wp:positionV>
              <wp:extent cx="4358640" cy="0"/>
              <wp:effectExtent l="0" t="0" r="0" b="0"/>
              <wp:wrapNone/>
              <wp:docPr id="1798" name="Shape 1798"/>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0C7F4E1C" id="_x0000_t32" coordsize="21600,21600" o:spt="32" o:oned="t" path="m,l21600,21600e" filled="f">
              <v:path arrowok="t" fillok="f" o:connecttype="none"/>
              <o:lock v:ext="edit" shapetype="t"/>
            </v:shapetype>
            <v:shape id="Shape 1798" o:spid="_x0000_s1026" type="#_x0000_t32" style="position:absolute;margin-left:42pt;margin-top:33pt;width:343.2pt;height:0;z-index:-25147904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" strokeweight="1pt">
              <w10:wrap anchorx="page" anchory="page"/>
            </v:shape>
          </w:pict>
        </mc:Fallback>
      </mc:AlternateContent>
    </w:r>
  </w:p>
</w:hdr>
</file>

<file path=word/header1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5BCF5" w14:textId="77777777" w:rsidR="00D03C17" w:rsidRDefault="00D03C17">
    <w:pPr>
      <w:spacing w:line="1" w:lineRule="exact"/>
    </w:pPr>
    <w:r>
      <w:rPr>
        <w:noProof/>
      </w:rPr>
      <mc:AlternateContent>
        <mc:Choice Requires="wps">
          <w:drawing>
            <wp:anchor distT="0" distB="0" distL="0" distR="0" simplePos="0" relativeHeight="252041216" behindDoc="1" locked="0" layoutInCell="1" allowOverlap="1" wp14:anchorId="61587E23" wp14:editId="1AEBFBA1">
              <wp:simplePos x="0" y="0"/>
              <wp:positionH relativeFrom="page">
                <wp:posOffset>2012950</wp:posOffset>
              </wp:positionH>
              <wp:positionV relativeFrom="page">
                <wp:posOffset>308610</wp:posOffset>
              </wp:positionV>
              <wp:extent cx="2853055" cy="79375"/>
              <wp:effectExtent l="0" t="0" r="0" b="0"/>
              <wp:wrapNone/>
              <wp:docPr id="1793" name="Shape 1793"/>
              <wp:cNvGraphicFramePr/>
              <a:graphic xmlns:a="http://schemas.openxmlformats.org/drawingml/2006/main">
                <a:graphicData uri="http://schemas.microsoft.com/office/word/2010/wordprocessingShape">
                  <wps:wsp>
                    <wps:cNvSpPr txBox="1"/>
                    <wps:spPr>
                      <a:xfrm>
                        <a:off x="0" y="0"/>
                        <a:ext cx="2853055" cy="79375"/>
                      </a:xfrm>
                      <a:prstGeom prst="rect">
                        <a:avLst/>
                      </a:prstGeom>
                      <a:noFill/>
                    </wps:spPr>
                    <wps:txbx>
                      <w:txbxContent>
                        <w:p w14:paraId="4507F3CA" w14:textId="77777777" w:rsidR="00D03C17" w:rsidRDefault="00D03C17">
                          <w:pPr>
                            <w:pStyle w:val="Headerorfooter0"/>
                            <w:tabs>
                              <w:tab w:val="right" w:pos="4493"/>
                            </w:tabs>
                            <w:rPr>
                              <w:sz w:val="16"/>
                              <w:szCs w:val="16"/>
                            </w:rPr>
                          </w:pPr>
                          <w:r>
                            <w:t>ESTAFILOCOCOS, INFECCIONES</w:t>
                          </w:r>
                          <w:r>
                            <w:tab/>
                          </w:r>
                          <w:r>
                            <w:fldChar w:fldCharType="begin"/>
                          </w:r>
                          <w:r>
                            <w:instrText xml:space="preserve"> PAGE \* MERGEFORMAT </w:instrText>
                          </w:r>
                          <w:r>
                            <w:fldChar w:fldCharType="separate"/>
                          </w:r>
                          <w:r>
                            <w:rPr>
                              <w:sz w:val="16"/>
                              <w:szCs w:val="16"/>
                            </w:rPr>
                            <w:t>#</w:t>
                          </w:r>
                          <w:r>
                            <w:rPr>
                              <w:sz w:val="16"/>
                              <w:szCs w:val="16"/>
                            </w:rPr>
                            <w:fldChar w:fldCharType="end"/>
                          </w:r>
                        </w:p>
                      </w:txbxContent>
                    </wps:txbx>
                    <wps:bodyPr lIns="0" tIns="0" rIns="0" bIns="0">
                      <a:spAutoFit/>
                    </wps:bodyPr>
                  </wps:wsp>
                </a:graphicData>
              </a:graphic>
            </wp:anchor>
          </w:drawing>
        </mc:Choice>
        <mc:Fallback>
          <w:pict>
            <v:shapetype w14:anchorId="61587E23" id="_x0000_t202" coordsize="21600,21600" o:spt="202" path="m,l,21600r21600,l21600,xe">
              <v:stroke joinstyle="miter"/>
              <v:path gradientshapeok="t" o:connecttype="rect"/>
            </v:shapetype>
            <v:shape id="Shape 1793" o:spid="_x0000_s1231" type="#_x0000_t202" style="position:absolute;margin-left:158.5pt;margin-top:24.3pt;width:224.65pt;height:6.25pt;z-index:-251275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" filled="f" stroked="f">
              <v:textbox style="mso-fit-shape-to-text:t" inset="0,0,0,0">
                <w:txbxContent>
                  <w:p w14:paraId="4507F3CA" w14:textId="77777777" w:rsidR="00D03C17" w:rsidRDefault="00D03C17">
                    <w:pPr>
                      <w:pStyle w:val="Headerorfooter0"/>
                      <w:tabs>
                        <w:tab w:val="right" w:pos="4493"/>
                      </w:tabs>
                      <w:rPr>
                        <w:sz w:val="16"/>
                        <w:szCs w:val="16"/>
                      </w:rPr>
                    </w:pPr>
                    <w:r>
                      <w:t>ESTAFILOCOCOS, INFECCIONES</w:t>
                    </w:r>
                    <w:r>
                      <w:tab/>
                    </w:r>
                    <w:r>
                      <w:fldChar w:fldCharType="begin"/>
                    </w:r>
                    <w:r>
                      <w:instrText xml:space="preserve"> PAGE \* MERGEFORMAT </w:instrText>
                    </w:r>
                    <w:r>
                      <w:fldChar w:fldCharType="separate"/>
                    </w:r>
                    <w:r>
                      <w:rPr>
                        <w:sz w:val="16"/>
                        <w:szCs w:val="16"/>
                      </w:rPr>
                      <w:t>#</w:t>
                    </w:r>
                    <w:r>
                      <w:rPr>
                        <w:sz w:val="16"/>
                        <w:szCs w:val="1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836416" behindDoc="1" locked="0" layoutInCell="1" allowOverlap="1" wp14:anchorId="6A210D14" wp14:editId="10FF9DF2">
              <wp:simplePos x="0" y="0"/>
              <wp:positionH relativeFrom="page">
                <wp:posOffset>528320</wp:posOffset>
              </wp:positionH>
              <wp:positionV relativeFrom="page">
                <wp:posOffset>419100</wp:posOffset>
              </wp:positionV>
              <wp:extent cx="4358640" cy="0"/>
              <wp:effectExtent l="0" t="0" r="0" b="0"/>
              <wp:wrapNone/>
              <wp:docPr id="1795" name="Shape 1795"/>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23263388" id="_x0000_t32" coordsize="21600,21600" o:spt="32" o:oned="t" path="m,l21600,21600e" filled="f">
              <v:path arrowok="t" fillok="f" o:connecttype="none"/>
              <o:lock v:ext="edit" shapetype="t"/>
            </v:shapetype>
            <v:shape id="Shape 1795" o:spid="_x0000_s1026" type="#_x0000_t32" style="position:absolute;margin-left:41.6pt;margin-top:33pt;width:343.2pt;height:0;z-index:-25148006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" strokeweight="1pt">
              <w10:wrap anchorx="page" anchory="page"/>
            </v:shape>
          </w:pict>
        </mc:Fallback>
      </mc:AlternateContent>
    </w:r>
  </w:p>
</w:hdr>
</file>

<file path=word/header1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46497" w14:textId="77777777" w:rsidR="00D03C17" w:rsidRDefault="00D03C17">
    <w:pPr>
      <w:spacing w:line="1" w:lineRule="exact"/>
    </w:pPr>
    <w:r>
      <w:rPr>
        <w:noProof/>
      </w:rPr>
      <mc:AlternateContent>
        <mc:Choice Requires="wps">
          <w:drawing>
            <wp:anchor distT="0" distB="0" distL="0" distR="0" simplePos="0" relativeHeight="252044288" behindDoc="1" locked="0" layoutInCell="1" allowOverlap="1" wp14:anchorId="395B130C" wp14:editId="75F68DCB">
              <wp:simplePos x="0" y="0"/>
              <wp:positionH relativeFrom="page">
                <wp:posOffset>338455</wp:posOffset>
              </wp:positionH>
              <wp:positionV relativeFrom="page">
                <wp:posOffset>308610</wp:posOffset>
              </wp:positionV>
              <wp:extent cx="3206750" cy="79375"/>
              <wp:effectExtent l="0" t="0" r="0" b="0"/>
              <wp:wrapNone/>
              <wp:docPr id="1802" name="Shape 1802"/>
              <wp:cNvGraphicFramePr/>
              <a:graphic xmlns:a="http://schemas.openxmlformats.org/drawingml/2006/main">
                <a:graphicData uri="http://schemas.microsoft.com/office/word/2010/wordprocessingShape">
                  <wps:wsp>
                    <wps:cNvSpPr txBox="1"/>
                    <wps:spPr>
                      <a:xfrm>
                        <a:off x="0" y="0"/>
                        <a:ext cx="3206750" cy="79375"/>
                      </a:xfrm>
                      <a:prstGeom prst="rect">
                        <a:avLst/>
                      </a:prstGeom>
                      <a:noFill/>
                    </wps:spPr>
                    <wps:txbx>
                      <w:txbxContent>
                        <w:p w14:paraId="405D1A9A" w14:textId="77777777" w:rsidR="00D03C17" w:rsidRDefault="00D03C17">
                          <w:pPr>
                            <w:pStyle w:val="Headerorfooter0"/>
                            <w:tabs>
                              <w:tab w:val="right" w:pos="5050"/>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ESTREPTOCOCOS DEL GRUPO B, INFECCIONES</w:t>
                          </w:r>
                        </w:p>
                      </w:txbxContent>
                    </wps:txbx>
                    <wps:bodyPr lIns="0" tIns="0" rIns="0" bIns="0">
                      <a:spAutoFit/>
                    </wps:bodyPr>
                  </wps:wsp>
                </a:graphicData>
              </a:graphic>
            </wp:anchor>
          </w:drawing>
        </mc:Choice>
        <mc:Fallback>
          <w:pict>
            <v:shapetype w14:anchorId="395B130C" id="_x0000_t202" coordsize="21600,21600" o:spt="202" path="m,l,21600r21600,l21600,xe">
              <v:stroke joinstyle="miter"/>
              <v:path gradientshapeok="t" o:connecttype="rect"/>
            </v:shapetype>
            <v:shape id="Shape 1802" o:spid="_x0000_s1232" type="#_x0000_t202" style="position:absolute;margin-left:26.65pt;margin-top:24.3pt;width:252.5pt;height:6.25pt;z-index:-251272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" filled="f" stroked="f">
              <v:textbox style="mso-fit-shape-to-text:t" inset="0,0,0,0">
                <w:txbxContent>
                  <w:p w14:paraId="405D1A9A" w14:textId="77777777" w:rsidR="00D03C17" w:rsidRDefault="00D03C17">
                    <w:pPr>
                      <w:pStyle w:val="Headerorfooter0"/>
                      <w:tabs>
                        <w:tab w:val="right" w:pos="5050"/>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ESTREPTOCOCOS DEL GRUPO B, INFECCIONES</w:t>
                    </w:r>
                  </w:p>
                </w:txbxContent>
              </v:textbox>
              <w10:wrap anchorx="page" anchory="page"/>
            </v:shape>
          </w:pict>
        </mc:Fallback>
      </mc:AlternateContent>
    </w:r>
    <w:r>
      <w:rPr>
        <w:noProof/>
      </w:rPr>
      <mc:AlternateContent>
        <mc:Choice Requires="wps">
          <w:drawing>
            <wp:anchor distT="0" distB="0" distL="114300" distR="114300" simplePos="0" relativeHeight="251839488" behindDoc="1" locked="0" layoutInCell="1" allowOverlap="1" wp14:anchorId="0EAAAE2B" wp14:editId="44E86031">
              <wp:simplePos x="0" y="0"/>
              <wp:positionH relativeFrom="page">
                <wp:posOffset>323215</wp:posOffset>
              </wp:positionH>
              <wp:positionV relativeFrom="page">
                <wp:posOffset>419100</wp:posOffset>
              </wp:positionV>
              <wp:extent cx="4358640" cy="0"/>
              <wp:effectExtent l="0" t="0" r="0" b="0"/>
              <wp:wrapNone/>
              <wp:docPr id="1804" name="Shape 1804"/>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4A297FA2" id="_x0000_t32" coordsize="21600,21600" o:spt="32" o:oned="t" path="m,l21600,21600e" filled="f">
              <v:path arrowok="t" fillok="f" o:connecttype="none"/>
              <o:lock v:ext="edit" shapetype="t"/>
            </v:shapetype>
            <v:shape id="Shape 1804" o:spid="_x0000_s1026" type="#_x0000_t32" style="position:absolute;margin-left:25.45pt;margin-top:33pt;width:343.2pt;height:0;z-index:-25147699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" strokeweight="1pt">
              <w10:wrap anchorx="page" anchory="page"/>
            </v:shape>
          </w:pict>
        </mc:Fallback>
      </mc:AlternateContent>
    </w:r>
  </w:p>
</w:hdr>
</file>

<file path=word/header1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1C633" w14:textId="77777777" w:rsidR="00D03C17" w:rsidRDefault="00D03C17">
    <w:pPr>
      <w:spacing w:line="1" w:lineRule="exact"/>
    </w:pPr>
    <w:r>
      <w:rPr>
        <w:noProof/>
      </w:rPr>
      <mc:AlternateContent>
        <mc:Choice Requires="wps">
          <w:drawing>
            <wp:anchor distT="0" distB="0" distL="0" distR="0" simplePos="0" relativeHeight="252043264" behindDoc="1" locked="0" layoutInCell="1" allowOverlap="1" wp14:anchorId="21BF16F6" wp14:editId="3AE0A912">
              <wp:simplePos x="0" y="0"/>
              <wp:positionH relativeFrom="page">
                <wp:posOffset>1641475</wp:posOffset>
              </wp:positionH>
              <wp:positionV relativeFrom="page">
                <wp:posOffset>308610</wp:posOffset>
              </wp:positionV>
              <wp:extent cx="3200400" cy="79375"/>
              <wp:effectExtent l="0" t="0" r="0" b="0"/>
              <wp:wrapNone/>
              <wp:docPr id="1799" name="Shape 1799"/>
              <wp:cNvGraphicFramePr/>
              <a:graphic xmlns:a="http://schemas.openxmlformats.org/drawingml/2006/main">
                <a:graphicData uri="http://schemas.microsoft.com/office/word/2010/wordprocessingShape">
                  <wps:wsp>
                    <wps:cNvSpPr txBox="1"/>
                    <wps:spPr>
                      <a:xfrm>
                        <a:off x="0" y="0"/>
                        <a:ext cx="3200400" cy="79375"/>
                      </a:xfrm>
                      <a:prstGeom prst="rect">
                        <a:avLst/>
                      </a:prstGeom>
                      <a:noFill/>
                    </wps:spPr>
                    <wps:txbx>
                      <w:txbxContent>
                        <w:p w14:paraId="7704FB73" w14:textId="77777777" w:rsidR="00D03C17" w:rsidRDefault="00D03C17">
                          <w:pPr>
                            <w:pStyle w:val="Headerorfooter0"/>
                            <w:tabs>
                              <w:tab w:val="right" w:pos="5040"/>
                            </w:tabs>
                            <w:rPr>
                              <w:sz w:val="16"/>
                              <w:szCs w:val="16"/>
                            </w:rPr>
                          </w:pPr>
                          <w:r>
                            <w:t>ESTREPTOCOCOS DEL GRUPO A, INFECCIONES</w:t>
                          </w:r>
                          <w:r>
                            <w:tab/>
                          </w:r>
                          <w:r>
                            <w:fldChar w:fldCharType="begin"/>
                          </w:r>
                          <w:r>
                            <w:instrText xml:space="preserve"> PAGE \* MERGEFORMAT </w:instrText>
                          </w:r>
                          <w:r>
                            <w:fldChar w:fldCharType="separate"/>
                          </w:r>
                          <w:r>
                            <w:rPr>
                              <w:sz w:val="16"/>
                              <w:szCs w:val="16"/>
                            </w:rPr>
                            <w:t>#</w:t>
                          </w:r>
                          <w:r>
                            <w:rPr>
                              <w:sz w:val="16"/>
                              <w:szCs w:val="16"/>
                            </w:rPr>
                            <w:fldChar w:fldCharType="end"/>
                          </w:r>
                        </w:p>
                      </w:txbxContent>
                    </wps:txbx>
                    <wps:bodyPr lIns="0" tIns="0" rIns="0" bIns="0">
                      <a:spAutoFit/>
                    </wps:bodyPr>
                  </wps:wsp>
                </a:graphicData>
              </a:graphic>
            </wp:anchor>
          </w:drawing>
        </mc:Choice>
        <mc:Fallback>
          <w:pict>
            <v:shapetype w14:anchorId="21BF16F6" id="_x0000_t202" coordsize="21600,21600" o:spt="202" path="m,l,21600r21600,l21600,xe">
              <v:stroke joinstyle="miter"/>
              <v:path gradientshapeok="t" o:connecttype="rect"/>
            </v:shapetype>
            <v:shape id="Shape 1799" o:spid="_x0000_s1233" type="#_x0000_t202" style="position:absolute;margin-left:129.25pt;margin-top:24.3pt;width:252pt;height:6.25pt;z-index:-251273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" filled="f" stroked="f">
              <v:textbox style="mso-fit-shape-to-text:t" inset="0,0,0,0">
                <w:txbxContent>
                  <w:p w14:paraId="7704FB73" w14:textId="77777777" w:rsidR="00D03C17" w:rsidRDefault="00D03C17">
                    <w:pPr>
                      <w:pStyle w:val="Headerorfooter0"/>
                      <w:tabs>
                        <w:tab w:val="right" w:pos="5040"/>
                      </w:tabs>
                      <w:rPr>
                        <w:sz w:val="16"/>
                        <w:szCs w:val="16"/>
                      </w:rPr>
                    </w:pPr>
                    <w:r>
                      <w:t>ESTREPTOCOCOS DEL GRUPO A, INFECCIONES</w:t>
                    </w:r>
                    <w:r>
                      <w:tab/>
                    </w:r>
                    <w:r>
                      <w:fldChar w:fldCharType="begin"/>
                    </w:r>
                    <w:r>
                      <w:instrText xml:space="preserve"> PAGE \* MERGEFORMAT </w:instrText>
                    </w:r>
                    <w:r>
                      <w:fldChar w:fldCharType="separate"/>
                    </w:r>
                    <w:r>
                      <w:rPr>
                        <w:sz w:val="16"/>
                        <w:szCs w:val="16"/>
                      </w:rPr>
                      <w:t>#</w:t>
                    </w:r>
                    <w:r>
                      <w:rPr>
                        <w:sz w:val="16"/>
                        <w:szCs w:val="1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838464" behindDoc="1" locked="0" layoutInCell="1" allowOverlap="1" wp14:anchorId="57C2D8E0" wp14:editId="6906F233">
              <wp:simplePos x="0" y="0"/>
              <wp:positionH relativeFrom="page">
                <wp:posOffset>504825</wp:posOffset>
              </wp:positionH>
              <wp:positionV relativeFrom="page">
                <wp:posOffset>416560</wp:posOffset>
              </wp:positionV>
              <wp:extent cx="4358640" cy="0"/>
              <wp:effectExtent l="0" t="0" r="0" b="0"/>
              <wp:wrapNone/>
              <wp:docPr id="1801" name="Shape 1801"/>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5933DBD4" id="_x0000_t32" coordsize="21600,21600" o:spt="32" o:oned="t" path="m,l21600,21600e" filled="f">
              <v:path arrowok="t" fillok="f" o:connecttype="none"/>
              <o:lock v:ext="edit" shapetype="t"/>
            </v:shapetype>
            <v:shape id="Shape 1801" o:spid="_x0000_s1026" type="#_x0000_t32" style="position:absolute;margin-left:39.75pt;margin-top:32.8pt;width:343.2pt;height:0;z-index:-25147801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" strokeweight="1pt">
              <w10:wrap anchorx="page" anchory="page"/>
            </v:shape>
          </w:pict>
        </mc:Fallback>
      </mc:AlternateContent>
    </w:r>
  </w:p>
</w:hdr>
</file>

<file path=word/header1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CBE96" w14:textId="77777777" w:rsidR="00D03C17" w:rsidRDefault="00D03C17"/>
</w:hdr>
</file>

<file path=word/header1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D05A7" w14:textId="77777777" w:rsidR="00D03C17" w:rsidRDefault="00D03C17"/>
</w:hdr>
</file>

<file path=word/header1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6D961" w14:textId="77777777" w:rsidR="00D03C17" w:rsidRDefault="00D03C17">
    <w:pPr>
      <w:spacing w:line="1" w:lineRule="exact"/>
    </w:pPr>
    <w:r>
      <w:rPr>
        <w:noProof/>
      </w:rPr>
      <mc:AlternateContent>
        <mc:Choice Requires="wps">
          <w:drawing>
            <wp:anchor distT="0" distB="0" distL="0" distR="0" simplePos="0" relativeHeight="252046336" behindDoc="1" locked="0" layoutInCell="1" allowOverlap="1" wp14:anchorId="4A866CC9" wp14:editId="22084831">
              <wp:simplePos x="0" y="0"/>
              <wp:positionH relativeFrom="page">
                <wp:posOffset>338455</wp:posOffset>
              </wp:positionH>
              <wp:positionV relativeFrom="page">
                <wp:posOffset>308610</wp:posOffset>
              </wp:positionV>
              <wp:extent cx="3206750" cy="79375"/>
              <wp:effectExtent l="0" t="0" r="0" b="0"/>
              <wp:wrapNone/>
              <wp:docPr id="1809" name="Shape 1809"/>
              <wp:cNvGraphicFramePr/>
              <a:graphic xmlns:a="http://schemas.openxmlformats.org/drawingml/2006/main">
                <a:graphicData uri="http://schemas.microsoft.com/office/word/2010/wordprocessingShape">
                  <wps:wsp>
                    <wps:cNvSpPr txBox="1"/>
                    <wps:spPr>
                      <a:xfrm>
                        <a:off x="0" y="0"/>
                        <a:ext cx="3206750" cy="79375"/>
                      </a:xfrm>
                      <a:prstGeom prst="rect">
                        <a:avLst/>
                      </a:prstGeom>
                      <a:noFill/>
                    </wps:spPr>
                    <wps:txbx>
                      <w:txbxContent>
                        <w:p w14:paraId="53E6566F" w14:textId="77777777" w:rsidR="00D03C17" w:rsidRDefault="00D03C17">
                          <w:pPr>
                            <w:pStyle w:val="Headerorfooter0"/>
                            <w:tabs>
                              <w:tab w:val="right" w:pos="5050"/>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ESTREPTOCOCOS DEL GRUPO B, INFECCIONES</w:t>
                          </w:r>
                        </w:p>
                      </w:txbxContent>
                    </wps:txbx>
                    <wps:bodyPr lIns="0" tIns="0" rIns="0" bIns="0">
                      <a:spAutoFit/>
                    </wps:bodyPr>
                  </wps:wsp>
                </a:graphicData>
              </a:graphic>
            </wp:anchor>
          </w:drawing>
        </mc:Choice>
        <mc:Fallback>
          <w:pict>
            <v:shapetype w14:anchorId="4A866CC9" id="_x0000_t202" coordsize="21600,21600" o:spt="202" path="m,l,21600r21600,l21600,xe">
              <v:stroke joinstyle="miter"/>
              <v:path gradientshapeok="t" o:connecttype="rect"/>
            </v:shapetype>
            <v:shape id="Shape 1809" o:spid="_x0000_s1234" type="#_x0000_t202" style="position:absolute;margin-left:26.65pt;margin-top:24.3pt;width:252.5pt;height:6.25pt;z-index:-251270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" filled="f" stroked="f">
              <v:textbox style="mso-fit-shape-to-text:t" inset="0,0,0,0">
                <w:txbxContent>
                  <w:p w14:paraId="53E6566F" w14:textId="77777777" w:rsidR="00D03C17" w:rsidRDefault="00D03C17">
                    <w:pPr>
                      <w:pStyle w:val="Headerorfooter0"/>
                      <w:tabs>
                        <w:tab w:val="right" w:pos="5050"/>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ESTREPTOCOCOS DEL GRUPO B, INFECCIONES</w:t>
                    </w:r>
                  </w:p>
                </w:txbxContent>
              </v:textbox>
              <w10:wrap anchorx="page" anchory="page"/>
            </v:shape>
          </w:pict>
        </mc:Fallback>
      </mc:AlternateContent>
    </w:r>
    <w:r>
      <w:rPr>
        <w:noProof/>
      </w:rPr>
      <mc:AlternateContent>
        <mc:Choice Requires="wps">
          <w:drawing>
            <wp:anchor distT="0" distB="0" distL="114300" distR="114300" simplePos="0" relativeHeight="251841536" behindDoc="1" locked="0" layoutInCell="1" allowOverlap="1" wp14:anchorId="32C64C3B" wp14:editId="7C673165">
              <wp:simplePos x="0" y="0"/>
              <wp:positionH relativeFrom="page">
                <wp:posOffset>323215</wp:posOffset>
              </wp:positionH>
              <wp:positionV relativeFrom="page">
                <wp:posOffset>419100</wp:posOffset>
              </wp:positionV>
              <wp:extent cx="4358640" cy="0"/>
              <wp:effectExtent l="0" t="0" r="0" b="0"/>
              <wp:wrapNone/>
              <wp:docPr id="1811" name="Shape 1811"/>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30327F2A" id="_x0000_t32" coordsize="21600,21600" o:spt="32" o:oned="t" path="m,l21600,21600e" filled="f">
              <v:path arrowok="t" fillok="f" o:connecttype="none"/>
              <o:lock v:ext="edit" shapetype="t"/>
            </v:shapetype>
            <v:shape id="Shape 1811" o:spid="_x0000_s1026" type="#_x0000_t32" style="position:absolute;margin-left:25.45pt;margin-top:33pt;width:343.2pt;height:0;z-index:-25147494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" strokeweight="1pt">
              <w10:wrap anchorx="page" anchory="page"/>
            </v:shape>
          </w:pict>
        </mc:Fallback>
      </mc:AlternateContent>
    </w:r>
  </w:p>
</w:hdr>
</file>

<file path=word/header1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CB3B1" w14:textId="77777777" w:rsidR="00D03C17" w:rsidRDefault="00D03C17">
    <w:pPr>
      <w:spacing w:line="1" w:lineRule="exact"/>
    </w:pPr>
    <w:r>
      <w:rPr>
        <w:noProof/>
      </w:rPr>
      <mc:AlternateContent>
        <mc:Choice Requires="wps">
          <w:drawing>
            <wp:anchor distT="0" distB="0" distL="0" distR="0" simplePos="0" relativeHeight="252045312" behindDoc="1" locked="0" layoutInCell="1" allowOverlap="1" wp14:anchorId="1DDEF837" wp14:editId="0DE507A9">
              <wp:simplePos x="0" y="0"/>
              <wp:positionH relativeFrom="page">
                <wp:posOffset>338455</wp:posOffset>
              </wp:positionH>
              <wp:positionV relativeFrom="page">
                <wp:posOffset>308610</wp:posOffset>
              </wp:positionV>
              <wp:extent cx="3206750" cy="79375"/>
              <wp:effectExtent l="0" t="0" r="0" b="0"/>
              <wp:wrapNone/>
              <wp:docPr id="1806" name="Shape 1806"/>
              <wp:cNvGraphicFramePr/>
              <a:graphic xmlns:a="http://schemas.openxmlformats.org/drawingml/2006/main">
                <a:graphicData uri="http://schemas.microsoft.com/office/word/2010/wordprocessingShape">
                  <wps:wsp>
                    <wps:cNvSpPr txBox="1"/>
                    <wps:spPr>
                      <a:xfrm>
                        <a:off x="0" y="0"/>
                        <a:ext cx="3206750" cy="79375"/>
                      </a:xfrm>
                      <a:prstGeom prst="rect">
                        <a:avLst/>
                      </a:prstGeom>
                      <a:noFill/>
                    </wps:spPr>
                    <wps:txbx>
                      <w:txbxContent>
                        <w:p w14:paraId="6E62F997" w14:textId="77777777" w:rsidR="00D03C17" w:rsidRDefault="00D03C17">
                          <w:pPr>
                            <w:pStyle w:val="Headerorfooter0"/>
                            <w:tabs>
                              <w:tab w:val="right" w:pos="5050"/>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ESTREPTOCOCOS DEL GRUPO B, INFECCIONES</w:t>
                          </w:r>
                        </w:p>
                      </w:txbxContent>
                    </wps:txbx>
                    <wps:bodyPr lIns="0" tIns="0" rIns="0" bIns="0">
                      <a:spAutoFit/>
                    </wps:bodyPr>
                  </wps:wsp>
                </a:graphicData>
              </a:graphic>
            </wp:anchor>
          </w:drawing>
        </mc:Choice>
        <mc:Fallback>
          <w:pict>
            <v:shapetype w14:anchorId="1DDEF837" id="_x0000_t202" coordsize="21600,21600" o:spt="202" path="m,l,21600r21600,l21600,xe">
              <v:stroke joinstyle="miter"/>
              <v:path gradientshapeok="t" o:connecttype="rect"/>
            </v:shapetype>
            <v:shape id="Shape 1806" o:spid="_x0000_s1235" type="#_x0000_t202" style="position:absolute;margin-left:26.65pt;margin-top:24.3pt;width:252.5pt;height:6.25pt;z-index:-251271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" filled="f" stroked="f">
              <v:textbox style="mso-fit-shape-to-text:t" inset="0,0,0,0">
                <w:txbxContent>
                  <w:p w14:paraId="6E62F997" w14:textId="77777777" w:rsidR="00D03C17" w:rsidRDefault="00D03C17">
                    <w:pPr>
                      <w:pStyle w:val="Headerorfooter0"/>
                      <w:tabs>
                        <w:tab w:val="right" w:pos="5050"/>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ESTREPTOCOCOS DEL GRUPO B, INFECCIONES</w:t>
                    </w:r>
                  </w:p>
                </w:txbxContent>
              </v:textbox>
              <w10:wrap anchorx="page" anchory="page"/>
            </v:shape>
          </w:pict>
        </mc:Fallback>
      </mc:AlternateContent>
    </w:r>
    <w:r>
      <w:rPr>
        <w:noProof/>
      </w:rPr>
      <mc:AlternateContent>
        <mc:Choice Requires="wps">
          <w:drawing>
            <wp:anchor distT="0" distB="0" distL="114300" distR="114300" simplePos="0" relativeHeight="251840512" behindDoc="1" locked="0" layoutInCell="1" allowOverlap="1" wp14:anchorId="2663A248" wp14:editId="57556D5C">
              <wp:simplePos x="0" y="0"/>
              <wp:positionH relativeFrom="page">
                <wp:posOffset>323215</wp:posOffset>
              </wp:positionH>
              <wp:positionV relativeFrom="page">
                <wp:posOffset>419100</wp:posOffset>
              </wp:positionV>
              <wp:extent cx="4358640" cy="0"/>
              <wp:effectExtent l="0" t="0" r="0" b="0"/>
              <wp:wrapNone/>
              <wp:docPr id="1808" name="Shape 1808"/>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2AB6D70B" id="_x0000_t32" coordsize="21600,21600" o:spt="32" o:oned="t" path="m,l21600,21600e" filled="f">
              <v:path arrowok="t" fillok="f" o:connecttype="none"/>
              <o:lock v:ext="edit" shapetype="t"/>
            </v:shapetype>
            <v:shape id="Shape 1808" o:spid="_x0000_s1026" type="#_x0000_t32" style="position:absolute;margin-left:25.45pt;margin-top:33pt;width:343.2pt;height:0;z-index:-25147596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" strokeweight="1pt">
              <w10:wrap anchorx="page" anchory="page"/>
            </v:shape>
          </w:pict>
        </mc:Fallback>
      </mc:AlternateContent>
    </w:r>
  </w:p>
</w:hdr>
</file>

<file path=word/header1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25B66" w14:textId="77777777" w:rsidR="00D03C17" w:rsidRDefault="00D03C17"/>
</w:hdr>
</file>

<file path=word/header1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34A2C" w14:textId="77777777" w:rsidR="00D03C17" w:rsidRDefault="00D03C17"/>
</w:hdr>
</file>

<file path=word/header1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6E809" w14:textId="77777777" w:rsidR="00D03C17" w:rsidRDefault="00D03C17">
    <w:pPr>
      <w:spacing w:line="1" w:lineRule="exact"/>
    </w:pPr>
    <w:r>
      <w:rPr>
        <w:noProof/>
      </w:rPr>
      <mc:AlternateContent>
        <mc:Choice Requires="wps">
          <w:drawing>
            <wp:anchor distT="0" distB="0" distL="0" distR="0" simplePos="0" relativeHeight="252048384" behindDoc="1" locked="0" layoutInCell="1" allowOverlap="1" wp14:anchorId="03514E06" wp14:editId="612AE95C">
              <wp:simplePos x="0" y="0"/>
              <wp:positionH relativeFrom="page">
                <wp:posOffset>2240280</wp:posOffset>
              </wp:positionH>
              <wp:positionV relativeFrom="page">
                <wp:posOffset>311785</wp:posOffset>
              </wp:positionV>
              <wp:extent cx="2602865" cy="69850"/>
              <wp:effectExtent l="0" t="0" r="0" b="0"/>
              <wp:wrapNone/>
              <wp:docPr id="1821" name="Shape 1821"/>
              <wp:cNvGraphicFramePr/>
              <a:graphic xmlns:a="http://schemas.openxmlformats.org/drawingml/2006/main">
                <a:graphicData uri="http://schemas.microsoft.com/office/word/2010/wordprocessingShape">
                  <wps:wsp>
                    <wps:cNvSpPr txBox="1"/>
                    <wps:spPr>
                      <a:xfrm>
                        <a:off x="0" y="0"/>
                        <a:ext cx="2602865" cy="69850"/>
                      </a:xfrm>
                      <a:prstGeom prst="rect">
                        <a:avLst/>
                      </a:prstGeom>
                      <a:noFill/>
                    </wps:spPr>
                    <wps:txbx>
                      <w:txbxContent>
                        <w:p w14:paraId="41356007" w14:textId="77777777" w:rsidR="00D03C17" w:rsidRDefault="00D03C17">
                          <w:pPr>
                            <w:pStyle w:val="Headerorfooter0"/>
                            <w:tabs>
                              <w:tab w:val="right" w:pos="4099"/>
                            </w:tabs>
                            <w:rPr>
                              <w:sz w:val="16"/>
                              <w:szCs w:val="16"/>
                            </w:rPr>
                          </w:pPr>
                          <w:r>
                            <w:t>ESTRONGILOIDIASIS</w:t>
                          </w:r>
                          <w:r>
                            <w:tab/>
                          </w:r>
                          <w:r>
                            <w:fldChar w:fldCharType="begin"/>
                          </w:r>
                          <w:r>
                            <w:instrText xml:space="preserve"> PAGE \* MERGEFORMAT </w:instrText>
                          </w:r>
                          <w:r>
                            <w:fldChar w:fldCharType="separate"/>
                          </w:r>
                          <w:r>
                            <w:rPr>
                              <w:sz w:val="16"/>
                              <w:szCs w:val="16"/>
                            </w:rPr>
                            <w:t>#</w:t>
                          </w:r>
                          <w:r>
                            <w:rPr>
                              <w:sz w:val="16"/>
                              <w:szCs w:val="16"/>
                            </w:rPr>
                            <w:fldChar w:fldCharType="end"/>
                          </w:r>
                        </w:p>
                      </w:txbxContent>
                    </wps:txbx>
                    <wps:bodyPr lIns="0" tIns="0" rIns="0" bIns="0">
                      <a:spAutoFit/>
                    </wps:bodyPr>
                  </wps:wsp>
                </a:graphicData>
              </a:graphic>
            </wp:anchor>
          </w:drawing>
        </mc:Choice>
        <mc:Fallback>
          <w:pict>
            <v:shapetype w14:anchorId="03514E06" id="_x0000_t202" coordsize="21600,21600" o:spt="202" path="m,l,21600r21600,l21600,xe">
              <v:stroke joinstyle="miter"/>
              <v:path gradientshapeok="t" o:connecttype="rect"/>
            </v:shapetype>
            <v:shape id="Shape 1821" o:spid="_x0000_s1236" type="#_x0000_t202" style="position:absolute;margin-left:176.4pt;margin-top:24.55pt;width:204.95pt;height:5.5pt;z-index:-251268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" filled="f" stroked="f">
              <v:textbox style="mso-fit-shape-to-text:t" inset="0,0,0,0">
                <w:txbxContent>
                  <w:p w14:paraId="41356007" w14:textId="77777777" w:rsidR="00D03C17" w:rsidRDefault="00D03C17">
                    <w:pPr>
                      <w:pStyle w:val="Headerorfooter0"/>
                      <w:tabs>
                        <w:tab w:val="right" w:pos="4099"/>
                      </w:tabs>
                      <w:rPr>
                        <w:sz w:val="16"/>
                        <w:szCs w:val="16"/>
                      </w:rPr>
                    </w:pPr>
                    <w:r>
                      <w:t>ESTRONGILOIDIASIS</w:t>
                    </w:r>
                    <w:r>
                      <w:tab/>
                    </w:r>
                    <w:r>
                      <w:fldChar w:fldCharType="begin"/>
                    </w:r>
                    <w:r>
                      <w:instrText xml:space="preserve"> PAGE \* MERGEFORMAT </w:instrText>
                    </w:r>
                    <w:r>
                      <w:fldChar w:fldCharType="separate"/>
                    </w:r>
                    <w:r>
                      <w:rPr>
                        <w:sz w:val="16"/>
                        <w:szCs w:val="16"/>
                      </w:rPr>
                      <w:t>#</w:t>
                    </w:r>
                    <w:r>
                      <w:rPr>
                        <w:sz w:val="16"/>
                        <w:szCs w:val="1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843584" behindDoc="1" locked="0" layoutInCell="1" allowOverlap="1" wp14:anchorId="46475C92" wp14:editId="3AB717F8">
              <wp:simplePos x="0" y="0"/>
              <wp:positionH relativeFrom="page">
                <wp:posOffset>505460</wp:posOffset>
              </wp:positionH>
              <wp:positionV relativeFrom="page">
                <wp:posOffset>419735</wp:posOffset>
              </wp:positionV>
              <wp:extent cx="4358640" cy="0"/>
              <wp:effectExtent l="0" t="0" r="0" b="0"/>
              <wp:wrapNone/>
              <wp:docPr id="1823" name="Shape 1823"/>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1ADE0023" id="_x0000_t32" coordsize="21600,21600" o:spt="32" o:oned="t" path="m,l21600,21600e" filled="f">
              <v:path arrowok="t" fillok="f" o:connecttype="none"/>
              <o:lock v:ext="edit" shapetype="t"/>
            </v:shapetype>
            <v:shape id="Shape 1823" o:spid="_x0000_s1026" type="#_x0000_t32" style="position:absolute;margin-left:39.8pt;margin-top:33.05pt;width:343.2pt;height:0;z-index:-25147289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" strokeweight="1pt">
              <w10:wrap anchorx="page" anchory="page"/>
            </v:shape>
          </w:pict>
        </mc:Fallback>
      </mc:AlternateContent>
    </w:r>
  </w:p>
</w:hdr>
</file>

<file path=word/header1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58763" w14:textId="77777777" w:rsidR="00D03C17" w:rsidRDefault="00D03C17">
    <w:pPr>
      <w:spacing w:line="1" w:lineRule="exact"/>
    </w:pPr>
    <w:r>
      <w:rPr>
        <w:noProof/>
      </w:rPr>
      <mc:AlternateContent>
        <mc:Choice Requires="wps">
          <w:drawing>
            <wp:anchor distT="0" distB="0" distL="0" distR="0" simplePos="0" relativeHeight="252047360" behindDoc="1" locked="0" layoutInCell="1" allowOverlap="1" wp14:anchorId="1D1F5126" wp14:editId="5578E04B">
              <wp:simplePos x="0" y="0"/>
              <wp:positionH relativeFrom="page">
                <wp:posOffset>2240280</wp:posOffset>
              </wp:positionH>
              <wp:positionV relativeFrom="page">
                <wp:posOffset>311785</wp:posOffset>
              </wp:positionV>
              <wp:extent cx="2602865" cy="69850"/>
              <wp:effectExtent l="0" t="0" r="0" b="0"/>
              <wp:wrapNone/>
              <wp:docPr id="1818" name="Shape 1818"/>
              <wp:cNvGraphicFramePr/>
              <a:graphic xmlns:a="http://schemas.openxmlformats.org/drawingml/2006/main">
                <a:graphicData uri="http://schemas.microsoft.com/office/word/2010/wordprocessingShape">
                  <wps:wsp>
                    <wps:cNvSpPr txBox="1"/>
                    <wps:spPr>
                      <a:xfrm>
                        <a:off x="0" y="0"/>
                        <a:ext cx="2602865" cy="69850"/>
                      </a:xfrm>
                      <a:prstGeom prst="rect">
                        <a:avLst/>
                      </a:prstGeom>
                      <a:noFill/>
                    </wps:spPr>
                    <wps:txbx>
                      <w:txbxContent>
                        <w:p w14:paraId="3937193B" w14:textId="77777777" w:rsidR="00D03C17" w:rsidRDefault="00D03C17">
                          <w:pPr>
                            <w:pStyle w:val="Headerorfooter0"/>
                            <w:tabs>
                              <w:tab w:val="right" w:pos="4099"/>
                            </w:tabs>
                            <w:rPr>
                              <w:sz w:val="16"/>
                              <w:szCs w:val="16"/>
                            </w:rPr>
                          </w:pPr>
                          <w:r>
                            <w:t>ESTRONGILOIDIASIS</w:t>
                          </w:r>
                          <w:r>
                            <w:tab/>
                          </w:r>
                          <w:r>
                            <w:fldChar w:fldCharType="begin"/>
                          </w:r>
                          <w:r>
                            <w:instrText xml:space="preserve"> PAGE \* MERGEFORMAT </w:instrText>
                          </w:r>
                          <w:r>
                            <w:fldChar w:fldCharType="separate"/>
                          </w:r>
                          <w:r>
                            <w:rPr>
                              <w:sz w:val="16"/>
                              <w:szCs w:val="16"/>
                            </w:rPr>
                            <w:t>#</w:t>
                          </w:r>
                          <w:r>
                            <w:rPr>
                              <w:sz w:val="16"/>
                              <w:szCs w:val="16"/>
                            </w:rPr>
                            <w:fldChar w:fldCharType="end"/>
                          </w:r>
                        </w:p>
                      </w:txbxContent>
                    </wps:txbx>
                    <wps:bodyPr lIns="0" tIns="0" rIns="0" bIns="0">
                      <a:spAutoFit/>
                    </wps:bodyPr>
                  </wps:wsp>
                </a:graphicData>
              </a:graphic>
            </wp:anchor>
          </w:drawing>
        </mc:Choice>
        <mc:Fallback>
          <w:pict>
            <v:shapetype w14:anchorId="1D1F5126" id="_x0000_t202" coordsize="21600,21600" o:spt="202" path="m,l,21600r21600,l21600,xe">
              <v:stroke joinstyle="miter"/>
              <v:path gradientshapeok="t" o:connecttype="rect"/>
            </v:shapetype>
            <v:shape id="Shape 1818" o:spid="_x0000_s1237" type="#_x0000_t202" style="position:absolute;margin-left:176.4pt;margin-top:24.55pt;width:204.95pt;height:5.5pt;z-index:-251269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" filled="f" stroked="f">
              <v:textbox style="mso-fit-shape-to-text:t" inset="0,0,0,0">
                <w:txbxContent>
                  <w:p w14:paraId="3937193B" w14:textId="77777777" w:rsidR="00D03C17" w:rsidRDefault="00D03C17">
                    <w:pPr>
                      <w:pStyle w:val="Headerorfooter0"/>
                      <w:tabs>
                        <w:tab w:val="right" w:pos="4099"/>
                      </w:tabs>
                      <w:rPr>
                        <w:sz w:val="16"/>
                        <w:szCs w:val="16"/>
                      </w:rPr>
                    </w:pPr>
                    <w:r>
                      <w:t>ESTRONGILOIDIASIS</w:t>
                    </w:r>
                    <w:r>
                      <w:tab/>
                    </w:r>
                    <w:r>
                      <w:fldChar w:fldCharType="begin"/>
                    </w:r>
                    <w:r>
                      <w:instrText xml:space="preserve"> PAGE \* MERGEFORMAT </w:instrText>
                    </w:r>
                    <w:r>
                      <w:fldChar w:fldCharType="separate"/>
                    </w:r>
                    <w:r>
                      <w:rPr>
                        <w:sz w:val="16"/>
                        <w:szCs w:val="16"/>
                      </w:rPr>
                      <w:t>#</w:t>
                    </w:r>
                    <w:r>
                      <w:rPr>
                        <w:sz w:val="16"/>
                        <w:szCs w:val="1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842560" behindDoc="1" locked="0" layoutInCell="1" allowOverlap="1" wp14:anchorId="19416DA6" wp14:editId="7E1828F5">
              <wp:simplePos x="0" y="0"/>
              <wp:positionH relativeFrom="page">
                <wp:posOffset>505460</wp:posOffset>
              </wp:positionH>
              <wp:positionV relativeFrom="page">
                <wp:posOffset>419735</wp:posOffset>
              </wp:positionV>
              <wp:extent cx="4358640" cy="0"/>
              <wp:effectExtent l="0" t="0" r="0" b="0"/>
              <wp:wrapNone/>
              <wp:docPr id="1820" name="Shape 1820"/>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458C5A98" id="_x0000_t32" coordsize="21600,21600" o:spt="32" o:oned="t" path="m,l21600,21600e" filled="f">
              <v:path arrowok="t" fillok="f" o:connecttype="none"/>
              <o:lock v:ext="edit" shapetype="t"/>
            </v:shapetype>
            <v:shape id="Shape 1820" o:spid="_x0000_s1026" type="#_x0000_t32" style="position:absolute;margin-left:39.8pt;margin-top:33.05pt;width:343.2pt;height:0;z-index:-25147392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" strokeweight="1pt">
              <w10:wrap anchorx="page" anchory="page"/>
            </v:shape>
          </w:pict>
        </mc:Fallback>
      </mc:AlternateContent>
    </w:r>
  </w:p>
</w:hdr>
</file>

<file path=word/header1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AE0DE" w14:textId="77777777" w:rsidR="00D03C17" w:rsidRDefault="00D03C17">
    <w:pPr>
      <w:spacing w:line="1" w:lineRule="exact"/>
    </w:pPr>
    <w:r>
      <w:rPr>
        <w:noProof/>
      </w:rPr>
      <mc:AlternateContent>
        <mc:Choice Requires="wps">
          <w:drawing>
            <wp:anchor distT="0" distB="0" distL="0" distR="0" simplePos="0" relativeHeight="252049408" behindDoc="1" locked="0" layoutInCell="1" allowOverlap="1" wp14:anchorId="7FE82CEC" wp14:editId="0910458F">
              <wp:simplePos x="0" y="0"/>
              <wp:positionH relativeFrom="page">
                <wp:posOffset>338455</wp:posOffset>
              </wp:positionH>
              <wp:positionV relativeFrom="page">
                <wp:posOffset>308610</wp:posOffset>
              </wp:positionV>
              <wp:extent cx="3206750" cy="79375"/>
              <wp:effectExtent l="0" t="0" r="0" b="0"/>
              <wp:wrapNone/>
              <wp:docPr id="1824" name="Shape 1824"/>
              <wp:cNvGraphicFramePr/>
              <a:graphic xmlns:a="http://schemas.openxmlformats.org/drawingml/2006/main">
                <a:graphicData uri="http://schemas.microsoft.com/office/word/2010/wordprocessingShape">
                  <wps:wsp>
                    <wps:cNvSpPr txBox="1"/>
                    <wps:spPr>
                      <a:xfrm>
                        <a:off x="0" y="0"/>
                        <a:ext cx="3206750" cy="79375"/>
                      </a:xfrm>
                      <a:prstGeom prst="rect">
                        <a:avLst/>
                      </a:prstGeom>
                      <a:noFill/>
                    </wps:spPr>
                    <wps:txbx>
                      <w:txbxContent>
                        <w:p w14:paraId="6C748BE6" w14:textId="77777777" w:rsidR="00D03C17" w:rsidRDefault="00D03C17">
                          <w:pPr>
                            <w:pStyle w:val="Headerorfooter0"/>
                            <w:tabs>
                              <w:tab w:val="right" w:pos="5050"/>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ESTREPTOCOCOS DEL GRUPO B, INFECCIONES</w:t>
                          </w:r>
                        </w:p>
                      </w:txbxContent>
                    </wps:txbx>
                    <wps:bodyPr lIns="0" tIns="0" rIns="0" bIns="0">
                      <a:spAutoFit/>
                    </wps:bodyPr>
                  </wps:wsp>
                </a:graphicData>
              </a:graphic>
            </wp:anchor>
          </w:drawing>
        </mc:Choice>
        <mc:Fallback>
          <w:pict>
            <v:shapetype w14:anchorId="7FE82CEC" id="_x0000_t202" coordsize="21600,21600" o:spt="202" path="m,l,21600r21600,l21600,xe">
              <v:stroke joinstyle="miter"/>
              <v:path gradientshapeok="t" o:connecttype="rect"/>
            </v:shapetype>
            <v:shape id="Shape 1824" o:spid="_x0000_s1238" type="#_x0000_t202" style="position:absolute;margin-left:26.65pt;margin-top:24.3pt;width:252.5pt;height:6.25pt;z-index:-251267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" filled="f" stroked="f">
              <v:textbox style="mso-fit-shape-to-text:t" inset="0,0,0,0">
                <w:txbxContent>
                  <w:p w14:paraId="6C748BE6" w14:textId="77777777" w:rsidR="00D03C17" w:rsidRDefault="00D03C17">
                    <w:pPr>
                      <w:pStyle w:val="Headerorfooter0"/>
                      <w:tabs>
                        <w:tab w:val="right" w:pos="5050"/>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ESTREPTOCOCOS DEL GRUPO B, INFECCIONES</w:t>
                    </w:r>
                  </w:p>
                </w:txbxContent>
              </v:textbox>
              <w10:wrap anchorx="page" anchory="page"/>
            </v:shape>
          </w:pict>
        </mc:Fallback>
      </mc:AlternateContent>
    </w:r>
    <w:r>
      <w:rPr>
        <w:noProof/>
      </w:rPr>
      <mc:AlternateContent>
        <mc:Choice Requires="wps">
          <w:drawing>
            <wp:anchor distT="0" distB="0" distL="114300" distR="114300" simplePos="0" relativeHeight="251844608" behindDoc="1" locked="0" layoutInCell="1" allowOverlap="1" wp14:anchorId="5049411C" wp14:editId="2553B7EC">
              <wp:simplePos x="0" y="0"/>
              <wp:positionH relativeFrom="page">
                <wp:posOffset>323215</wp:posOffset>
              </wp:positionH>
              <wp:positionV relativeFrom="page">
                <wp:posOffset>419100</wp:posOffset>
              </wp:positionV>
              <wp:extent cx="4358640" cy="0"/>
              <wp:effectExtent l="0" t="0" r="0" b="0"/>
              <wp:wrapNone/>
              <wp:docPr id="1826" name="Shape 1826"/>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0FA1B0A2" id="_x0000_t32" coordsize="21600,21600" o:spt="32" o:oned="t" path="m,l21600,21600e" filled="f">
              <v:path arrowok="t" fillok="f" o:connecttype="none"/>
              <o:lock v:ext="edit" shapetype="t"/>
            </v:shapetype>
            <v:shape id="Shape 1826" o:spid="_x0000_s1026" type="#_x0000_t32" style="position:absolute;margin-left:25.45pt;margin-top:33pt;width:343.2pt;height:0;z-index:-25147187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" strokeweight="1pt">
              <w10:wrap anchorx="page" anchory="page"/>
            </v:shape>
          </w:pict>
        </mc:Fallback>
      </mc:AlternateContent>
    </w:r>
  </w:p>
</w:hdr>
</file>

<file path=word/header1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4AD00" w14:textId="77777777" w:rsidR="00D03C17" w:rsidRDefault="00D03C17">
    <w:pPr>
      <w:spacing w:line="1" w:lineRule="exact"/>
    </w:pPr>
    <w:r>
      <w:rPr>
        <w:noProof/>
      </w:rPr>
      <mc:AlternateContent>
        <mc:Choice Requires="wps">
          <w:drawing>
            <wp:anchor distT="0" distB="0" distL="0" distR="0" simplePos="0" relativeHeight="252051456" behindDoc="1" locked="0" layoutInCell="1" allowOverlap="1" wp14:anchorId="17C3B007" wp14:editId="4944C779">
              <wp:simplePos x="0" y="0"/>
              <wp:positionH relativeFrom="page">
                <wp:posOffset>1511300</wp:posOffset>
              </wp:positionH>
              <wp:positionV relativeFrom="page">
                <wp:posOffset>287655</wp:posOffset>
              </wp:positionV>
              <wp:extent cx="3331210" cy="94615"/>
              <wp:effectExtent l="0" t="0" r="0" b="0"/>
              <wp:wrapNone/>
              <wp:docPr id="1830" name="Shape 1830"/>
              <wp:cNvGraphicFramePr/>
              <a:graphic xmlns:a="http://schemas.openxmlformats.org/drawingml/2006/main">
                <a:graphicData uri="http://schemas.microsoft.com/office/word/2010/wordprocessingShape">
                  <wps:wsp>
                    <wps:cNvSpPr txBox="1"/>
                    <wps:spPr>
                      <a:xfrm>
                        <a:off x="0" y="0"/>
                        <a:ext cx="3331210" cy="94615"/>
                      </a:xfrm>
                      <a:prstGeom prst="rect">
                        <a:avLst/>
                      </a:prstGeom>
                      <a:noFill/>
                    </wps:spPr>
                    <wps:txbx>
                      <w:txbxContent>
                        <w:p w14:paraId="6C7A7615" w14:textId="77777777" w:rsidR="00D03C17" w:rsidRDefault="00D03C17">
                          <w:pPr>
                            <w:pStyle w:val="Headerorfooter0"/>
                            <w:tabs>
                              <w:tab w:val="right" w:pos="5246"/>
                            </w:tabs>
                            <w:rPr>
                              <w:sz w:val="16"/>
                              <w:szCs w:val="16"/>
                            </w:rPr>
                          </w:pPr>
                          <w:r>
                            <w:t>ESTREPTOCÓCICA Y ENTEROCÓCICAS, INFECCIONES</w:t>
                          </w:r>
                          <w:r>
                            <w:tab/>
                          </w:r>
                          <w:r>
                            <w:fldChar w:fldCharType="begin"/>
                          </w:r>
                          <w:r>
                            <w:instrText xml:space="preserve"> PAGE \* MERGEFORMAT </w:instrText>
                          </w:r>
                          <w:r>
                            <w:fldChar w:fldCharType="separate"/>
                          </w:r>
                          <w:r>
                            <w:rPr>
                              <w:sz w:val="16"/>
                              <w:szCs w:val="16"/>
                            </w:rPr>
                            <w:t>#</w:t>
                          </w:r>
                          <w:r>
                            <w:rPr>
                              <w:sz w:val="16"/>
                              <w:szCs w:val="16"/>
                            </w:rPr>
                            <w:fldChar w:fldCharType="end"/>
                          </w:r>
                        </w:p>
                      </w:txbxContent>
                    </wps:txbx>
                    <wps:bodyPr lIns="0" tIns="0" rIns="0" bIns="0">
                      <a:spAutoFit/>
                    </wps:bodyPr>
                  </wps:wsp>
                </a:graphicData>
              </a:graphic>
            </wp:anchor>
          </w:drawing>
        </mc:Choice>
        <mc:Fallback>
          <w:pict>
            <v:shapetype w14:anchorId="17C3B007" id="_x0000_t202" coordsize="21600,21600" o:spt="202" path="m,l,21600r21600,l21600,xe">
              <v:stroke joinstyle="miter"/>
              <v:path gradientshapeok="t" o:connecttype="rect"/>
            </v:shapetype>
            <v:shape id="Shape 1830" o:spid="_x0000_s1239" type="#_x0000_t202" style="position:absolute;margin-left:119pt;margin-top:22.65pt;width:262.3pt;height:7.45pt;z-index:-251265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" filled="f" stroked="f">
              <v:textbox style="mso-fit-shape-to-text:t" inset="0,0,0,0">
                <w:txbxContent>
                  <w:p w14:paraId="6C7A7615" w14:textId="77777777" w:rsidR="00D03C17" w:rsidRDefault="00D03C17">
                    <w:pPr>
                      <w:pStyle w:val="Headerorfooter0"/>
                      <w:tabs>
                        <w:tab w:val="right" w:pos="5246"/>
                      </w:tabs>
                      <w:rPr>
                        <w:sz w:val="16"/>
                        <w:szCs w:val="16"/>
                      </w:rPr>
                    </w:pPr>
                    <w:r>
                      <w:t>ESTREPTOCÓCICA Y ENTEROCÓCICAS, INFECCIONES</w:t>
                    </w:r>
                    <w:r>
                      <w:tab/>
                    </w:r>
                    <w:r>
                      <w:fldChar w:fldCharType="begin"/>
                    </w:r>
                    <w:r>
                      <w:instrText xml:space="preserve"> PAGE \* MERGEFORMAT </w:instrText>
                    </w:r>
                    <w:r>
                      <w:fldChar w:fldCharType="separate"/>
                    </w:r>
                    <w:r>
                      <w:rPr>
                        <w:sz w:val="16"/>
                        <w:szCs w:val="16"/>
                      </w:rPr>
                      <w:t>#</w:t>
                    </w:r>
                    <w:r>
                      <w:rPr>
                        <w:sz w:val="16"/>
                        <w:szCs w:val="1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846656" behindDoc="1" locked="0" layoutInCell="1" allowOverlap="1" wp14:anchorId="6EA53902" wp14:editId="5388E994">
              <wp:simplePos x="0" y="0"/>
              <wp:positionH relativeFrom="page">
                <wp:posOffset>505460</wp:posOffset>
              </wp:positionH>
              <wp:positionV relativeFrom="page">
                <wp:posOffset>410845</wp:posOffset>
              </wp:positionV>
              <wp:extent cx="4358640" cy="0"/>
              <wp:effectExtent l="0" t="0" r="0" b="0"/>
              <wp:wrapNone/>
              <wp:docPr id="1832" name="Shape 1832"/>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0AD5B407" id="_x0000_t32" coordsize="21600,21600" o:spt="32" o:oned="t" path="m,l21600,21600e" filled="f">
              <v:path arrowok="t" fillok="f" o:connecttype="none"/>
              <o:lock v:ext="edit" shapetype="t"/>
            </v:shapetype>
            <v:shape id="Shape 1832" o:spid="_x0000_s1026" type="#_x0000_t32" style="position:absolute;margin-left:39.8pt;margin-top:32.35pt;width:343.2pt;height:0;z-index:-25146982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" strokeweight="1pt">
              <w10:wrap anchorx="page" anchory="page"/>
            </v:shape>
          </w:pict>
        </mc:Fallback>
      </mc:AlternateContent>
    </w:r>
  </w:p>
</w:hdr>
</file>

<file path=word/header1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B386F" w14:textId="77777777" w:rsidR="00D03C17" w:rsidRDefault="00D03C17">
    <w:pPr>
      <w:spacing w:line="1" w:lineRule="exact"/>
    </w:pPr>
    <w:r>
      <w:rPr>
        <w:noProof/>
      </w:rPr>
      <mc:AlternateContent>
        <mc:Choice Requires="wps">
          <w:drawing>
            <wp:anchor distT="0" distB="0" distL="0" distR="0" simplePos="0" relativeHeight="252050432" behindDoc="1" locked="0" layoutInCell="1" allowOverlap="1" wp14:anchorId="4675A350" wp14:editId="2A071805">
              <wp:simplePos x="0" y="0"/>
              <wp:positionH relativeFrom="page">
                <wp:posOffset>1511300</wp:posOffset>
              </wp:positionH>
              <wp:positionV relativeFrom="page">
                <wp:posOffset>287655</wp:posOffset>
              </wp:positionV>
              <wp:extent cx="3331210" cy="94615"/>
              <wp:effectExtent l="0" t="0" r="0" b="0"/>
              <wp:wrapNone/>
              <wp:docPr id="1827" name="Shape 1827"/>
              <wp:cNvGraphicFramePr/>
              <a:graphic xmlns:a="http://schemas.openxmlformats.org/drawingml/2006/main">
                <a:graphicData uri="http://schemas.microsoft.com/office/word/2010/wordprocessingShape">
                  <wps:wsp>
                    <wps:cNvSpPr txBox="1"/>
                    <wps:spPr>
                      <a:xfrm>
                        <a:off x="0" y="0"/>
                        <a:ext cx="3331210" cy="94615"/>
                      </a:xfrm>
                      <a:prstGeom prst="rect">
                        <a:avLst/>
                      </a:prstGeom>
                      <a:noFill/>
                    </wps:spPr>
                    <wps:txbx>
                      <w:txbxContent>
                        <w:p w14:paraId="7393824B" w14:textId="77777777" w:rsidR="00D03C17" w:rsidRDefault="00D03C17">
                          <w:pPr>
                            <w:pStyle w:val="Headerorfooter0"/>
                            <w:tabs>
                              <w:tab w:val="right" w:pos="5246"/>
                            </w:tabs>
                            <w:rPr>
                              <w:sz w:val="16"/>
                              <w:szCs w:val="16"/>
                            </w:rPr>
                          </w:pPr>
                          <w:r>
                            <w:t>ESTREPTOCÓCICA Y ENTEROCÓCICAS, INFECCIONES</w:t>
                          </w:r>
                          <w:r>
                            <w:tab/>
                          </w:r>
                          <w:r>
                            <w:fldChar w:fldCharType="begin"/>
                          </w:r>
                          <w:r>
                            <w:instrText xml:space="preserve"> PAGE \* MERGEFORMAT </w:instrText>
                          </w:r>
                          <w:r>
                            <w:fldChar w:fldCharType="separate"/>
                          </w:r>
                          <w:r>
                            <w:rPr>
                              <w:sz w:val="16"/>
                              <w:szCs w:val="16"/>
                            </w:rPr>
                            <w:t>#</w:t>
                          </w:r>
                          <w:r>
                            <w:rPr>
                              <w:sz w:val="16"/>
                              <w:szCs w:val="16"/>
                            </w:rPr>
                            <w:fldChar w:fldCharType="end"/>
                          </w:r>
                        </w:p>
                      </w:txbxContent>
                    </wps:txbx>
                    <wps:bodyPr lIns="0" tIns="0" rIns="0" bIns="0">
                      <a:spAutoFit/>
                    </wps:bodyPr>
                  </wps:wsp>
                </a:graphicData>
              </a:graphic>
            </wp:anchor>
          </w:drawing>
        </mc:Choice>
        <mc:Fallback>
          <w:pict>
            <v:shapetype w14:anchorId="4675A350" id="_x0000_t202" coordsize="21600,21600" o:spt="202" path="m,l,21600r21600,l21600,xe">
              <v:stroke joinstyle="miter"/>
              <v:path gradientshapeok="t" o:connecttype="rect"/>
            </v:shapetype>
            <v:shape id="Shape 1827" o:spid="_x0000_s1240" type="#_x0000_t202" style="position:absolute;margin-left:119pt;margin-top:22.65pt;width:262.3pt;height:7.45pt;z-index:-251266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" filled="f" stroked="f">
              <v:textbox style="mso-fit-shape-to-text:t" inset="0,0,0,0">
                <w:txbxContent>
                  <w:p w14:paraId="7393824B" w14:textId="77777777" w:rsidR="00D03C17" w:rsidRDefault="00D03C17">
                    <w:pPr>
                      <w:pStyle w:val="Headerorfooter0"/>
                      <w:tabs>
                        <w:tab w:val="right" w:pos="5246"/>
                      </w:tabs>
                      <w:rPr>
                        <w:sz w:val="16"/>
                        <w:szCs w:val="16"/>
                      </w:rPr>
                    </w:pPr>
                    <w:r>
                      <w:t>ESTREPTOCÓCICA Y ENTEROCÓCICAS, INFECCIONES</w:t>
                    </w:r>
                    <w:r>
                      <w:tab/>
                    </w:r>
                    <w:r>
                      <w:fldChar w:fldCharType="begin"/>
                    </w:r>
                    <w:r>
                      <w:instrText xml:space="preserve"> PAGE \* MERGEFORMAT </w:instrText>
                    </w:r>
                    <w:r>
                      <w:fldChar w:fldCharType="separate"/>
                    </w:r>
                    <w:r>
                      <w:rPr>
                        <w:sz w:val="16"/>
                        <w:szCs w:val="16"/>
                      </w:rPr>
                      <w:t>#</w:t>
                    </w:r>
                    <w:r>
                      <w:rPr>
                        <w:sz w:val="16"/>
                        <w:szCs w:val="1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845632" behindDoc="1" locked="0" layoutInCell="1" allowOverlap="1" wp14:anchorId="6D313721" wp14:editId="141CD97D">
              <wp:simplePos x="0" y="0"/>
              <wp:positionH relativeFrom="page">
                <wp:posOffset>505460</wp:posOffset>
              </wp:positionH>
              <wp:positionV relativeFrom="page">
                <wp:posOffset>410845</wp:posOffset>
              </wp:positionV>
              <wp:extent cx="4358640" cy="0"/>
              <wp:effectExtent l="0" t="0" r="0" b="0"/>
              <wp:wrapNone/>
              <wp:docPr id="1829" name="Shape 1829"/>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10F062BF" id="_x0000_t32" coordsize="21600,21600" o:spt="32" o:oned="t" path="m,l21600,21600e" filled="f">
              <v:path arrowok="t" fillok="f" o:connecttype="none"/>
              <o:lock v:ext="edit" shapetype="t"/>
            </v:shapetype>
            <v:shape id="Shape 1829" o:spid="_x0000_s1026" type="#_x0000_t32" style="position:absolute;margin-left:39.8pt;margin-top:32.35pt;width:343.2pt;height:0;z-index:-25147084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" strokeweight="1pt">
              <w10:wrap anchorx="page" anchory="page"/>
            </v:shape>
          </w:pict>
        </mc:Fallback>
      </mc:AlternateContent>
    </w:r>
  </w:p>
</w:hdr>
</file>

<file path=word/header1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1A08D" w14:textId="77777777" w:rsidR="00D03C17" w:rsidRDefault="00D03C17">
    <w:pPr>
      <w:spacing w:line="1" w:lineRule="exact"/>
    </w:pPr>
    <w:r>
      <w:rPr>
        <w:noProof/>
      </w:rPr>
      <mc:AlternateContent>
        <mc:Choice Requires="wps">
          <w:drawing>
            <wp:anchor distT="0" distB="0" distL="0" distR="0" simplePos="0" relativeHeight="252052480" behindDoc="1" locked="0" layoutInCell="1" allowOverlap="1" wp14:anchorId="31D0447D" wp14:editId="1DE02C1B">
              <wp:simplePos x="0" y="0"/>
              <wp:positionH relativeFrom="page">
                <wp:posOffset>525780</wp:posOffset>
              </wp:positionH>
              <wp:positionV relativeFrom="page">
                <wp:posOffset>287655</wp:posOffset>
              </wp:positionV>
              <wp:extent cx="3337560" cy="94615"/>
              <wp:effectExtent l="0" t="0" r="0" b="0"/>
              <wp:wrapNone/>
              <wp:docPr id="1833" name="Shape 1833"/>
              <wp:cNvGraphicFramePr/>
              <a:graphic xmlns:a="http://schemas.openxmlformats.org/drawingml/2006/main">
                <a:graphicData uri="http://schemas.microsoft.com/office/word/2010/wordprocessingShape">
                  <wps:wsp>
                    <wps:cNvSpPr txBox="1"/>
                    <wps:spPr>
                      <a:xfrm>
                        <a:off x="0" y="0"/>
                        <a:ext cx="3337560" cy="94615"/>
                      </a:xfrm>
                      <a:prstGeom prst="rect">
                        <a:avLst/>
                      </a:prstGeom>
                      <a:noFill/>
                    </wps:spPr>
                    <wps:txbx>
                      <w:txbxContent>
                        <w:p w14:paraId="301E6497" w14:textId="77777777" w:rsidR="00D03C17" w:rsidRDefault="00D03C17">
                          <w:pPr>
                            <w:pStyle w:val="Headerorfooter0"/>
                            <w:tabs>
                              <w:tab w:val="right" w:pos="5256"/>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ESTREPTOCÓCICA Y ENTEROCÓCICAS, INFECCIONES</w:t>
                          </w:r>
                        </w:p>
                      </w:txbxContent>
                    </wps:txbx>
                    <wps:bodyPr lIns="0" tIns="0" rIns="0" bIns="0">
                      <a:spAutoFit/>
                    </wps:bodyPr>
                  </wps:wsp>
                </a:graphicData>
              </a:graphic>
            </wp:anchor>
          </w:drawing>
        </mc:Choice>
        <mc:Fallback>
          <w:pict>
            <v:shapetype w14:anchorId="31D0447D" id="_x0000_t202" coordsize="21600,21600" o:spt="202" path="m,l,21600r21600,l21600,xe">
              <v:stroke joinstyle="miter"/>
              <v:path gradientshapeok="t" o:connecttype="rect"/>
            </v:shapetype>
            <v:shape id="Shape 1833" o:spid="_x0000_s1241" type="#_x0000_t202" style="position:absolute;margin-left:41.4pt;margin-top:22.65pt;width:262.8pt;height:7.45pt;z-index:-251264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" filled="f" stroked="f">
              <v:textbox style="mso-fit-shape-to-text:t" inset="0,0,0,0">
                <w:txbxContent>
                  <w:p w14:paraId="301E6497" w14:textId="77777777" w:rsidR="00D03C17" w:rsidRDefault="00D03C17">
                    <w:pPr>
                      <w:pStyle w:val="Headerorfooter0"/>
                      <w:tabs>
                        <w:tab w:val="right" w:pos="5256"/>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ESTREPTOCÓCICA Y ENTEROCÓCICAS, INFECCIONES</w:t>
                    </w:r>
                  </w:p>
                </w:txbxContent>
              </v:textbox>
              <w10:wrap anchorx="page" anchory="page"/>
            </v:shape>
          </w:pict>
        </mc:Fallback>
      </mc:AlternateContent>
    </w:r>
    <w:r>
      <w:rPr>
        <w:noProof/>
      </w:rPr>
      <mc:AlternateContent>
        <mc:Choice Requires="wps">
          <w:drawing>
            <wp:anchor distT="0" distB="0" distL="114300" distR="114300" simplePos="0" relativeHeight="251847680" behindDoc="1" locked="0" layoutInCell="1" allowOverlap="1" wp14:anchorId="3C08C03B" wp14:editId="36C368A8">
              <wp:simplePos x="0" y="0"/>
              <wp:positionH relativeFrom="page">
                <wp:posOffset>510540</wp:posOffset>
              </wp:positionH>
              <wp:positionV relativeFrom="page">
                <wp:posOffset>410845</wp:posOffset>
              </wp:positionV>
              <wp:extent cx="4358640" cy="0"/>
              <wp:effectExtent l="0" t="0" r="0" b="0"/>
              <wp:wrapNone/>
              <wp:docPr id="1835" name="Shape 1835"/>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066706CF" id="_x0000_t32" coordsize="21600,21600" o:spt="32" o:oned="t" path="m,l21600,21600e" filled="f">
              <v:path arrowok="t" fillok="f" o:connecttype="none"/>
              <o:lock v:ext="edit" shapetype="t"/>
            </v:shapetype>
            <v:shape id="Shape 1835" o:spid="_x0000_s1026" type="#_x0000_t32" style="position:absolute;margin-left:40.2pt;margin-top:32.35pt;width:343.2pt;height:0;z-index:-25146880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" strokeweight="1pt">
              <w10:wrap anchorx="page" anchory="page"/>
            </v:shape>
          </w:pict>
        </mc:Fallback>
      </mc:AlternateContent>
    </w:r>
  </w:p>
</w:hdr>
</file>

<file path=word/header1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047D1" w14:textId="77777777" w:rsidR="00D03C17" w:rsidRDefault="00D03C17">
    <w:pPr>
      <w:spacing w:line="1" w:lineRule="exact"/>
    </w:pPr>
    <w:r>
      <w:rPr>
        <w:noProof/>
      </w:rPr>
      <mc:AlternateContent>
        <mc:Choice Requires="wps">
          <w:drawing>
            <wp:anchor distT="0" distB="0" distL="0" distR="0" simplePos="0" relativeHeight="252054528" behindDoc="1" locked="0" layoutInCell="1" allowOverlap="1" wp14:anchorId="0192CAFA" wp14:editId="77819968">
              <wp:simplePos x="0" y="0"/>
              <wp:positionH relativeFrom="page">
                <wp:posOffset>519430</wp:posOffset>
              </wp:positionH>
              <wp:positionV relativeFrom="page">
                <wp:posOffset>302895</wp:posOffset>
              </wp:positionV>
              <wp:extent cx="3206750" cy="79375"/>
              <wp:effectExtent l="0" t="0" r="0" b="0"/>
              <wp:wrapNone/>
              <wp:docPr id="1839" name="Shape 1839"/>
              <wp:cNvGraphicFramePr/>
              <a:graphic xmlns:a="http://schemas.openxmlformats.org/drawingml/2006/main">
                <a:graphicData uri="http://schemas.microsoft.com/office/word/2010/wordprocessingShape">
                  <wps:wsp>
                    <wps:cNvSpPr txBox="1"/>
                    <wps:spPr>
                      <a:xfrm>
                        <a:off x="0" y="0"/>
                        <a:ext cx="3206750" cy="79375"/>
                      </a:xfrm>
                      <a:prstGeom prst="rect">
                        <a:avLst/>
                      </a:prstGeom>
                      <a:noFill/>
                    </wps:spPr>
                    <wps:txbx>
                      <w:txbxContent>
                        <w:p w14:paraId="0EF9D2CA" w14:textId="77777777" w:rsidR="00D03C17" w:rsidRDefault="00D03C17">
                          <w:pPr>
                            <w:pStyle w:val="Headerorfooter0"/>
                            <w:tabs>
                              <w:tab w:val="right" w:pos="5050"/>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ESTREPTOCOCOS DEL GRUPO A, INFECCIONES</w:t>
                          </w:r>
                        </w:p>
                      </w:txbxContent>
                    </wps:txbx>
                    <wps:bodyPr lIns="0" tIns="0" rIns="0" bIns="0">
                      <a:spAutoFit/>
                    </wps:bodyPr>
                  </wps:wsp>
                </a:graphicData>
              </a:graphic>
            </wp:anchor>
          </w:drawing>
        </mc:Choice>
        <mc:Fallback>
          <w:pict>
            <v:shapetype w14:anchorId="0192CAFA" id="_x0000_t202" coordsize="21600,21600" o:spt="202" path="m,l,21600r21600,l21600,xe">
              <v:stroke joinstyle="miter"/>
              <v:path gradientshapeok="t" o:connecttype="rect"/>
            </v:shapetype>
            <v:shape id="Shape 1839" o:spid="_x0000_s1242" type="#_x0000_t202" style="position:absolute;margin-left:40.9pt;margin-top:23.85pt;width:252.5pt;height:6.25pt;z-index:-251261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" filled="f" stroked="f">
              <v:textbox style="mso-fit-shape-to-text:t" inset="0,0,0,0">
                <w:txbxContent>
                  <w:p w14:paraId="0EF9D2CA" w14:textId="77777777" w:rsidR="00D03C17" w:rsidRDefault="00D03C17">
                    <w:pPr>
                      <w:pStyle w:val="Headerorfooter0"/>
                      <w:tabs>
                        <w:tab w:val="right" w:pos="5050"/>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ESTREPTOCOCOS DEL GRUPO A, INFECCIONES</w:t>
                    </w:r>
                  </w:p>
                </w:txbxContent>
              </v:textbox>
              <w10:wrap anchorx="page" anchory="page"/>
            </v:shape>
          </w:pict>
        </mc:Fallback>
      </mc:AlternateContent>
    </w:r>
    <w:r>
      <w:rPr>
        <w:noProof/>
      </w:rPr>
      <mc:AlternateContent>
        <mc:Choice Requires="wps">
          <w:drawing>
            <wp:anchor distT="0" distB="0" distL="114300" distR="114300" simplePos="0" relativeHeight="251849728" behindDoc="1" locked="0" layoutInCell="1" allowOverlap="1" wp14:anchorId="41E71AA7" wp14:editId="59F63F06">
              <wp:simplePos x="0" y="0"/>
              <wp:positionH relativeFrom="page">
                <wp:posOffset>504190</wp:posOffset>
              </wp:positionH>
              <wp:positionV relativeFrom="page">
                <wp:posOffset>410845</wp:posOffset>
              </wp:positionV>
              <wp:extent cx="4358640" cy="0"/>
              <wp:effectExtent l="0" t="0" r="0" b="0"/>
              <wp:wrapNone/>
              <wp:docPr id="1841" name="Shape 1841"/>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12FDA0FA" id="_x0000_t32" coordsize="21600,21600" o:spt="32" o:oned="t" path="m,l21600,21600e" filled="f">
              <v:path arrowok="t" fillok="f" o:connecttype="none"/>
              <o:lock v:ext="edit" shapetype="t"/>
            </v:shapetype>
            <v:shape id="Shape 1841" o:spid="_x0000_s1026" type="#_x0000_t32" style="position:absolute;margin-left:39.7pt;margin-top:32.35pt;width:343.2pt;height:0;z-index:-25146675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" strokeweight="1pt">
              <w10:wrap anchorx="page" anchory="page"/>
            </v:shape>
          </w:pict>
        </mc:Fallback>
      </mc:AlternateContent>
    </w:r>
  </w:p>
</w:hdr>
</file>

<file path=word/header2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31388" w14:textId="77777777" w:rsidR="00D03C17" w:rsidRDefault="00D03C17">
    <w:pPr>
      <w:spacing w:line="1" w:lineRule="exact"/>
    </w:pPr>
    <w:r>
      <w:rPr>
        <w:noProof/>
      </w:rPr>
      <mc:AlternateContent>
        <mc:Choice Requires="wps">
          <w:drawing>
            <wp:anchor distT="0" distB="0" distL="0" distR="0" simplePos="0" relativeHeight="252053504" behindDoc="1" locked="0" layoutInCell="1" allowOverlap="1" wp14:anchorId="56DCB886" wp14:editId="6C9FC35F">
              <wp:simplePos x="0" y="0"/>
              <wp:positionH relativeFrom="page">
                <wp:posOffset>519430</wp:posOffset>
              </wp:positionH>
              <wp:positionV relativeFrom="page">
                <wp:posOffset>302895</wp:posOffset>
              </wp:positionV>
              <wp:extent cx="3206750" cy="79375"/>
              <wp:effectExtent l="0" t="0" r="0" b="0"/>
              <wp:wrapNone/>
              <wp:docPr id="1836" name="Shape 1836"/>
              <wp:cNvGraphicFramePr/>
              <a:graphic xmlns:a="http://schemas.openxmlformats.org/drawingml/2006/main">
                <a:graphicData uri="http://schemas.microsoft.com/office/word/2010/wordprocessingShape">
                  <wps:wsp>
                    <wps:cNvSpPr txBox="1"/>
                    <wps:spPr>
                      <a:xfrm>
                        <a:off x="0" y="0"/>
                        <a:ext cx="3206750" cy="79375"/>
                      </a:xfrm>
                      <a:prstGeom prst="rect">
                        <a:avLst/>
                      </a:prstGeom>
                      <a:noFill/>
                    </wps:spPr>
                    <wps:txbx>
                      <w:txbxContent>
                        <w:p w14:paraId="390F1783" w14:textId="77777777" w:rsidR="00D03C17" w:rsidRDefault="00D03C17">
                          <w:pPr>
                            <w:pStyle w:val="Headerorfooter0"/>
                            <w:tabs>
                              <w:tab w:val="right" w:pos="5050"/>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ESTREPTOCOCOS DEL GRUPO A, INFECCIONES</w:t>
                          </w:r>
                        </w:p>
                      </w:txbxContent>
                    </wps:txbx>
                    <wps:bodyPr lIns="0" tIns="0" rIns="0" bIns="0">
                      <a:spAutoFit/>
                    </wps:bodyPr>
                  </wps:wsp>
                </a:graphicData>
              </a:graphic>
            </wp:anchor>
          </w:drawing>
        </mc:Choice>
        <mc:Fallback>
          <w:pict>
            <v:shapetype w14:anchorId="56DCB886" id="_x0000_t202" coordsize="21600,21600" o:spt="202" path="m,l,21600r21600,l21600,xe">
              <v:stroke joinstyle="miter"/>
              <v:path gradientshapeok="t" o:connecttype="rect"/>
            </v:shapetype>
            <v:shape id="Shape 1836" o:spid="_x0000_s1243" type="#_x0000_t202" style="position:absolute;margin-left:40.9pt;margin-top:23.85pt;width:252.5pt;height:6.25pt;z-index:-251262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" filled="f" stroked="f">
              <v:textbox style="mso-fit-shape-to-text:t" inset="0,0,0,0">
                <w:txbxContent>
                  <w:p w14:paraId="390F1783" w14:textId="77777777" w:rsidR="00D03C17" w:rsidRDefault="00D03C17">
                    <w:pPr>
                      <w:pStyle w:val="Headerorfooter0"/>
                      <w:tabs>
                        <w:tab w:val="right" w:pos="5050"/>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ESTREPTOCOCOS DEL GRUPO A, INFECCIONES</w:t>
                    </w:r>
                  </w:p>
                </w:txbxContent>
              </v:textbox>
              <w10:wrap anchorx="page" anchory="page"/>
            </v:shape>
          </w:pict>
        </mc:Fallback>
      </mc:AlternateContent>
    </w:r>
    <w:r>
      <w:rPr>
        <w:noProof/>
      </w:rPr>
      <mc:AlternateContent>
        <mc:Choice Requires="wps">
          <w:drawing>
            <wp:anchor distT="0" distB="0" distL="114300" distR="114300" simplePos="0" relativeHeight="251848704" behindDoc="1" locked="0" layoutInCell="1" allowOverlap="1" wp14:anchorId="4816F36B" wp14:editId="33853CE5">
              <wp:simplePos x="0" y="0"/>
              <wp:positionH relativeFrom="page">
                <wp:posOffset>504190</wp:posOffset>
              </wp:positionH>
              <wp:positionV relativeFrom="page">
                <wp:posOffset>410845</wp:posOffset>
              </wp:positionV>
              <wp:extent cx="4358640" cy="0"/>
              <wp:effectExtent l="0" t="0" r="0" b="0"/>
              <wp:wrapNone/>
              <wp:docPr id="1838" name="Shape 1838"/>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5FBA13C1" id="_x0000_t32" coordsize="21600,21600" o:spt="32" o:oned="t" path="m,l21600,21600e" filled="f">
              <v:path arrowok="t" fillok="f" o:connecttype="none"/>
              <o:lock v:ext="edit" shapetype="t"/>
            </v:shapetype>
            <v:shape id="Shape 1838" o:spid="_x0000_s1026" type="#_x0000_t32" style="position:absolute;margin-left:39.7pt;margin-top:32.35pt;width:343.2pt;height:0;z-index:-25146777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" strokeweight="1pt">
              <w10:wrap anchorx="page" anchory="page"/>
            </v:shape>
          </w:pict>
        </mc:Fallback>
      </mc:AlternateContent>
    </w:r>
  </w:p>
</w:hdr>
</file>

<file path=word/header2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755FE" w14:textId="77777777" w:rsidR="00D03C17" w:rsidRDefault="00D03C17">
    <w:pPr>
      <w:spacing w:line="1" w:lineRule="exact"/>
    </w:pPr>
    <w:r>
      <w:rPr>
        <w:noProof/>
      </w:rPr>
      <mc:AlternateContent>
        <mc:Choice Requires="wps">
          <w:drawing>
            <wp:anchor distT="0" distB="0" distL="0" distR="0" simplePos="0" relativeHeight="252056576" behindDoc="1" locked="0" layoutInCell="1" allowOverlap="1" wp14:anchorId="197DDBAF" wp14:editId="0C618EC9">
              <wp:simplePos x="0" y="0"/>
              <wp:positionH relativeFrom="page">
                <wp:posOffset>528320</wp:posOffset>
              </wp:positionH>
              <wp:positionV relativeFrom="page">
                <wp:posOffset>302895</wp:posOffset>
              </wp:positionV>
              <wp:extent cx="2868295" cy="79375"/>
              <wp:effectExtent l="0" t="0" r="0" b="0"/>
              <wp:wrapNone/>
              <wp:docPr id="1845" name="Shape 1845"/>
              <wp:cNvGraphicFramePr/>
              <a:graphic xmlns:a="http://schemas.openxmlformats.org/drawingml/2006/main">
                <a:graphicData uri="http://schemas.microsoft.com/office/word/2010/wordprocessingShape">
                  <wps:wsp>
                    <wps:cNvSpPr txBox="1"/>
                    <wps:spPr>
                      <a:xfrm>
                        <a:off x="0" y="0"/>
                        <a:ext cx="2868295" cy="79375"/>
                      </a:xfrm>
                      <a:prstGeom prst="rect">
                        <a:avLst/>
                      </a:prstGeom>
                      <a:noFill/>
                    </wps:spPr>
                    <wps:txbx>
                      <w:txbxContent>
                        <w:p w14:paraId="5F4E2AAB" w14:textId="77777777" w:rsidR="00D03C17" w:rsidRDefault="00D03C17">
                          <w:pPr>
                            <w:pStyle w:val="Headerorfooter0"/>
                            <w:tabs>
                              <w:tab w:val="right" w:pos="4517"/>
                            </w:tabs>
                          </w:pPr>
                          <w:r>
                            <w:rPr>
                              <w:sz w:val="16"/>
                              <w:szCs w:val="16"/>
                            </w:rPr>
                            <w:t>346</w:t>
                          </w:r>
                          <w:r>
                            <w:rPr>
                              <w:sz w:val="16"/>
                              <w:szCs w:val="16"/>
                            </w:rPr>
                            <w:tab/>
                          </w:r>
                          <w:r>
                            <w:rPr>
                              <w:i/>
                              <w:iCs/>
                              <w:sz w:val="13"/>
                              <w:szCs w:val="13"/>
                            </w:rPr>
                            <w:t>GIARDIA LAMBLIA</w:t>
                          </w:r>
                          <w:r>
                            <w:rPr>
                              <w:i/>
                              <w:iCs/>
                            </w:rPr>
                            <w:t>,</w:t>
                          </w:r>
                          <w:r>
                            <w:t xml:space="preserve"> INFECCIONES</w:t>
                          </w:r>
                        </w:p>
                      </w:txbxContent>
                    </wps:txbx>
                    <wps:bodyPr lIns="0" tIns="0" rIns="0" bIns="0">
                      <a:spAutoFit/>
                    </wps:bodyPr>
                  </wps:wsp>
                </a:graphicData>
              </a:graphic>
            </wp:anchor>
          </w:drawing>
        </mc:Choice>
        <mc:Fallback>
          <w:pict>
            <v:shapetype w14:anchorId="197DDBAF" id="_x0000_t202" coordsize="21600,21600" o:spt="202" path="m,l,21600r21600,l21600,xe">
              <v:stroke joinstyle="miter"/>
              <v:path gradientshapeok="t" o:connecttype="rect"/>
            </v:shapetype>
            <v:shape id="Shape 1845" o:spid="_x0000_s1244" type="#_x0000_t202" style="position:absolute;margin-left:41.6pt;margin-top:23.85pt;width:225.85pt;height:6.25pt;z-index:-251259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" filled="f" stroked="f">
              <v:textbox style="mso-fit-shape-to-text:t" inset="0,0,0,0">
                <w:txbxContent>
                  <w:p w14:paraId="5F4E2AAB" w14:textId="77777777" w:rsidR="00D03C17" w:rsidRDefault="00D03C17">
                    <w:pPr>
                      <w:pStyle w:val="Headerorfooter0"/>
                      <w:tabs>
                        <w:tab w:val="right" w:pos="4517"/>
                      </w:tabs>
                    </w:pPr>
                    <w:r>
                      <w:rPr>
                        <w:sz w:val="16"/>
                        <w:szCs w:val="16"/>
                      </w:rPr>
                      <w:t>346</w:t>
                    </w:r>
                    <w:r>
                      <w:rPr>
                        <w:sz w:val="16"/>
                        <w:szCs w:val="16"/>
                      </w:rPr>
                      <w:tab/>
                    </w:r>
                    <w:r>
                      <w:rPr>
                        <w:i/>
                        <w:iCs/>
                        <w:sz w:val="13"/>
                        <w:szCs w:val="13"/>
                      </w:rPr>
                      <w:t>GIARDIA LAMBLIA</w:t>
                    </w:r>
                    <w:r>
                      <w:rPr>
                        <w:i/>
                        <w:iCs/>
                      </w:rPr>
                      <w:t>,</w:t>
                    </w:r>
                    <w:r>
                      <w:t xml:space="preserve"> INFECCIONES</w:t>
                    </w:r>
                  </w:p>
                </w:txbxContent>
              </v:textbox>
              <w10:wrap anchorx="page" anchory="page"/>
            </v:shape>
          </w:pict>
        </mc:Fallback>
      </mc:AlternateContent>
    </w:r>
    <w:r>
      <w:rPr>
        <w:noProof/>
      </w:rPr>
      <mc:AlternateContent>
        <mc:Choice Requires="wps">
          <w:drawing>
            <wp:anchor distT="0" distB="0" distL="114300" distR="114300" simplePos="0" relativeHeight="251851776" behindDoc="1" locked="0" layoutInCell="1" allowOverlap="1" wp14:anchorId="15AF7011" wp14:editId="066AF4C0">
              <wp:simplePos x="0" y="0"/>
              <wp:positionH relativeFrom="page">
                <wp:posOffset>513080</wp:posOffset>
              </wp:positionH>
              <wp:positionV relativeFrom="page">
                <wp:posOffset>410845</wp:posOffset>
              </wp:positionV>
              <wp:extent cx="4358640" cy="0"/>
              <wp:effectExtent l="0" t="0" r="0" b="0"/>
              <wp:wrapNone/>
              <wp:docPr id="1847" name="Shape 1847"/>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4342833C" id="_x0000_t32" coordsize="21600,21600" o:spt="32" o:oned="t" path="m,l21600,21600e" filled="f">
              <v:path arrowok="t" fillok="f" o:connecttype="none"/>
              <o:lock v:ext="edit" shapetype="t"/>
            </v:shapetype>
            <v:shape id="Shape 1847" o:spid="_x0000_s1026" type="#_x0000_t32" style="position:absolute;margin-left:40.4pt;margin-top:32.35pt;width:343.2pt;height:0;z-index:-25146470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" strokeweight="1pt">
              <w10:wrap anchorx="page" anchory="page"/>
            </v:shape>
          </w:pict>
        </mc:Fallback>
      </mc:AlternateContent>
    </w:r>
  </w:p>
</w:hdr>
</file>

<file path=word/header2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FD169" w14:textId="77777777" w:rsidR="00D03C17" w:rsidRDefault="00D03C17">
    <w:pPr>
      <w:spacing w:line="1" w:lineRule="exact"/>
    </w:pPr>
    <w:r>
      <w:rPr>
        <w:noProof/>
      </w:rPr>
      <mc:AlternateContent>
        <mc:Choice Requires="wps">
          <w:drawing>
            <wp:anchor distT="0" distB="0" distL="0" distR="0" simplePos="0" relativeHeight="252055552" behindDoc="1" locked="0" layoutInCell="1" allowOverlap="1" wp14:anchorId="503C228C" wp14:editId="2E062290">
              <wp:simplePos x="0" y="0"/>
              <wp:positionH relativeFrom="page">
                <wp:posOffset>528320</wp:posOffset>
              </wp:positionH>
              <wp:positionV relativeFrom="page">
                <wp:posOffset>302895</wp:posOffset>
              </wp:positionV>
              <wp:extent cx="2868295" cy="79375"/>
              <wp:effectExtent l="0" t="0" r="0" b="0"/>
              <wp:wrapNone/>
              <wp:docPr id="1842" name="Shape 1842"/>
              <wp:cNvGraphicFramePr/>
              <a:graphic xmlns:a="http://schemas.openxmlformats.org/drawingml/2006/main">
                <a:graphicData uri="http://schemas.microsoft.com/office/word/2010/wordprocessingShape">
                  <wps:wsp>
                    <wps:cNvSpPr txBox="1"/>
                    <wps:spPr>
                      <a:xfrm>
                        <a:off x="0" y="0"/>
                        <a:ext cx="2868295" cy="79375"/>
                      </a:xfrm>
                      <a:prstGeom prst="rect">
                        <a:avLst/>
                      </a:prstGeom>
                      <a:noFill/>
                    </wps:spPr>
                    <wps:txbx>
                      <w:txbxContent>
                        <w:p w14:paraId="11EF2B16" w14:textId="77777777" w:rsidR="00D03C17" w:rsidRDefault="00D03C17">
                          <w:pPr>
                            <w:pStyle w:val="Headerorfooter0"/>
                            <w:tabs>
                              <w:tab w:val="right" w:pos="4517"/>
                            </w:tabs>
                          </w:pPr>
                          <w:r>
                            <w:rPr>
                              <w:sz w:val="16"/>
                              <w:szCs w:val="16"/>
                            </w:rPr>
                            <w:t>346</w:t>
                          </w:r>
                          <w:r>
                            <w:rPr>
                              <w:sz w:val="16"/>
                              <w:szCs w:val="16"/>
                            </w:rPr>
                            <w:tab/>
                          </w:r>
                          <w:r>
                            <w:rPr>
                              <w:i/>
                              <w:iCs/>
                              <w:sz w:val="13"/>
                              <w:szCs w:val="13"/>
                            </w:rPr>
                            <w:t>GIARDIA LAMBLIA</w:t>
                          </w:r>
                          <w:r>
                            <w:rPr>
                              <w:i/>
                              <w:iCs/>
                            </w:rPr>
                            <w:t>,</w:t>
                          </w:r>
                          <w:r>
                            <w:t xml:space="preserve"> INFECCIONES</w:t>
                          </w:r>
                        </w:p>
                      </w:txbxContent>
                    </wps:txbx>
                    <wps:bodyPr lIns="0" tIns="0" rIns="0" bIns="0">
                      <a:spAutoFit/>
                    </wps:bodyPr>
                  </wps:wsp>
                </a:graphicData>
              </a:graphic>
            </wp:anchor>
          </w:drawing>
        </mc:Choice>
        <mc:Fallback>
          <w:pict>
            <v:shapetype w14:anchorId="503C228C" id="_x0000_t202" coordsize="21600,21600" o:spt="202" path="m,l,21600r21600,l21600,xe">
              <v:stroke joinstyle="miter"/>
              <v:path gradientshapeok="t" o:connecttype="rect"/>
            </v:shapetype>
            <v:shape id="Shape 1842" o:spid="_x0000_s1245" type="#_x0000_t202" style="position:absolute;margin-left:41.6pt;margin-top:23.85pt;width:225.85pt;height:6.25pt;z-index:-251260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" filled="f" stroked="f">
              <v:textbox style="mso-fit-shape-to-text:t" inset="0,0,0,0">
                <w:txbxContent>
                  <w:p w14:paraId="11EF2B16" w14:textId="77777777" w:rsidR="00D03C17" w:rsidRDefault="00D03C17">
                    <w:pPr>
                      <w:pStyle w:val="Headerorfooter0"/>
                      <w:tabs>
                        <w:tab w:val="right" w:pos="4517"/>
                      </w:tabs>
                    </w:pPr>
                    <w:r>
                      <w:rPr>
                        <w:sz w:val="16"/>
                        <w:szCs w:val="16"/>
                      </w:rPr>
                      <w:t>346</w:t>
                    </w:r>
                    <w:r>
                      <w:rPr>
                        <w:sz w:val="16"/>
                        <w:szCs w:val="16"/>
                      </w:rPr>
                      <w:tab/>
                    </w:r>
                    <w:r>
                      <w:rPr>
                        <w:i/>
                        <w:iCs/>
                        <w:sz w:val="13"/>
                        <w:szCs w:val="13"/>
                      </w:rPr>
                      <w:t>GIARDIA LAMBLIA</w:t>
                    </w:r>
                    <w:r>
                      <w:rPr>
                        <w:i/>
                        <w:iCs/>
                      </w:rPr>
                      <w:t>,</w:t>
                    </w:r>
                    <w:r>
                      <w:t xml:space="preserve"> INFECCIONES</w:t>
                    </w:r>
                  </w:p>
                </w:txbxContent>
              </v:textbox>
              <w10:wrap anchorx="page" anchory="page"/>
            </v:shape>
          </w:pict>
        </mc:Fallback>
      </mc:AlternateContent>
    </w:r>
    <w:r>
      <w:rPr>
        <w:noProof/>
      </w:rPr>
      <mc:AlternateContent>
        <mc:Choice Requires="wps">
          <w:drawing>
            <wp:anchor distT="0" distB="0" distL="114300" distR="114300" simplePos="0" relativeHeight="251850752" behindDoc="1" locked="0" layoutInCell="1" allowOverlap="1" wp14:anchorId="3C68AFA7" wp14:editId="17275C22">
              <wp:simplePos x="0" y="0"/>
              <wp:positionH relativeFrom="page">
                <wp:posOffset>513080</wp:posOffset>
              </wp:positionH>
              <wp:positionV relativeFrom="page">
                <wp:posOffset>410845</wp:posOffset>
              </wp:positionV>
              <wp:extent cx="4358640" cy="0"/>
              <wp:effectExtent l="0" t="0" r="0" b="0"/>
              <wp:wrapNone/>
              <wp:docPr id="1844" name="Shape 1844"/>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55D98A25" id="_x0000_t32" coordsize="21600,21600" o:spt="32" o:oned="t" path="m,l21600,21600e" filled="f">
              <v:path arrowok="t" fillok="f" o:connecttype="none"/>
              <o:lock v:ext="edit" shapetype="t"/>
            </v:shapetype>
            <v:shape id="Shape 1844" o:spid="_x0000_s1026" type="#_x0000_t32" style="position:absolute;margin-left:40.4pt;margin-top:32.35pt;width:343.2pt;height:0;z-index:-25146572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" strokeweight="1pt">
              <w10:wrap anchorx="page" anchory="page"/>
            </v:shape>
          </w:pict>
        </mc:Fallback>
      </mc:AlternateContent>
    </w:r>
  </w:p>
</w:hdr>
</file>

<file path=word/header2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5EB01" w14:textId="77777777" w:rsidR="00D03C17" w:rsidRDefault="00D03C17">
    <w:pPr>
      <w:spacing w:line="1" w:lineRule="exact"/>
    </w:pPr>
    <w:r>
      <w:rPr>
        <w:noProof/>
      </w:rPr>
      <mc:AlternateContent>
        <mc:Choice Requires="wps">
          <w:drawing>
            <wp:anchor distT="0" distB="0" distL="0" distR="0" simplePos="0" relativeHeight="252057600" behindDoc="1" locked="0" layoutInCell="1" allowOverlap="1" wp14:anchorId="5C063C3F" wp14:editId="76422A0E">
              <wp:simplePos x="0" y="0"/>
              <wp:positionH relativeFrom="page">
                <wp:posOffset>2240280</wp:posOffset>
              </wp:positionH>
              <wp:positionV relativeFrom="page">
                <wp:posOffset>311785</wp:posOffset>
              </wp:positionV>
              <wp:extent cx="2602865" cy="69850"/>
              <wp:effectExtent l="0" t="0" r="0" b="0"/>
              <wp:wrapNone/>
              <wp:docPr id="1848" name="Shape 1848"/>
              <wp:cNvGraphicFramePr/>
              <a:graphic xmlns:a="http://schemas.openxmlformats.org/drawingml/2006/main">
                <a:graphicData uri="http://schemas.microsoft.com/office/word/2010/wordprocessingShape">
                  <wps:wsp>
                    <wps:cNvSpPr txBox="1"/>
                    <wps:spPr>
                      <a:xfrm>
                        <a:off x="0" y="0"/>
                        <a:ext cx="2602865" cy="69850"/>
                      </a:xfrm>
                      <a:prstGeom prst="rect">
                        <a:avLst/>
                      </a:prstGeom>
                      <a:noFill/>
                    </wps:spPr>
                    <wps:txbx>
                      <w:txbxContent>
                        <w:p w14:paraId="1021874C" w14:textId="77777777" w:rsidR="00D03C17" w:rsidRDefault="00D03C17">
                          <w:pPr>
                            <w:pStyle w:val="Headerorfooter0"/>
                            <w:tabs>
                              <w:tab w:val="right" w:pos="4099"/>
                            </w:tabs>
                            <w:rPr>
                              <w:sz w:val="16"/>
                              <w:szCs w:val="16"/>
                            </w:rPr>
                          </w:pPr>
                          <w:r>
                            <w:t>ESTRONGILOIDIASIS</w:t>
                          </w:r>
                          <w:r>
                            <w:tab/>
                          </w:r>
                          <w:r>
                            <w:fldChar w:fldCharType="begin"/>
                          </w:r>
                          <w:r>
                            <w:instrText xml:space="preserve"> PAGE \* MERGEFORMAT </w:instrText>
                          </w:r>
                          <w:r>
                            <w:fldChar w:fldCharType="separate"/>
                          </w:r>
                          <w:r>
                            <w:rPr>
                              <w:sz w:val="16"/>
                              <w:szCs w:val="16"/>
                            </w:rPr>
                            <w:t>#</w:t>
                          </w:r>
                          <w:r>
                            <w:rPr>
                              <w:sz w:val="16"/>
                              <w:szCs w:val="16"/>
                            </w:rPr>
                            <w:fldChar w:fldCharType="end"/>
                          </w:r>
                        </w:p>
                      </w:txbxContent>
                    </wps:txbx>
                    <wps:bodyPr lIns="0" tIns="0" rIns="0" bIns="0">
                      <a:spAutoFit/>
                    </wps:bodyPr>
                  </wps:wsp>
                </a:graphicData>
              </a:graphic>
            </wp:anchor>
          </w:drawing>
        </mc:Choice>
        <mc:Fallback>
          <w:pict>
            <v:shapetype w14:anchorId="5C063C3F" id="_x0000_t202" coordsize="21600,21600" o:spt="202" path="m,l,21600r21600,l21600,xe">
              <v:stroke joinstyle="miter"/>
              <v:path gradientshapeok="t" o:connecttype="rect"/>
            </v:shapetype>
            <v:shape id="Shape 1848" o:spid="_x0000_s1246" type="#_x0000_t202" style="position:absolute;margin-left:176.4pt;margin-top:24.55pt;width:204.95pt;height:5.5pt;z-index:-251258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" filled="f" stroked="f">
              <v:textbox style="mso-fit-shape-to-text:t" inset="0,0,0,0">
                <w:txbxContent>
                  <w:p w14:paraId="1021874C" w14:textId="77777777" w:rsidR="00D03C17" w:rsidRDefault="00D03C17">
                    <w:pPr>
                      <w:pStyle w:val="Headerorfooter0"/>
                      <w:tabs>
                        <w:tab w:val="right" w:pos="4099"/>
                      </w:tabs>
                      <w:rPr>
                        <w:sz w:val="16"/>
                        <w:szCs w:val="16"/>
                      </w:rPr>
                    </w:pPr>
                    <w:r>
                      <w:t>ESTRONGILOIDIASIS</w:t>
                    </w:r>
                    <w:r>
                      <w:tab/>
                    </w:r>
                    <w:r>
                      <w:fldChar w:fldCharType="begin"/>
                    </w:r>
                    <w:r>
                      <w:instrText xml:space="preserve"> PAGE \* MERGEFORMAT </w:instrText>
                    </w:r>
                    <w:r>
                      <w:fldChar w:fldCharType="separate"/>
                    </w:r>
                    <w:r>
                      <w:rPr>
                        <w:sz w:val="16"/>
                        <w:szCs w:val="16"/>
                      </w:rPr>
                      <w:t>#</w:t>
                    </w:r>
                    <w:r>
                      <w:rPr>
                        <w:sz w:val="16"/>
                        <w:szCs w:val="1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852800" behindDoc="1" locked="0" layoutInCell="1" allowOverlap="1" wp14:anchorId="63544DE0" wp14:editId="343C6EB4">
              <wp:simplePos x="0" y="0"/>
              <wp:positionH relativeFrom="page">
                <wp:posOffset>505460</wp:posOffset>
              </wp:positionH>
              <wp:positionV relativeFrom="page">
                <wp:posOffset>419735</wp:posOffset>
              </wp:positionV>
              <wp:extent cx="4358640" cy="0"/>
              <wp:effectExtent l="0" t="0" r="0" b="0"/>
              <wp:wrapNone/>
              <wp:docPr id="1850" name="Shape 1850"/>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1BF15194" id="_x0000_t32" coordsize="21600,21600" o:spt="32" o:oned="t" path="m,l21600,21600e" filled="f">
              <v:path arrowok="t" fillok="f" o:connecttype="none"/>
              <o:lock v:ext="edit" shapetype="t"/>
            </v:shapetype>
            <v:shape id="Shape 1850" o:spid="_x0000_s1026" type="#_x0000_t32" style="position:absolute;margin-left:39.8pt;margin-top:33.05pt;width:343.2pt;height:0;z-index:-25146368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" strokeweight="1pt">
              <w10:wrap anchorx="page" anchory="page"/>
            </v:shape>
          </w:pict>
        </mc:Fallback>
      </mc:AlternateContent>
    </w:r>
  </w:p>
</w:hdr>
</file>

<file path=word/header2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2DDB8" w14:textId="77777777" w:rsidR="00D03C17" w:rsidRDefault="00D03C17">
    <w:pPr>
      <w:spacing w:line="1" w:lineRule="exact"/>
    </w:pPr>
    <w:r>
      <w:rPr>
        <w:noProof/>
      </w:rPr>
      <mc:AlternateContent>
        <mc:Choice Requires="wps">
          <w:drawing>
            <wp:anchor distT="0" distB="0" distL="0" distR="0" simplePos="0" relativeHeight="252059648" behindDoc="1" locked="0" layoutInCell="1" allowOverlap="1" wp14:anchorId="0D6FD18D" wp14:editId="15C6BFC1">
              <wp:simplePos x="0" y="0"/>
              <wp:positionH relativeFrom="page">
                <wp:posOffset>523875</wp:posOffset>
              </wp:positionH>
              <wp:positionV relativeFrom="page">
                <wp:posOffset>295910</wp:posOffset>
              </wp:positionV>
              <wp:extent cx="2307590" cy="85090"/>
              <wp:effectExtent l="0" t="0" r="0" b="0"/>
              <wp:wrapNone/>
              <wp:docPr id="1854" name="Shape 1854"/>
              <wp:cNvGraphicFramePr/>
              <a:graphic xmlns:a="http://schemas.openxmlformats.org/drawingml/2006/main">
                <a:graphicData uri="http://schemas.microsoft.com/office/word/2010/wordprocessingShape">
                  <wps:wsp>
                    <wps:cNvSpPr txBox="1"/>
                    <wps:spPr>
                      <a:xfrm>
                        <a:off x="0" y="0"/>
                        <a:ext cx="2307590" cy="85090"/>
                      </a:xfrm>
                      <a:prstGeom prst="rect">
                        <a:avLst/>
                      </a:prstGeom>
                      <a:noFill/>
                    </wps:spPr>
                    <wps:txbx>
                      <w:txbxContent>
                        <w:p w14:paraId="2CE498E3" w14:textId="77777777" w:rsidR="00D03C17" w:rsidRDefault="00D03C17">
                          <w:pPr>
                            <w:pStyle w:val="Headerorfooter0"/>
                            <w:tabs>
                              <w:tab w:val="right" w:pos="3634"/>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SÍFILIS</w:t>
                          </w:r>
                        </w:p>
                      </w:txbxContent>
                    </wps:txbx>
                    <wps:bodyPr lIns="0" tIns="0" rIns="0" bIns="0">
                      <a:spAutoFit/>
                    </wps:bodyPr>
                  </wps:wsp>
                </a:graphicData>
              </a:graphic>
            </wp:anchor>
          </w:drawing>
        </mc:Choice>
        <mc:Fallback>
          <w:pict>
            <v:shapetype w14:anchorId="0D6FD18D" id="_x0000_t202" coordsize="21600,21600" o:spt="202" path="m,l,21600r21600,l21600,xe">
              <v:stroke joinstyle="miter"/>
              <v:path gradientshapeok="t" o:connecttype="rect"/>
            </v:shapetype>
            <v:shape id="Shape 1854" o:spid="_x0000_s1247" type="#_x0000_t202" style="position:absolute;margin-left:41.25pt;margin-top:23.3pt;width:181.7pt;height:6.7pt;z-index:-251256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" filled="f" stroked="f">
              <v:textbox style="mso-fit-shape-to-text:t" inset="0,0,0,0">
                <w:txbxContent>
                  <w:p w14:paraId="2CE498E3" w14:textId="77777777" w:rsidR="00D03C17" w:rsidRDefault="00D03C17">
                    <w:pPr>
                      <w:pStyle w:val="Headerorfooter0"/>
                      <w:tabs>
                        <w:tab w:val="right" w:pos="3634"/>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SÍFILIS</w:t>
                    </w:r>
                  </w:p>
                </w:txbxContent>
              </v:textbox>
              <w10:wrap anchorx="page" anchory="page"/>
            </v:shape>
          </w:pict>
        </mc:Fallback>
      </mc:AlternateContent>
    </w:r>
    <w:r>
      <w:rPr>
        <w:noProof/>
      </w:rPr>
      <mc:AlternateContent>
        <mc:Choice Requires="wps">
          <w:drawing>
            <wp:anchor distT="0" distB="0" distL="114300" distR="114300" simplePos="0" relativeHeight="251854848" behindDoc="1" locked="0" layoutInCell="1" allowOverlap="1" wp14:anchorId="04B70511" wp14:editId="7C4A0842">
              <wp:simplePos x="0" y="0"/>
              <wp:positionH relativeFrom="page">
                <wp:posOffset>508635</wp:posOffset>
              </wp:positionH>
              <wp:positionV relativeFrom="page">
                <wp:posOffset>419735</wp:posOffset>
              </wp:positionV>
              <wp:extent cx="4358640" cy="0"/>
              <wp:effectExtent l="0" t="0" r="0" b="0"/>
              <wp:wrapNone/>
              <wp:docPr id="1856" name="Shape 1856"/>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5BE29647" id="_x0000_t32" coordsize="21600,21600" o:spt="32" o:oned="t" path="m,l21600,21600e" filled="f">
              <v:path arrowok="t" fillok="f" o:connecttype="none"/>
              <o:lock v:ext="edit" shapetype="t"/>
            </v:shapetype>
            <v:shape id="Shape 1856" o:spid="_x0000_s1026" type="#_x0000_t32" style="position:absolute;margin-left:40.05pt;margin-top:33.05pt;width:343.2pt;height:0;z-index:-25146163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" strokeweight="1pt">
              <w10:wrap anchorx="page" anchory="page"/>
            </v:shape>
          </w:pict>
        </mc:Fallback>
      </mc:AlternateContent>
    </w:r>
  </w:p>
</w:hdr>
</file>

<file path=word/header2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4A4D1" w14:textId="77777777" w:rsidR="00D03C17" w:rsidRDefault="00D03C17">
    <w:pPr>
      <w:spacing w:line="1" w:lineRule="exact"/>
    </w:pPr>
    <w:r>
      <w:rPr>
        <w:noProof/>
      </w:rPr>
      <mc:AlternateContent>
        <mc:Choice Requires="wps">
          <w:drawing>
            <wp:anchor distT="0" distB="0" distL="0" distR="0" simplePos="0" relativeHeight="252058624" behindDoc="1" locked="0" layoutInCell="1" allowOverlap="1" wp14:anchorId="3F2BB6D3" wp14:editId="0B119765">
              <wp:simplePos x="0" y="0"/>
              <wp:positionH relativeFrom="page">
                <wp:posOffset>2549525</wp:posOffset>
              </wp:positionH>
              <wp:positionV relativeFrom="page">
                <wp:posOffset>295910</wp:posOffset>
              </wp:positionV>
              <wp:extent cx="2304415" cy="85090"/>
              <wp:effectExtent l="0" t="0" r="0" b="0"/>
              <wp:wrapNone/>
              <wp:docPr id="1851" name="Shape 1851"/>
              <wp:cNvGraphicFramePr/>
              <a:graphic xmlns:a="http://schemas.openxmlformats.org/drawingml/2006/main">
                <a:graphicData uri="http://schemas.microsoft.com/office/word/2010/wordprocessingShape">
                  <wps:wsp>
                    <wps:cNvSpPr txBox="1"/>
                    <wps:spPr>
                      <a:xfrm>
                        <a:off x="0" y="0"/>
                        <a:ext cx="2304415" cy="85090"/>
                      </a:xfrm>
                      <a:prstGeom prst="rect">
                        <a:avLst/>
                      </a:prstGeom>
                      <a:noFill/>
                    </wps:spPr>
                    <wps:txbx>
                      <w:txbxContent>
                        <w:p w14:paraId="5873A649" w14:textId="77777777" w:rsidR="00D03C17" w:rsidRDefault="00D03C17">
                          <w:pPr>
                            <w:pStyle w:val="Headerorfooter0"/>
                            <w:tabs>
                              <w:tab w:val="right" w:pos="3629"/>
                            </w:tabs>
                            <w:rPr>
                              <w:sz w:val="16"/>
                              <w:szCs w:val="16"/>
                            </w:rPr>
                          </w:pPr>
                          <w:r>
                            <w:t>SÍFILIS</w:t>
                          </w:r>
                          <w:r>
                            <w:tab/>
                          </w:r>
                          <w:r>
                            <w:fldChar w:fldCharType="begin"/>
                          </w:r>
                          <w:r>
                            <w:instrText xml:space="preserve"> PAGE \* MERGEFORMAT </w:instrText>
                          </w:r>
                          <w:r>
                            <w:fldChar w:fldCharType="separate"/>
                          </w:r>
                          <w:r>
                            <w:rPr>
                              <w:sz w:val="16"/>
                              <w:szCs w:val="16"/>
                            </w:rPr>
                            <w:t>#</w:t>
                          </w:r>
                          <w:r>
                            <w:rPr>
                              <w:sz w:val="16"/>
                              <w:szCs w:val="16"/>
                            </w:rPr>
                            <w:fldChar w:fldCharType="end"/>
                          </w:r>
                        </w:p>
                      </w:txbxContent>
                    </wps:txbx>
                    <wps:bodyPr lIns="0" tIns="0" rIns="0" bIns="0">
                      <a:spAutoFit/>
                    </wps:bodyPr>
                  </wps:wsp>
                </a:graphicData>
              </a:graphic>
            </wp:anchor>
          </w:drawing>
        </mc:Choice>
        <mc:Fallback>
          <w:pict>
            <v:shapetype w14:anchorId="3F2BB6D3" id="_x0000_t202" coordsize="21600,21600" o:spt="202" path="m,l,21600r21600,l21600,xe">
              <v:stroke joinstyle="miter"/>
              <v:path gradientshapeok="t" o:connecttype="rect"/>
            </v:shapetype>
            <v:shape id="Shape 1851" o:spid="_x0000_s1248" type="#_x0000_t202" style="position:absolute;margin-left:200.75pt;margin-top:23.3pt;width:181.45pt;height:6.7pt;z-index:-251257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" filled="f" stroked="f">
              <v:textbox style="mso-fit-shape-to-text:t" inset="0,0,0,0">
                <w:txbxContent>
                  <w:p w14:paraId="5873A649" w14:textId="77777777" w:rsidR="00D03C17" w:rsidRDefault="00D03C17">
                    <w:pPr>
                      <w:pStyle w:val="Headerorfooter0"/>
                      <w:tabs>
                        <w:tab w:val="right" w:pos="3629"/>
                      </w:tabs>
                      <w:rPr>
                        <w:sz w:val="16"/>
                        <w:szCs w:val="16"/>
                      </w:rPr>
                    </w:pPr>
                    <w:r>
                      <w:t>SÍFILIS</w:t>
                    </w:r>
                    <w:r>
                      <w:tab/>
                    </w:r>
                    <w:r>
                      <w:fldChar w:fldCharType="begin"/>
                    </w:r>
                    <w:r>
                      <w:instrText xml:space="preserve"> PAGE \* MERGEFORMAT </w:instrText>
                    </w:r>
                    <w:r>
                      <w:fldChar w:fldCharType="separate"/>
                    </w:r>
                    <w:r>
                      <w:rPr>
                        <w:sz w:val="16"/>
                        <w:szCs w:val="16"/>
                      </w:rPr>
                      <w:t>#</w:t>
                    </w:r>
                    <w:r>
                      <w:rPr>
                        <w:sz w:val="16"/>
                        <w:szCs w:val="1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853824" behindDoc="1" locked="0" layoutInCell="1" allowOverlap="1" wp14:anchorId="3CE9AFE5" wp14:editId="6C0DB27D">
              <wp:simplePos x="0" y="0"/>
              <wp:positionH relativeFrom="page">
                <wp:posOffset>516255</wp:posOffset>
              </wp:positionH>
              <wp:positionV relativeFrom="page">
                <wp:posOffset>419735</wp:posOffset>
              </wp:positionV>
              <wp:extent cx="4358640" cy="0"/>
              <wp:effectExtent l="0" t="0" r="0" b="0"/>
              <wp:wrapNone/>
              <wp:docPr id="1853" name="Shape 1853"/>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45CAEA02" id="_x0000_t32" coordsize="21600,21600" o:spt="32" o:oned="t" path="m,l21600,21600e" filled="f">
              <v:path arrowok="t" fillok="f" o:connecttype="none"/>
              <o:lock v:ext="edit" shapetype="t"/>
            </v:shapetype>
            <v:shape id="Shape 1853" o:spid="_x0000_s1026" type="#_x0000_t32" style="position:absolute;margin-left:40.65pt;margin-top:33.05pt;width:343.2pt;height:0;z-index:-25146265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" strokeweight="1pt">
              <w10:wrap anchorx="page" anchory="page"/>
            </v:shape>
          </w:pict>
        </mc:Fallback>
      </mc:AlternateContent>
    </w:r>
  </w:p>
</w:hdr>
</file>

<file path=word/header2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DBE5F" w14:textId="77777777" w:rsidR="00D03C17" w:rsidRDefault="00D03C17"/>
</w:hdr>
</file>

<file path=word/header2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FF08A" w14:textId="77777777" w:rsidR="00D03C17" w:rsidRDefault="00D03C17"/>
</w:hdr>
</file>

<file path=word/header2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8CA6" w14:textId="77777777" w:rsidR="00D03C17" w:rsidRDefault="00D03C17">
    <w:pPr>
      <w:spacing w:line="1" w:lineRule="exact"/>
    </w:pPr>
    <w:r>
      <w:rPr>
        <w:noProof/>
      </w:rPr>
      <mc:AlternateContent>
        <mc:Choice Requires="wps">
          <w:drawing>
            <wp:anchor distT="0" distB="0" distL="0" distR="0" simplePos="0" relativeHeight="252061696" behindDoc="1" locked="0" layoutInCell="1" allowOverlap="1" wp14:anchorId="64855E7E" wp14:editId="6B86F5FE">
              <wp:simplePos x="0" y="0"/>
              <wp:positionH relativeFrom="page">
                <wp:posOffset>2549525</wp:posOffset>
              </wp:positionH>
              <wp:positionV relativeFrom="page">
                <wp:posOffset>295910</wp:posOffset>
              </wp:positionV>
              <wp:extent cx="2304415" cy="85090"/>
              <wp:effectExtent l="0" t="0" r="0" b="0"/>
              <wp:wrapNone/>
              <wp:docPr id="1866" name="Shape 1866"/>
              <wp:cNvGraphicFramePr/>
              <a:graphic xmlns:a="http://schemas.openxmlformats.org/drawingml/2006/main">
                <a:graphicData uri="http://schemas.microsoft.com/office/word/2010/wordprocessingShape">
                  <wps:wsp>
                    <wps:cNvSpPr txBox="1"/>
                    <wps:spPr>
                      <a:xfrm>
                        <a:off x="0" y="0"/>
                        <a:ext cx="2304415" cy="85090"/>
                      </a:xfrm>
                      <a:prstGeom prst="rect">
                        <a:avLst/>
                      </a:prstGeom>
                      <a:noFill/>
                    </wps:spPr>
                    <wps:txbx>
                      <w:txbxContent>
                        <w:p w14:paraId="2D99DF1B" w14:textId="77777777" w:rsidR="00D03C17" w:rsidRDefault="00D03C17">
                          <w:pPr>
                            <w:pStyle w:val="Headerorfooter0"/>
                            <w:tabs>
                              <w:tab w:val="right" w:pos="3629"/>
                            </w:tabs>
                            <w:rPr>
                              <w:sz w:val="16"/>
                              <w:szCs w:val="16"/>
                            </w:rPr>
                          </w:pPr>
                          <w:r>
                            <w:t>SÍFILIS</w:t>
                          </w:r>
                          <w:r>
                            <w:tab/>
                          </w:r>
                          <w:r>
                            <w:fldChar w:fldCharType="begin"/>
                          </w:r>
                          <w:r>
                            <w:instrText xml:space="preserve"> PAGE \* MERGEFORMAT </w:instrText>
                          </w:r>
                          <w:r>
                            <w:fldChar w:fldCharType="separate"/>
                          </w:r>
                          <w:r>
                            <w:rPr>
                              <w:sz w:val="16"/>
                              <w:szCs w:val="16"/>
                            </w:rPr>
                            <w:t>#</w:t>
                          </w:r>
                          <w:r>
                            <w:rPr>
                              <w:sz w:val="16"/>
                              <w:szCs w:val="16"/>
                            </w:rPr>
                            <w:fldChar w:fldCharType="end"/>
                          </w:r>
                        </w:p>
                      </w:txbxContent>
                    </wps:txbx>
                    <wps:bodyPr lIns="0" tIns="0" rIns="0" bIns="0">
                      <a:spAutoFit/>
                    </wps:bodyPr>
                  </wps:wsp>
                </a:graphicData>
              </a:graphic>
            </wp:anchor>
          </w:drawing>
        </mc:Choice>
        <mc:Fallback>
          <w:pict>
            <v:shapetype w14:anchorId="64855E7E" id="_x0000_t202" coordsize="21600,21600" o:spt="202" path="m,l,21600r21600,l21600,xe">
              <v:stroke joinstyle="miter"/>
              <v:path gradientshapeok="t" o:connecttype="rect"/>
            </v:shapetype>
            <v:shape id="Shape 1866" o:spid="_x0000_s1249" type="#_x0000_t202" style="position:absolute;margin-left:200.75pt;margin-top:23.3pt;width:181.45pt;height:6.7pt;z-index:-251254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" filled="f" stroked="f">
              <v:textbox style="mso-fit-shape-to-text:t" inset="0,0,0,0">
                <w:txbxContent>
                  <w:p w14:paraId="2D99DF1B" w14:textId="77777777" w:rsidR="00D03C17" w:rsidRDefault="00D03C17">
                    <w:pPr>
                      <w:pStyle w:val="Headerorfooter0"/>
                      <w:tabs>
                        <w:tab w:val="right" w:pos="3629"/>
                      </w:tabs>
                      <w:rPr>
                        <w:sz w:val="16"/>
                        <w:szCs w:val="16"/>
                      </w:rPr>
                    </w:pPr>
                    <w:r>
                      <w:t>SÍFILIS</w:t>
                    </w:r>
                    <w:r>
                      <w:tab/>
                    </w:r>
                    <w:r>
                      <w:fldChar w:fldCharType="begin"/>
                    </w:r>
                    <w:r>
                      <w:instrText xml:space="preserve"> PAGE \* MERGEFORMAT </w:instrText>
                    </w:r>
                    <w:r>
                      <w:fldChar w:fldCharType="separate"/>
                    </w:r>
                    <w:r>
                      <w:rPr>
                        <w:sz w:val="16"/>
                        <w:szCs w:val="16"/>
                      </w:rPr>
                      <w:t>#</w:t>
                    </w:r>
                    <w:r>
                      <w:rPr>
                        <w:sz w:val="16"/>
                        <w:szCs w:val="1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856896" behindDoc="1" locked="0" layoutInCell="1" allowOverlap="1" wp14:anchorId="3397F288" wp14:editId="67401C8D">
              <wp:simplePos x="0" y="0"/>
              <wp:positionH relativeFrom="page">
                <wp:posOffset>516255</wp:posOffset>
              </wp:positionH>
              <wp:positionV relativeFrom="page">
                <wp:posOffset>419735</wp:posOffset>
              </wp:positionV>
              <wp:extent cx="4358640" cy="0"/>
              <wp:effectExtent l="0" t="0" r="0" b="0"/>
              <wp:wrapNone/>
              <wp:docPr id="1868" name="Shape 1868"/>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6E74F5C6" id="_x0000_t32" coordsize="21600,21600" o:spt="32" o:oned="t" path="m,l21600,21600e" filled="f">
              <v:path arrowok="t" fillok="f" o:connecttype="none"/>
              <o:lock v:ext="edit" shapetype="t"/>
            </v:shapetype>
            <v:shape id="Shape 1868" o:spid="_x0000_s1026" type="#_x0000_t32" style="position:absolute;margin-left:40.65pt;margin-top:33.05pt;width:343.2pt;height:0;z-index:-25145958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" strokeweight="1pt">
              <w10:wrap anchorx="page" anchory="page"/>
            </v:shape>
          </w:pict>
        </mc:Fallback>
      </mc:AlternateContent>
    </w:r>
  </w:p>
</w:hdr>
</file>

<file path=word/header2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981F7" w14:textId="77777777" w:rsidR="00D03C17" w:rsidRDefault="00D03C17">
    <w:pPr>
      <w:spacing w:line="1" w:lineRule="exact"/>
    </w:pPr>
    <w:r>
      <w:rPr>
        <w:noProof/>
      </w:rPr>
      <mc:AlternateContent>
        <mc:Choice Requires="wps">
          <w:drawing>
            <wp:anchor distT="0" distB="0" distL="0" distR="0" simplePos="0" relativeHeight="252060672" behindDoc="1" locked="0" layoutInCell="1" allowOverlap="1" wp14:anchorId="21944290" wp14:editId="4FCA5305">
              <wp:simplePos x="0" y="0"/>
              <wp:positionH relativeFrom="page">
                <wp:posOffset>2549525</wp:posOffset>
              </wp:positionH>
              <wp:positionV relativeFrom="page">
                <wp:posOffset>295910</wp:posOffset>
              </wp:positionV>
              <wp:extent cx="2304415" cy="85090"/>
              <wp:effectExtent l="0" t="0" r="0" b="0"/>
              <wp:wrapNone/>
              <wp:docPr id="1863" name="Shape 1863"/>
              <wp:cNvGraphicFramePr/>
              <a:graphic xmlns:a="http://schemas.openxmlformats.org/drawingml/2006/main">
                <a:graphicData uri="http://schemas.microsoft.com/office/word/2010/wordprocessingShape">
                  <wps:wsp>
                    <wps:cNvSpPr txBox="1"/>
                    <wps:spPr>
                      <a:xfrm>
                        <a:off x="0" y="0"/>
                        <a:ext cx="2304415" cy="85090"/>
                      </a:xfrm>
                      <a:prstGeom prst="rect">
                        <a:avLst/>
                      </a:prstGeom>
                      <a:noFill/>
                    </wps:spPr>
                    <wps:txbx>
                      <w:txbxContent>
                        <w:p w14:paraId="399A86E9" w14:textId="77777777" w:rsidR="00D03C17" w:rsidRDefault="00D03C17">
                          <w:pPr>
                            <w:pStyle w:val="Headerorfooter0"/>
                            <w:tabs>
                              <w:tab w:val="right" w:pos="3629"/>
                            </w:tabs>
                            <w:rPr>
                              <w:sz w:val="16"/>
                              <w:szCs w:val="16"/>
                            </w:rPr>
                          </w:pPr>
                          <w:r>
                            <w:t>SÍFILIS</w:t>
                          </w:r>
                          <w:r>
                            <w:tab/>
                          </w:r>
                          <w:r>
                            <w:fldChar w:fldCharType="begin"/>
                          </w:r>
                          <w:r>
                            <w:instrText xml:space="preserve"> PAGE \* MERGEFORMAT </w:instrText>
                          </w:r>
                          <w:r>
                            <w:fldChar w:fldCharType="separate"/>
                          </w:r>
                          <w:r>
                            <w:rPr>
                              <w:sz w:val="16"/>
                              <w:szCs w:val="16"/>
                            </w:rPr>
                            <w:t>#</w:t>
                          </w:r>
                          <w:r>
                            <w:rPr>
                              <w:sz w:val="16"/>
                              <w:szCs w:val="16"/>
                            </w:rPr>
                            <w:fldChar w:fldCharType="end"/>
                          </w:r>
                        </w:p>
                      </w:txbxContent>
                    </wps:txbx>
                    <wps:bodyPr lIns="0" tIns="0" rIns="0" bIns="0">
                      <a:spAutoFit/>
                    </wps:bodyPr>
                  </wps:wsp>
                </a:graphicData>
              </a:graphic>
            </wp:anchor>
          </w:drawing>
        </mc:Choice>
        <mc:Fallback>
          <w:pict>
            <v:shapetype w14:anchorId="21944290" id="_x0000_t202" coordsize="21600,21600" o:spt="202" path="m,l,21600r21600,l21600,xe">
              <v:stroke joinstyle="miter"/>
              <v:path gradientshapeok="t" o:connecttype="rect"/>
            </v:shapetype>
            <v:shape id="Shape 1863" o:spid="_x0000_s1250" type="#_x0000_t202" style="position:absolute;margin-left:200.75pt;margin-top:23.3pt;width:181.45pt;height:6.7pt;z-index:-251255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" filled="f" stroked="f">
              <v:textbox style="mso-fit-shape-to-text:t" inset="0,0,0,0">
                <w:txbxContent>
                  <w:p w14:paraId="399A86E9" w14:textId="77777777" w:rsidR="00D03C17" w:rsidRDefault="00D03C17">
                    <w:pPr>
                      <w:pStyle w:val="Headerorfooter0"/>
                      <w:tabs>
                        <w:tab w:val="right" w:pos="3629"/>
                      </w:tabs>
                      <w:rPr>
                        <w:sz w:val="16"/>
                        <w:szCs w:val="16"/>
                      </w:rPr>
                    </w:pPr>
                    <w:r>
                      <w:t>SÍFILIS</w:t>
                    </w:r>
                    <w:r>
                      <w:tab/>
                    </w:r>
                    <w:r>
                      <w:fldChar w:fldCharType="begin"/>
                    </w:r>
                    <w:r>
                      <w:instrText xml:space="preserve"> PAGE \* MERGEFORMAT </w:instrText>
                    </w:r>
                    <w:r>
                      <w:fldChar w:fldCharType="separate"/>
                    </w:r>
                    <w:r>
                      <w:rPr>
                        <w:sz w:val="16"/>
                        <w:szCs w:val="16"/>
                      </w:rPr>
                      <w:t>#</w:t>
                    </w:r>
                    <w:r>
                      <w:rPr>
                        <w:sz w:val="16"/>
                        <w:szCs w:val="1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855872" behindDoc="1" locked="0" layoutInCell="1" allowOverlap="1" wp14:anchorId="1FDFD650" wp14:editId="692D7953">
              <wp:simplePos x="0" y="0"/>
              <wp:positionH relativeFrom="page">
                <wp:posOffset>516255</wp:posOffset>
              </wp:positionH>
              <wp:positionV relativeFrom="page">
                <wp:posOffset>419735</wp:posOffset>
              </wp:positionV>
              <wp:extent cx="4358640" cy="0"/>
              <wp:effectExtent l="0" t="0" r="0" b="0"/>
              <wp:wrapNone/>
              <wp:docPr id="1865" name="Shape 1865"/>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54F97A7E" id="_x0000_t32" coordsize="21600,21600" o:spt="32" o:oned="t" path="m,l21600,21600e" filled="f">
              <v:path arrowok="t" fillok="f" o:connecttype="none"/>
              <o:lock v:ext="edit" shapetype="t"/>
            </v:shapetype>
            <v:shape id="Shape 1865" o:spid="_x0000_s1026" type="#_x0000_t32" style="position:absolute;margin-left:40.65pt;margin-top:33.05pt;width:343.2pt;height:0;z-index:-25146060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" strokeweight="1pt">
              <w10:wrap anchorx="page" anchory="page"/>
            </v:shape>
          </w:pict>
        </mc:Fallback>
      </mc:AlternateContent>
    </w:r>
  </w:p>
</w:hdr>
</file>

<file path=word/header2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01C85" w14:textId="77777777" w:rsidR="00D03C17" w:rsidRDefault="00D03C17">
    <w:pPr>
      <w:spacing w:line="1" w:lineRule="exact"/>
    </w:pPr>
    <w:r>
      <w:rPr>
        <w:noProof/>
      </w:rPr>
      <mc:AlternateContent>
        <mc:Choice Requires="wps">
          <w:drawing>
            <wp:anchor distT="0" distB="0" distL="0" distR="0" simplePos="0" relativeHeight="252062720" behindDoc="1" locked="0" layoutInCell="1" allowOverlap="1" wp14:anchorId="1094632F" wp14:editId="27ADC97C">
              <wp:simplePos x="0" y="0"/>
              <wp:positionH relativeFrom="page">
                <wp:posOffset>523875</wp:posOffset>
              </wp:positionH>
              <wp:positionV relativeFrom="page">
                <wp:posOffset>295910</wp:posOffset>
              </wp:positionV>
              <wp:extent cx="2307590" cy="85090"/>
              <wp:effectExtent l="0" t="0" r="0" b="0"/>
              <wp:wrapNone/>
              <wp:docPr id="1869" name="Shape 1869"/>
              <wp:cNvGraphicFramePr/>
              <a:graphic xmlns:a="http://schemas.openxmlformats.org/drawingml/2006/main">
                <a:graphicData uri="http://schemas.microsoft.com/office/word/2010/wordprocessingShape">
                  <wps:wsp>
                    <wps:cNvSpPr txBox="1"/>
                    <wps:spPr>
                      <a:xfrm>
                        <a:off x="0" y="0"/>
                        <a:ext cx="2307590" cy="85090"/>
                      </a:xfrm>
                      <a:prstGeom prst="rect">
                        <a:avLst/>
                      </a:prstGeom>
                      <a:noFill/>
                    </wps:spPr>
                    <wps:txbx>
                      <w:txbxContent>
                        <w:p w14:paraId="5A463991" w14:textId="77777777" w:rsidR="00D03C17" w:rsidRDefault="00D03C17">
                          <w:pPr>
                            <w:pStyle w:val="Headerorfooter0"/>
                            <w:tabs>
                              <w:tab w:val="right" w:pos="3634"/>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SÍFILIS</w:t>
                          </w:r>
                        </w:p>
                      </w:txbxContent>
                    </wps:txbx>
                    <wps:bodyPr lIns="0" tIns="0" rIns="0" bIns="0">
                      <a:spAutoFit/>
                    </wps:bodyPr>
                  </wps:wsp>
                </a:graphicData>
              </a:graphic>
            </wp:anchor>
          </w:drawing>
        </mc:Choice>
        <mc:Fallback>
          <w:pict>
            <v:shapetype w14:anchorId="1094632F" id="_x0000_t202" coordsize="21600,21600" o:spt="202" path="m,l,21600r21600,l21600,xe">
              <v:stroke joinstyle="miter"/>
              <v:path gradientshapeok="t" o:connecttype="rect"/>
            </v:shapetype>
            <v:shape id="Shape 1869" o:spid="_x0000_s1251" type="#_x0000_t202" style="position:absolute;margin-left:41.25pt;margin-top:23.3pt;width:181.7pt;height:6.7pt;z-index:-251253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" filled="f" stroked="f">
              <v:textbox style="mso-fit-shape-to-text:t" inset="0,0,0,0">
                <w:txbxContent>
                  <w:p w14:paraId="5A463991" w14:textId="77777777" w:rsidR="00D03C17" w:rsidRDefault="00D03C17">
                    <w:pPr>
                      <w:pStyle w:val="Headerorfooter0"/>
                      <w:tabs>
                        <w:tab w:val="right" w:pos="3634"/>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SÍFILIS</w:t>
                    </w:r>
                  </w:p>
                </w:txbxContent>
              </v:textbox>
              <w10:wrap anchorx="page" anchory="page"/>
            </v:shape>
          </w:pict>
        </mc:Fallback>
      </mc:AlternateContent>
    </w:r>
    <w:r>
      <w:rPr>
        <w:noProof/>
      </w:rPr>
      <mc:AlternateContent>
        <mc:Choice Requires="wps">
          <w:drawing>
            <wp:anchor distT="0" distB="0" distL="114300" distR="114300" simplePos="0" relativeHeight="251857920" behindDoc="1" locked="0" layoutInCell="1" allowOverlap="1" wp14:anchorId="5117517E" wp14:editId="069E3880">
              <wp:simplePos x="0" y="0"/>
              <wp:positionH relativeFrom="page">
                <wp:posOffset>508635</wp:posOffset>
              </wp:positionH>
              <wp:positionV relativeFrom="page">
                <wp:posOffset>419735</wp:posOffset>
              </wp:positionV>
              <wp:extent cx="4358640" cy="0"/>
              <wp:effectExtent l="0" t="0" r="0" b="0"/>
              <wp:wrapNone/>
              <wp:docPr id="1871" name="Shape 1871"/>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361C70F4" id="_x0000_t32" coordsize="21600,21600" o:spt="32" o:oned="t" path="m,l21600,21600e" filled="f">
              <v:path arrowok="t" fillok="f" o:connecttype="none"/>
              <o:lock v:ext="edit" shapetype="t"/>
            </v:shapetype>
            <v:shape id="Shape 1871" o:spid="_x0000_s1026" type="#_x0000_t32" style="position:absolute;margin-left:40.05pt;margin-top:33.05pt;width:343.2pt;height:0;z-index:-25145856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" strokeweight="1pt">
              <w10:wrap anchorx="page" anchory="page"/>
            </v:shape>
          </w:pict>
        </mc:Fallback>
      </mc:AlternateContent>
    </w:r>
  </w:p>
</w:hdr>
</file>

<file path=word/header2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ADFE2" w14:textId="77777777" w:rsidR="00D03C17" w:rsidRDefault="00D03C17"/>
</w:hdr>
</file>

<file path=word/header2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27C0D" w14:textId="77777777" w:rsidR="00D03C17" w:rsidRDefault="00D03C1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84C08"/>
    <w:multiLevelType w:val="multilevel"/>
    <w:tmpl w:val="12E65008"/>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1733C52"/>
    <w:multiLevelType w:val="multilevel"/>
    <w:tmpl w:val="B8D0A9F6"/>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1BC443B"/>
    <w:multiLevelType w:val="multilevel"/>
    <w:tmpl w:val="9A74C74E"/>
    <w:lvl w:ilvl="0">
      <w:start w:val="1"/>
      <w:numFmt w:val="bullet"/>
      <w:lvlText w:val="•"/>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1F00E29"/>
    <w:multiLevelType w:val="multilevel"/>
    <w:tmpl w:val="D5A25662"/>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3DA65F6"/>
    <w:multiLevelType w:val="multilevel"/>
    <w:tmpl w:val="D17E4D38"/>
    <w:lvl w:ilvl="0">
      <w:start w:val="1"/>
      <w:numFmt w:val="bullet"/>
      <w:lvlText w:val="•"/>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4CC45F8"/>
    <w:multiLevelType w:val="multilevel"/>
    <w:tmpl w:val="F1C6D83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4E60D15"/>
    <w:multiLevelType w:val="multilevel"/>
    <w:tmpl w:val="4080D88E"/>
    <w:lvl w:ilvl="0">
      <w:start w:val="1"/>
      <w:numFmt w:val="decimal"/>
      <w:lvlText w:val="%1."/>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5A537B7"/>
    <w:multiLevelType w:val="multilevel"/>
    <w:tmpl w:val="4E5478D6"/>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06F0541C"/>
    <w:multiLevelType w:val="multilevel"/>
    <w:tmpl w:val="FC6A00BA"/>
    <w:lvl w:ilvl="0">
      <w:start w:val="3"/>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080730CA"/>
    <w:multiLevelType w:val="multilevel"/>
    <w:tmpl w:val="D8EEBF9E"/>
    <w:lvl w:ilvl="0">
      <w:start w:val="1"/>
      <w:numFmt w:val="bullet"/>
      <w:lvlText w:val="□"/>
      <w:lvlJc w:val="left"/>
      <w:rPr>
        <w:rFonts w:ascii="Arial" w:eastAsia="Arial" w:hAnsi="Arial" w:cs="Arial"/>
        <w:b w:val="0"/>
        <w:bCs w:val="0"/>
        <w:i w:val="0"/>
        <w:iCs w:val="0"/>
        <w:smallCaps w:val="0"/>
        <w:strike w:val="0"/>
        <w:color w:val="231F20"/>
        <w:spacing w:val="0"/>
        <w:w w:val="100"/>
        <w:position w:val="0"/>
        <w:sz w:val="10"/>
        <w:szCs w:val="1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091C1E7C"/>
    <w:multiLevelType w:val="multilevel"/>
    <w:tmpl w:val="6B807692"/>
    <w:lvl w:ilvl="0">
      <w:start w:val="1"/>
      <w:numFmt w:val="upperLetter"/>
      <w:lvlText w:val="%1."/>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098F6712"/>
    <w:multiLevelType w:val="multilevel"/>
    <w:tmpl w:val="E8688666"/>
    <w:lvl w:ilvl="0">
      <w:start w:val="1"/>
      <w:numFmt w:val="decimal"/>
      <w:lvlText w:val="%1"/>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0A837A37"/>
    <w:multiLevelType w:val="multilevel"/>
    <w:tmpl w:val="B566B676"/>
    <w:lvl w:ilvl="0">
      <w:start w:val="1"/>
      <w:numFmt w:val="bullet"/>
      <w:lvlText w:val="•"/>
      <w:lvlJc w:val="left"/>
      <w:rPr>
        <w:rFonts w:ascii="Times New Roman" w:eastAsia="Times New Roman" w:hAnsi="Times New Roman" w:cs="Times New Roman"/>
        <w:b/>
        <w:bCs/>
        <w:i/>
        <w:iCs/>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0B310F33"/>
    <w:multiLevelType w:val="multilevel"/>
    <w:tmpl w:val="ACA25716"/>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0B5B62B1"/>
    <w:multiLevelType w:val="multilevel"/>
    <w:tmpl w:val="E7AA22B4"/>
    <w:lvl w:ilvl="0">
      <w:start w:val="1"/>
      <w:numFmt w:val="bullet"/>
      <w:lvlText w:val="•"/>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0C264F45"/>
    <w:multiLevelType w:val="multilevel"/>
    <w:tmpl w:val="B9ACB18C"/>
    <w:lvl w:ilvl="0">
      <w:start w:val="1"/>
      <w:numFmt w:val="bullet"/>
      <w:lvlText w:val="•"/>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0E197A34"/>
    <w:multiLevelType w:val="multilevel"/>
    <w:tmpl w:val="DDF48DFE"/>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0F60087B"/>
    <w:multiLevelType w:val="multilevel"/>
    <w:tmpl w:val="F7E820E2"/>
    <w:lvl w:ilvl="0">
      <w:start w:val="1"/>
      <w:numFmt w:val="upperLetter"/>
      <w:lvlText w:val="(%1)"/>
      <w:lvlJc w:val="left"/>
      <w:rPr>
        <w:rFonts w:ascii="Times New Roman" w:eastAsia="Times New Roman" w:hAnsi="Times New Roman" w:cs="Times New Roman"/>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0F7E0156"/>
    <w:multiLevelType w:val="multilevel"/>
    <w:tmpl w:val="ED2C6D2C"/>
    <w:lvl w:ilvl="0">
      <w:start w:val="1"/>
      <w:numFmt w:val="bullet"/>
      <w:lvlText w:val="•"/>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104C6F74"/>
    <w:multiLevelType w:val="multilevel"/>
    <w:tmpl w:val="E66EC10C"/>
    <w:lvl w:ilvl="0">
      <w:start w:val="1"/>
      <w:numFmt w:val="bullet"/>
      <w:lvlText w:val="•"/>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10955F51"/>
    <w:multiLevelType w:val="multilevel"/>
    <w:tmpl w:val="E9227402"/>
    <w:lvl w:ilvl="0">
      <w:start w:val="1"/>
      <w:numFmt w:val="bullet"/>
      <w:lvlText w:val="*"/>
      <w:lvlJc w:val="left"/>
      <w:rPr>
        <w:rFonts w:ascii="Times New Roman" w:eastAsia="Times New Roman" w:hAnsi="Times New Roman" w:cs="Times New Roman"/>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10B360C5"/>
    <w:multiLevelType w:val="multilevel"/>
    <w:tmpl w:val="6A48C06A"/>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118B3383"/>
    <w:multiLevelType w:val="multilevel"/>
    <w:tmpl w:val="E46ED3F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11D60126"/>
    <w:multiLevelType w:val="multilevel"/>
    <w:tmpl w:val="8BC22392"/>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12CF55A4"/>
    <w:multiLevelType w:val="multilevel"/>
    <w:tmpl w:val="5902347A"/>
    <w:lvl w:ilvl="0">
      <w:start w:val="1"/>
      <w:numFmt w:val="upperRoman"/>
      <w:lvlText w:val="%1."/>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14541776"/>
    <w:multiLevelType w:val="multilevel"/>
    <w:tmpl w:val="7722E054"/>
    <w:lvl w:ilvl="0">
      <w:start w:val="1"/>
      <w:numFmt w:val="bullet"/>
      <w:lvlText w:val="♦"/>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14582528"/>
    <w:multiLevelType w:val="multilevel"/>
    <w:tmpl w:val="48CC3240"/>
    <w:lvl w:ilvl="0">
      <w:start w:val="1"/>
      <w:numFmt w:val="bullet"/>
      <w:lvlText w:val="•"/>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151F6E15"/>
    <w:multiLevelType w:val="multilevel"/>
    <w:tmpl w:val="E65A9620"/>
    <w:lvl w:ilvl="0">
      <w:start w:val="4"/>
      <w:numFmt w:val="decimal"/>
      <w:lvlText w:val="%1)"/>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15370C74"/>
    <w:multiLevelType w:val="multilevel"/>
    <w:tmpl w:val="CCC435AA"/>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157F63E2"/>
    <w:multiLevelType w:val="multilevel"/>
    <w:tmpl w:val="58AE6BCE"/>
    <w:lvl w:ilvl="0">
      <w:start w:val="1"/>
      <w:numFmt w:val="upperLetter"/>
      <w:lvlText w:val="%1."/>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158B31BD"/>
    <w:multiLevelType w:val="multilevel"/>
    <w:tmpl w:val="D7682A1E"/>
    <w:lvl w:ilvl="0">
      <w:start w:val="1"/>
      <w:numFmt w:val="bullet"/>
      <w:lvlText w:val="•"/>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159C4862"/>
    <w:multiLevelType w:val="multilevel"/>
    <w:tmpl w:val="1C6CC4FC"/>
    <w:lvl w:ilvl="0">
      <w:start w:val="1"/>
      <w:numFmt w:val="bullet"/>
      <w:lvlText w:val="•"/>
      <w:lvlJc w:val="left"/>
      <w:rPr>
        <w:rFonts w:ascii="Times New Roman" w:eastAsia="Times New Roman" w:hAnsi="Times New Roman" w:cs="Times New Roman"/>
        <w:b/>
        <w:bCs/>
        <w:i/>
        <w:iCs/>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15A22458"/>
    <w:multiLevelType w:val="multilevel"/>
    <w:tmpl w:val="01463550"/>
    <w:lvl w:ilvl="0">
      <w:start w:val="1"/>
      <w:numFmt w:val="bullet"/>
      <w:lvlText w:val="•"/>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16765669"/>
    <w:multiLevelType w:val="multilevel"/>
    <w:tmpl w:val="6EA4F060"/>
    <w:lvl w:ilvl="0">
      <w:start w:val="1"/>
      <w:numFmt w:val="bullet"/>
      <w:lvlText w:val="□"/>
      <w:lvlJc w:val="left"/>
      <w:rPr>
        <w:rFonts w:ascii="Arial" w:eastAsia="Arial" w:hAnsi="Arial" w:cs="Arial"/>
        <w:b w:val="0"/>
        <w:bCs w:val="0"/>
        <w:i w:val="0"/>
        <w:iCs w:val="0"/>
        <w:smallCaps w:val="0"/>
        <w:strike w:val="0"/>
        <w:color w:val="231F20"/>
        <w:spacing w:val="0"/>
        <w:w w:val="100"/>
        <w:position w:val="0"/>
        <w:sz w:val="10"/>
        <w:szCs w:val="1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18F46DC4"/>
    <w:multiLevelType w:val="multilevel"/>
    <w:tmpl w:val="8FD459A4"/>
    <w:lvl w:ilvl="0">
      <w:start w:val="1"/>
      <w:numFmt w:val="bullet"/>
      <w:lvlText w:val="•"/>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193F4BA6"/>
    <w:multiLevelType w:val="multilevel"/>
    <w:tmpl w:val="E966809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1A6F5C41"/>
    <w:multiLevelType w:val="multilevel"/>
    <w:tmpl w:val="F2544992"/>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1A84658D"/>
    <w:multiLevelType w:val="multilevel"/>
    <w:tmpl w:val="2F7C2BB4"/>
    <w:lvl w:ilvl="0">
      <w:start w:val="1"/>
      <w:numFmt w:val="bullet"/>
      <w:lvlText w:val="•"/>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1B720B08"/>
    <w:multiLevelType w:val="multilevel"/>
    <w:tmpl w:val="E03E2C16"/>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1C8B3D27"/>
    <w:multiLevelType w:val="multilevel"/>
    <w:tmpl w:val="795407D8"/>
    <w:lvl w:ilvl="0">
      <w:start w:val="9"/>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1F7501E3"/>
    <w:multiLevelType w:val="multilevel"/>
    <w:tmpl w:val="07163406"/>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1F843E2E"/>
    <w:multiLevelType w:val="multilevel"/>
    <w:tmpl w:val="5378B38C"/>
    <w:lvl w:ilvl="0">
      <w:start w:val="1"/>
      <w:numFmt w:val="bullet"/>
      <w:lvlText w:val="♦"/>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1FC87046"/>
    <w:multiLevelType w:val="multilevel"/>
    <w:tmpl w:val="1D0EE74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1FDC7362"/>
    <w:multiLevelType w:val="multilevel"/>
    <w:tmpl w:val="74E61570"/>
    <w:lvl w:ilvl="0">
      <w:start w:val="73"/>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219331BF"/>
    <w:multiLevelType w:val="multilevel"/>
    <w:tmpl w:val="3C5AA570"/>
    <w:lvl w:ilvl="0">
      <w:start w:val="1"/>
      <w:numFmt w:val="decimal"/>
      <w:lvlText w:val="%1"/>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225D0A53"/>
    <w:multiLevelType w:val="multilevel"/>
    <w:tmpl w:val="A5C4DFB6"/>
    <w:lvl w:ilvl="0">
      <w:start w:val="1"/>
      <w:numFmt w:val="upperRoman"/>
      <w:lvlText w:val="%1."/>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239C4B8D"/>
    <w:multiLevelType w:val="multilevel"/>
    <w:tmpl w:val="4FA0179A"/>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23A17DE1"/>
    <w:multiLevelType w:val="multilevel"/>
    <w:tmpl w:val="C35067BC"/>
    <w:lvl w:ilvl="0">
      <w:start w:val="1"/>
      <w:numFmt w:val="upperLetter"/>
      <w:lvlText w:val="(%1)"/>
      <w:lvlJc w:val="left"/>
      <w:rPr>
        <w:rFonts w:ascii="Times New Roman" w:eastAsia="Times New Roman" w:hAnsi="Times New Roman" w:cs="Times New Roman"/>
        <w:b w:val="0"/>
        <w:bCs w:val="0"/>
        <w:i w:val="0"/>
        <w:iCs w:val="0"/>
        <w:smallCaps w:val="0"/>
        <w:strike w:val="0"/>
        <w:color w:val="231F20"/>
        <w:spacing w:val="0"/>
        <w:w w:val="100"/>
        <w:position w:val="0"/>
        <w:sz w:val="15"/>
        <w:szCs w:val="15"/>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23BC1767"/>
    <w:multiLevelType w:val="multilevel"/>
    <w:tmpl w:val="EEE8BE9C"/>
    <w:lvl w:ilvl="0">
      <w:start w:val="2"/>
      <w:numFmt w:val="decimal"/>
      <w:lvlText w:val="%1)"/>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24840FBD"/>
    <w:multiLevelType w:val="multilevel"/>
    <w:tmpl w:val="CB98FFF2"/>
    <w:lvl w:ilvl="0">
      <w:start w:val="3"/>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24CB2CBA"/>
    <w:multiLevelType w:val="multilevel"/>
    <w:tmpl w:val="4DC27AF8"/>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25197BBD"/>
    <w:multiLevelType w:val="multilevel"/>
    <w:tmpl w:val="B79C7886"/>
    <w:lvl w:ilvl="0">
      <w:start w:val="1"/>
      <w:numFmt w:val="bullet"/>
      <w:lvlText w:val="•"/>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25A74312"/>
    <w:multiLevelType w:val="multilevel"/>
    <w:tmpl w:val="962A69AE"/>
    <w:lvl w:ilvl="0">
      <w:start w:val="1"/>
      <w:numFmt w:val="bullet"/>
      <w:lvlText w:val="Y"/>
      <w:lvlJc w:val="left"/>
      <w:rPr>
        <w:rFonts w:ascii="Times New Roman" w:eastAsia="Times New Roman" w:hAnsi="Times New Roman" w:cs="Times New Roman"/>
        <w:b/>
        <w:bCs/>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25EC19D3"/>
    <w:multiLevelType w:val="multilevel"/>
    <w:tmpl w:val="CA361490"/>
    <w:lvl w:ilvl="0">
      <w:start w:val="1"/>
      <w:numFmt w:val="bullet"/>
      <w:lvlText w:val="•"/>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25EE5ED4"/>
    <w:multiLevelType w:val="multilevel"/>
    <w:tmpl w:val="4AF4C1D2"/>
    <w:lvl w:ilvl="0">
      <w:start w:val="1"/>
      <w:numFmt w:val="bullet"/>
      <w:lvlText w:val="•"/>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26EF6478"/>
    <w:multiLevelType w:val="multilevel"/>
    <w:tmpl w:val="1E26DED8"/>
    <w:lvl w:ilvl="0">
      <w:start w:val="1"/>
      <w:numFmt w:val="bullet"/>
      <w:lvlText w:val="•"/>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278A2151"/>
    <w:multiLevelType w:val="multilevel"/>
    <w:tmpl w:val="D0EA1F2A"/>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27D602C6"/>
    <w:multiLevelType w:val="multilevel"/>
    <w:tmpl w:val="3346610C"/>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 w15:restartNumberingAfterBreak="0">
    <w:nsid w:val="28A45D03"/>
    <w:multiLevelType w:val="multilevel"/>
    <w:tmpl w:val="02B63CA2"/>
    <w:lvl w:ilvl="0">
      <w:start w:val="1"/>
      <w:numFmt w:val="bullet"/>
      <w:lvlText w:val="•"/>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15:restartNumberingAfterBreak="0">
    <w:nsid w:val="29AB490E"/>
    <w:multiLevelType w:val="multilevel"/>
    <w:tmpl w:val="D5C2082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 w15:restartNumberingAfterBreak="0">
    <w:nsid w:val="2A3571BC"/>
    <w:multiLevelType w:val="multilevel"/>
    <w:tmpl w:val="FE302D0C"/>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 w15:restartNumberingAfterBreak="0">
    <w:nsid w:val="2AAC3EB3"/>
    <w:multiLevelType w:val="multilevel"/>
    <w:tmpl w:val="3224120E"/>
    <w:lvl w:ilvl="0">
      <w:start w:val="1"/>
      <w:numFmt w:val="bullet"/>
      <w:lvlText w:val="•"/>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 w15:restartNumberingAfterBreak="0">
    <w:nsid w:val="2B8716F9"/>
    <w:multiLevelType w:val="multilevel"/>
    <w:tmpl w:val="1CFC308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 w15:restartNumberingAfterBreak="0">
    <w:nsid w:val="2BA92B58"/>
    <w:multiLevelType w:val="multilevel"/>
    <w:tmpl w:val="1F36C2DC"/>
    <w:lvl w:ilvl="0">
      <w:start w:val="54"/>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 w15:restartNumberingAfterBreak="0">
    <w:nsid w:val="2C7251D1"/>
    <w:multiLevelType w:val="multilevel"/>
    <w:tmpl w:val="0512BF12"/>
    <w:lvl w:ilvl="0">
      <w:start w:val="65"/>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 w15:restartNumberingAfterBreak="0">
    <w:nsid w:val="2DAC50B8"/>
    <w:multiLevelType w:val="multilevel"/>
    <w:tmpl w:val="DC32EE42"/>
    <w:lvl w:ilvl="0">
      <w:start w:val="1"/>
      <w:numFmt w:val="decimal"/>
      <w:lvlText w:val="%1."/>
      <w:lvlJc w:val="left"/>
      <w:rPr>
        <w:rFonts w:ascii="Arial" w:eastAsia="Arial" w:hAnsi="Arial" w:cs="Arial"/>
        <w:b/>
        <w:bCs/>
        <w:i w:val="0"/>
        <w:iCs w:val="0"/>
        <w:smallCaps w:val="0"/>
        <w:strike w:val="0"/>
        <w:color w:val="231F20"/>
        <w:spacing w:val="0"/>
        <w:w w:val="100"/>
        <w:position w:val="0"/>
        <w:sz w:val="12"/>
        <w:szCs w:val="1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6" w15:restartNumberingAfterBreak="0">
    <w:nsid w:val="2F494C4E"/>
    <w:multiLevelType w:val="multilevel"/>
    <w:tmpl w:val="359875AE"/>
    <w:lvl w:ilvl="0">
      <w:start w:val="1"/>
      <w:numFmt w:val="bullet"/>
      <w:lvlText w:val="•"/>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7" w15:restartNumberingAfterBreak="0">
    <w:nsid w:val="2F645C9F"/>
    <w:multiLevelType w:val="multilevel"/>
    <w:tmpl w:val="0FB85F30"/>
    <w:lvl w:ilvl="0">
      <w:start w:val="1"/>
      <w:numFmt w:val="bullet"/>
      <w:lvlText w:val="•"/>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8" w15:restartNumberingAfterBreak="0">
    <w:nsid w:val="31292C2E"/>
    <w:multiLevelType w:val="multilevel"/>
    <w:tmpl w:val="4F1C34E6"/>
    <w:lvl w:ilvl="0">
      <w:start w:val="1"/>
      <w:numFmt w:val="bullet"/>
      <w:lvlText w:val="•"/>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9" w15:restartNumberingAfterBreak="0">
    <w:nsid w:val="319971B0"/>
    <w:multiLevelType w:val="multilevel"/>
    <w:tmpl w:val="5A24B470"/>
    <w:lvl w:ilvl="0">
      <w:start w:val="1"/>
      <w:numFmt w:val="upperLetter"/>
      <w:lvlText w:val="%1."/>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0" w15:restartNumberingAfterBreak="0">
    <w:nsid w:val="328B395F"/>
    <w:multiLevelType w:val="multilevel"/>
    <w:tmpl w:val="7AC0AC6C"/>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 w15:restartNumberingAfterBreak="0">
    <w:nsid w:val="32B63FFC"/>
    <w:multiLevelType w:val="multilevel"/>
    <w:tmpl w:val="B3684D4A"/>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 w15:restartNumberingAfterBreak="0">
    <w:nsid w:val="345C7767"/>
    <w:multiLevelType w:val="multilevel"/>
    <w:tmpl w:val="D76ABC84"/>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 w15:restartNumberingAfterBreak="0">
    <w:nsid w:val="348D3DDA"/>
    <w:multiLevelType w:val="multilevel"/>
    <w:tmpl w:val="27A09350"/>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4" w15:restartNumberingAfterBreak="0">
    <w:nsid w:val="375A35BE"/>
    <w:multiLevelType w:val="multilevel"/>
    <w:tmpl w:val="FDFEB848"/>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5" w15:restartNumberingAfterBreak="0">
    <w:nsid w:val="37DB12A5"/>
    <w:multiLevelType w:val="multilevel"/>
    <w:tmpl w:val="CA62A288"/>
    <w:lvl w:ilvl="0">
      <w:start w:val="1"/>
      <w:numFmt w:val="bullet"/>
      <w:lvlText w:val="•"/>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6" w15:restartNumberingAfterBreak="0">
    <w:nsid w:val="37E6237E"/>
    <w:multiLevelType w:val="multilevel"/>
    <w:tmpl w:val="B80E8B16"/>
    <w:lvl w:ilvl="0">
      <w:start w:val="50"/>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3909596B"/>
    <w:multiLevelType w:val="multilevel"/>
    <w:tmpl w:val="2E1A1A94"/>
    <w:lvl w:ilvl="0">
      <w:start w:val="1"/>
      <w:numFmt w:val="bullet"/>
      <w:lvlText w:val="•"/>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8" w15:restartNumberingAfterBreak="0">
    <w:nsid w:val="39273EC2"/>
    <w:multiLevelType w:val="multilevel"/>
    <w:tmpl w:val="A2368A9C"/>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9" w15:restartNumberingAfterBreak="0">
    <w:nsid w:val="39315AAB"/>
    <w:multiLevelType w:val="multilevel"/>
    <w:tmpl w:val="379E24D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0" w15:restartNumberingAfterBreak="0">
    <w:nsid w:val="3A994F22"/>
    <w:multiLevelType w:val="multilevel"/>
    <w:tmpl w:val="FDE27A60"/>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1" w15:restartNumberingAfterBreak="0">
    <w:nsid w:val="3B975D3D"/>
    <w:multiLevelType w:val="multilevel"/>
    <w:tmpl w:val="4A34120C"/>
    <w:lvl w:ilvl="0">
      <w:start w:val="1"/>
      <w:numFmt w:val="bullet"/>
      <w:lvlText w:val="•"/>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2" w15:restartNumberingAfterBreak="0">
    <w:nsid w:val="3C1943F7"/>
    <w:multiLevelType w:val="multilevel"/>
    <w:tmpl w:val="23B8AA02"/>
    <w:lvl w:ilvl="0">
      <w:start w:val="80"/>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3" w15:restartNumberingAfterBreak="0">
    <w:nsid w:val="3C3E5EE3"/>
    <w:multiLevelType w:val="multilevel"/>
    <w:tmpl w:val="F5CC229E"/>
    <w:lvl w:ilvl="0">
      <w:start w:val="1"/>
      <w:numFmt w:val="bullet"/>
      <w:lvlText w:val="•"/>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4" w15:restartNumberingAfterBreak="0">
    <w:nsid w:val="3CDD2D35"/>
    <w:multiLevelType w:val="multilevel"/>
    <w:tmpl w:val="F948018C"/>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5" w15:restartNumberingAfterBreak="0">
    <w:nsid w:val="3D8567B6"/>
    <w:multiLevelType w:val="multilevel"/>
    <w:tmpl w:val="E92837D0"/>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6" w15:restartNumberingAfterBreak="0">
    <w:nsid w:val="40B80447"/>
    <w:multiLevelType w:val="multilevel"/>
    <w:tmpl w:val="A476CF14"/>
    <w:lvl w:ilvl="0">
      <w:start w:val="1"/>
      <w:numFmt w:val="bullet"/>
      <w:lvlText w:val="•"/>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7" w15:restartNumberingAfterBreak="0">
    <w:nsid w:val="40E72EE3"/>
    <w:multiLevelType w:val="multilevel"/>
    <w:tmpl w:val="FA96F854"/>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8" w15:restartNumberingAfterBreak="0">
    <w:nsid w:val="412F591D"/>
    <w:multiLevelType w:val="multilevel"/>
    <w:tmpl w:val="E6D2972E"/>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9" w15:restartNumberingAfterBreak="0">
    <w:nsid w:val="41E414EF"/>
    <w:multiLevelType w:val="multilevel"/>
    <w:tmpl w:val="A6BC0A84"/>
    <w:lvl w:ilvl="0">
      <w:start w:val="1"/>
      <w:numFmt w:val="bullet"/>
      <w:lvlText w:val="□"/>
      <w:lvlJc w:val="left"/>
      <w:rPr>
        <w:rFonts w:ascii="Arial" w:eastAsia="Arial" w:hAnsi="Arial" w:cs="Arial"/>
        <w:b w:val="0"/>
        <w:bCs w:val="0"/>
        <w:i w:val="0"/>
        <w:iCs w:val="0"/>
        <w:smallCaps w:val="0"/>
        <w:strike w:val="0"/>
        <w:color w:val="231F20"/>
        <w:spacing w:val="0"/>
        <w:w w:val="100"/>
        <w:position w:val="0"/>
        <w:sz w:val="12"/>
        <w:szCs w:val="1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0" w15:restartNumberingAfterBreak="0">
    <w:nsid w:val="41F2281F"/>
    <w:multiLevelType w:val="multilevel"/>
    <w:tmpl w:val="C840C89E"/>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1" w15:restartNumberingAfterBreak="0">
    <w:nsid w:val="42102774"/>
    <w:multiLevelType w:val="multilevel"/>
    <w:tmpl w:val="6C709A4E"/>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2" w15:restartNumberingAfterBreak="0">
    <w:nsid w:val="42126E58"/>
    <w:multiLevelType w:val="multilevel"/>
    <w:tmpl w:val="D892EA8E"/>
    <w:lvl w:ilvl="0">
      <w:start w:val="1"/>
      <w:numFmt w:val="decimal"/>
      <w:lvlText w:val="%1)"/>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3" w15:restartNumberingAfterBreak="0">
    <w:nsid w:val="426E2B34"/>
    <w:multiLevelType w:val="multilevel"/>
    <w:tmpl w:val="2C3209D2"/>
    <w:lvl w:ilvl="0">
      <w:start w:val="1"/>
      <w:numFmt w:val="bullet"/>
      <w:lvlText w:val="♦"/>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4" w15:restartNumberingAfterBreak="0">
    <w:nsid w:val="42FE3E78"/>
    <w:multiLevelType w:val="multilevel"/>
    <w:tmpl w:val="7658AE20"/>
    <w:lvl w:ilvl="0">
      <w:start w:val="1"/>
      <w:numFmt w:val="decimal"/>
      <w:lvlText w:val="%1."/>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5" w15:restartNumberingAfterBreak="0">
    <w:nsid w:val="433911FF"/>
    <w:multiLevelType w:val="multilevel"/>
    <w:tmpl w:val="94EC9D02"/>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6" w15:restartNumberingAfterBreak="0">
    <w:nsid w:val="437F3054"/>
    <w:multiLevelType w:val="multilevel"/>
    <w:tmpl w:val="80F8274A"/>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7" w15:restartNumberingAfterBreak="0">
    <w:nsid w:val="443C67A0"/>
    <w:multiLevelType w:val="multilevel"/>
    <w:tmpl w:val="643821B8"/>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8" w15:restartNumberingAfterBreak="0">
    <w:nsid w:val="445543CE"/>
    <w:multiLevelType w:val="multilevel"/>
    <w:tmpl w:val="134CA116"/>
    <w:lvl w:ilvl="0">
      <w:start w:val="1"/>
      <w:numFmt w:val="bullet"/>
      <w:lvlText w:val="•"/>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9" w15:restartNumberingAfterBreak="0">
    <w:nsid w:val="4552187B"/>
    <w:multiLevelType w:val="multilevel"/>
    <w:tmpl w:val="DBF0FF1E"/>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0" w15:restartNumberingAfterBreak="0">
    <w:nsid w:val="48017F42"/>
    <w:multiLevelType w:val="multilevel"/>
    <w:tmpl w:val="B316D3D6"/>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1" w15:restartNumberingAfterBreak="0">
    <w:nsid w:val="492F6007"/>
    <w:multiLevelType w:val="multilevel"/>
    <w:tmpl w:val="77F2FFF0"/>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2" w15:restartNumberingAfterBreak="0">
    <w:nsid w:val="4980084A"/>
    <w:multiLevelType w:val="multilevel"/>
    <w:tmpl w:val="586C8210"/>
    <w:lvl w:ilvl="0">
      <w:start w:val="1"/>
      <w:numFmt w:val="bullet"/>
      <w:lvlText w:val="•"/>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3" w15:restartNumberingAfterBreak="0">
    <w:nsid w:val="4A667988"/>
    <w:multiLevelType w:val="multilevel"/>
    <w:tmpl w:val="3376BE3E"/>
    <w:lvl w:ilvl="0">
      <w:start w:val="1"/>
      <w:numFmt w:val="bullet"/>
      <w:lvlText w:val="•"/>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4" w15:restartNumberingAfterBreak="0">
    <w:nsid w:val="4B0A71C5"/>
    <w:multiLevelType w:val="multilevel"/>
    <w:tmpl w:val="D62C079C"/>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15"/>
        <w:szCs w:val="15"/>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5" w15:restartNumberingAfterBreak="0">
    <w:nsid w:val="4B60745E"/>
    <w:multiLevelType w:val="multilevel"/>
    <w:tmpl w:val="F60CABFC"/>
    <w:lvl w:ilvl="0">
      <w:start w:val="1"/>
      <w:numFmt w:val="bullet"/>
      <w:lvlText w:val="•"/>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6" w15:restartNumberingAfterBreak="0">
    <w:nsid w:val="4BEF4CA4"/>
    <w:multiLevelType w:val="multilevel"/>
    <w:tmpl w:val="C9DE0050"/>
    <w:lvl w:ilvl="0">
      <w:start w:val="1"/>
      <w:numFmt w:val="bullet"/>
      <w:lvlText w:val="♦"/>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7" w15:restartNumberingAfterBreak="0">
    <w:nsid w:val="4C466168"/>
    <w:multiLevelType w:val="multilevel"/>
    <w:tmpl w:val="335A8DA6"/>
    <w:lvl w:ilvl="0">
      <w:start w:val="6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8" w15:restartNumberingAfterBreak="0">
    <w:nsid w:val="4CF81472"/>
    <w:multiLevelType w:val="multilevel"/>
    <w:tmpl w:val="FCDE7384"/>
    <w:lvl w:ilvl="0">
      <w:start w:val="28"/>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9" w15:restartNumberingAfterBreak="0">
    <w:nsid w:val="4D307699"/>
    <w:multiLevelType w:val="multilevel"/>
    <w:tmpl w:val="3CD401D0"/>
    <w:lvl w:ilvl="0">
      <w:start w:val="1"/>
      <w:numFmt w:val="bullet"/>
      <w:lvlText w:val="•"/>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0" w15:restartNumberingAfterBreak="0">
    <w:nsid w:val="4E665E90"/>
    <w:multiLevelType w:val="multilevel"/>
    <w:tmpl w:val="23EA281A"/>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1" w15:restartNumberingAfterBreak="0">
    <w:nsid w:val="4EA30E27"/>
    <w:multiLevelType w:val="multilevel"/>
    <w:tmpl w:val="6130E6D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2" w15:restartNumberingAfterBreak="0">
    <w:nsid w:val="50D36967"/>
    <w:multiLevelType w:val="multilevel"/>
    <w:tmpl w:val="B8B68F0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3" w15:restartNumberingAfterBreak="0">
    <w:nsid w:val="51113609"/>
    <w:multiLevelType w:val="multilevel"/>
    <w:tmpl w:val="7AF82000"/>
    <w:lvl w:ilvl="0">
      <w:start w:val="1"/>
      <w:numFmt w:val="bullet"/>
      <w:lvlText w:val="•"/>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4" w15:restartNumberingAfterBreak="0">
    <w:nsid w:val="535E04E2"/>
    <w:multiLevelType w:val="multilevel"/>
    <w:tmpl w:val="E8ACB7FA"/>
    <w:lvl w:ilvl="0">
      <w:start w:val="1"/>
      <w:numFmt w:val="bullet"/>
      <w:lvlText w:val="•"/>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5" w15:restartNumberingAfterBreak="0">
    <w:nsid w:val="53DD04A1"/>
    <w:multiLevelType w:val="multilevel"/>
    <w:tmpl w:val="80E407A6"/>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FFFFFF"/>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6" w15:restartNumberingAfterBreak="0">
    <w:nsid w:val="547B4C55"/>
    <w:multiLevelType w:val="multilevel"/>
    <w:tmpl w:val="389C394A"/>
    <w:lvl w:ilvl="0">
      <w:start w:val="10"/>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7" w15:restartNumberingAfterBreak="0">
    <w:nsid w:val="548529AF"/>
    <w:multiLevelType w:val="multilevel"/>
    <w:tmpl w:val="9BD020B0"/>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8" w15:restartNumberingAfterBreak="0">
    <w:nsid w:val="548B205A"/>
    <w:multiLevelType w:val="multilevel"/>
    <w:tmpl w:val="B66AB16E"/>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9" w15:restartNumberingAfterBreak="0">
    <w:nsid w:val="54D528B3"/>
    <w:multiLevelType w:val="multilevel"/>
    <w:tmpl w:val="2004AF7E"/>
    <w:lvl w:ilvl="0">
      <w:start w:val="1"/>
      <w:numFmt w:val="bullet"/>
      <w:lvlText w:val="•"/>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0" w15:restartNumberingAfterBreak="0">
    <w:nsid w:val="554906B5"/>
    <w:multiLevelType w:val="multilevel"/>
    <w:tmpl w:val="1E4A632C"/>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1" w15:restartNumberingAfterBreak="0">
    <w:nsid w:val="569D0646"/>
    <w:multiLevelType w:val="multilevel"/>
    <w:tmpl w:val="CD0E4BD0"/>
    <w:lvl w:ilvl="0">
      <w:start w:val="3"/>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2" w15:restartNumberingAfterBreak="0">
    <w:nsid w:val="56CB673D"/>
    <w:multiLevelType w:val="multilevel"/>
    <w:tmpl w:val="CBA03888"/>
    <w:lvl w:ilvl="0">
      <w:start w:val="1"/>
      <w:numFmt w:val="upperLetter"/>
      <w:lvlText w:val="%1."/>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3" w15:restartNumberingAfterBreak="0">
    <w:nsid w:val="56E66CEB"/>
    <w:multiLevelType w:val="multilevel"/>
    <w:tmpl w:val="A306A628"/>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4" w15:restartNumberingAfterBreak="0">
    <w:nsid w:val="57C43E04"/>
    <w:multiLevelType w:val="multilevel"/>
    <w:tmpl w:val="B642A23C"/>
    <w:lvl w:ilvl="0">
      <w:start w:val="1"/>
      <w:numFmt w:val="bullet"/>
      <w:lvlText w:val="*"/>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5" w15:restartNumberingAfterBreak="0">
    <w:nsid w:val="590C79C1"/>
    <w:multiLevelType w:val="multilevel"/>
    <w:tmpl w:val="72C0C22A"/>
    <w:lvl w:ilvl="0">
      <w:start w:val="1"/>
      <w:numFmt w:val="bullet"/>
      <w:lvlText w:val="•"/>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6" w15:restartNumberingAfterBreak="0">
    <w:nsid w:val="5AB342DA"/>
    <w:multiLevelType w:val="multilevel"/>
    <w:tmpl w:val="B2F4C0B4"/>
    <w:lvl w:ilvl="0">
      <w:start w:val="1"/>
      <w:numFmt w:val="bullet"/>
      <w:lvlText w:val="•"/>
      <w:lvlJc w:val="left"/>
      <w:rPr>
        <w:rFonts w:ascii="Garamond" w:eastAsia="Garamond" w:hAnsi="Garamond" w:cs="Garamond"/>
        <w:b w:val="0"/>
        <w:bCs w:val="0"/>
        <w:i w:val="0"/>
        <w:iCs w:val="0"/>
        <w:smallCaps w:val="0"/>
        <w:strike w:val="0"/>
        <w:color w:val="00000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7" w15:restartNumberingAfterBreak="0">
    <w:nsid w:val="5BF22E6A"/>
    <w:multiLevelType w:val="multilevel"/>
    <w:tmpl w:val="8FF2D650"/>
    <w:lvl w:ilvl="0">
      <w:start w:val="1"/>
      <w:numFmt w:val="bullet"/>
      <w:lvlText w:val="•"/>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8" w15:restartNumberingAfterBreak="0">
    <w:nsid w:val="5C532C96"/>
    <w:multiLevelType w:val="multilevel"/>
    <w:tmpl w:val="4C8ADE76"/>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9" w15:restartNumberingAfterBreak="0">
    <w:nsid w:val="5F020EAC"/>
    <w:multiLevelType w:val="multilevel"/>
    <w:tmpl w:val="3E6E6A70"/>
    <w:lvl w:ilvl="0">
      <w:start w:val="1"/>
      <w:numFmt w:val="bullet"/>
      <w:lvlText w:val="•"/>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0" w15:restartNumberingAfterBreak="0">
    <w:nsid w:val="5F1C7981"/>
    <w:multiLevelType w:val="multilevel"/>
    <w:tmpl w:val="4386C2E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1" w15:restartNumberingAfterBreak="0">
    <w:nsid w:val="5FCB4389"/>
    <w:multiLevelType w:val="multilevel"/>
    <w:tmpl w:val="21B2FDAE"/>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2" w15:restartNumberingAfterBreak="0">
    <w:nsid w:val="6057461D"/>
    <w:multiLevelType w:val="multilevel"/>
    <w:tmpl w:val="F13076E2"/>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3" w15:restartNumberingAfterBreak="0">
    <w:nsid w:val="607B1A85"/>
    <w:multiLevelType w:val="multilevel"/>
    <w:tmpl w:val="40CAFDF2"/>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4" w15:restartNumberingAfterBreak="0">
    <w:nsid w:val="61456AD4"/>
    <w:multiLevelType w:val="multilevel"/>
    <w:tmpl w:val="3A44C6BE"/>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15"/>
        <w:szCs w:val="15"/>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5" w15:restartNumberingAfterBreak="0">
    <w:nsid w:val="62116357"/>
    <w:multiLevelType w:val="multilevel"/>
    <w:tmpl w:val="B748DA88"/>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6" w15:restartNumberingAfterBreak="0">
    <w:nsid w:val="638C4EC2"/>
    <w:multiLevelType w:val="multilevel"/>
    <w:tmpl w:val="4184ED1C"/>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7" w15:restartNumberingAfterBreak="0">
    <w:nsid w:val="646838BD"/>
    <w:multiLevelType w:val="multilevel"/>
    <w:tmpl w:val="D25CA8BE"/>
    <w:lvl w:ilvl="0">
      <w:start w:val="1"/>
      <w:numFmt w:val="bullet"/>
      <w:lvlText w:val="□"/>
      <w:lvlJc w:val="left"/>
      <w:rPr>
        <w:rFonts w:ascii="Arial" w:eastAsia="Arial" w:hAnsi="Arial" w:cs="Arial"/>
        <w:b w:val="0"/>
        <w:bCs w:val="0"/>
        <w:i w:val="0"/>
        <w:iCs w:val="0"/>
        <w:smallCaps w:val="0"/>
        <w:strike w:val="0"/>
        <w:color w:val="231F20"/>
        <w:spacing w:val="0"/>
        <w:w w:val="100"/>
        <w:position w:val="0"/>
        <w:sz w:val="10"/>
        <w:szCs w:val="1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8" w15:restartNumberingAfterBreak="0">
    <w:nsid w:val="658D1BAE"/>
    <w:multiLevelType w:val="multilevel"/>
    <w:tmpl w:val="1E5AB438"/>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9" w15:restartNumberingAfterBreak="0">
    <w:nsid w:val="67113748"/>
    <w:multiLevelType w:val="multilevel"/>
    <w:tmpl w:val="19228602"/>
    <w:lvl w:ilvl="0">
      <w:start w:val="1"/>
      <w:numFmt w:val="bullet"/>
      <w:lvlText w:val="•"/>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0" w15:restartNumberingAfterBreak="0">
    <w:nsid w:val="67B67B09"/>
    <w:multiLevelType w:val="multilevel"/>
    <w:tmpl w:val="B86A4BA4"/>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1" w15:restartNumberingAfterBreak="0">
    <w:nsid w:val="68652DA3"/>
    <w:multiLevelType w:val="multilevel"/>
    <w:tmpl w:val="1CAE7E7E"/>
    <w:lvl w:ilvl="0">
      <w:start w:val="1"/>
      <w:numFmt w:val="bullet"/>
      <w:lvlText w:val="*"/>
      <w:lvlJc w:val="left"/>
      <w:rPr>
        <w:rFonts w:ascii="Times New Roman" w:eastAsia="Times New Roman" w:hAnsi="Times New Roman" w:cs="Times New Roman"/>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2" w15:restartNumberingAfterBreak="0">
    <w:nsid w:val="686778EB"/>
    <w:multiLevelType w:val="multilevel"/>
    <w:tmpl w:val="5E94B37C"/>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3" w15:restartNumberingAfterBreak="0">
    <w:nsid w:val="693B487F"/>
    <w:multiLevelType w:val="multilevel"/>
    <w:tmpl w:val="025862DE"/>
    <w:lvl w:ilvl="0">
      <w:start w:val="1"/>
      <w:numFmt w:val="bullet"/>
      <w:lvlText w:val="•"/>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4" w15:restartNumberingAfterBreak="0">
    <w:nsid w:val="69720BB4"/>
    <w:multiLevelType w:val="multilevel"/>
    <w:tmpl w:val="41F0E202"/>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5" w15:restartNumberingAfterBreak="0">
    <w:nsid w:val="69BF0BA4"/>
    <w:multiLevelType w:val="multilevel"/>
    <w:tmpl w:val="63B234AC"/>
    <w:lvl w:ilvl="0">
      <w:start w:val="1"/>
      <w:numFmt w:val="upperLetter"/>
      <w:lvlText w:val="%1."/>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6" w15:restartNumberingAfterBreak="0">
    <w:nsid w:val="6B032789"/>
    <w:multiLevelType w:val="multilevel"/>
    <w:tmpl w:val="DFE6310C"/>
    <w:lvl w:ilvl="0">
      <w:start w:val="7"/>
      <w:numFmt w:val="upperRoman"/>
      <w:lvlText w:val="%1."/>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7" w15:restartNumberingAfterBreak="0">
    <w:nsid w:val="6D7609F5"/>
    <w:multiLevelType w:val="multilevel"/>
    <w:tmpl w:val="7218A140"/>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8" w15:restartNumberingAfterBreak="0">
    <w:nsid w:val="6DEB181B"/>
    <w:multiLevelType w:val="multilevel"/>
    <w:tmpl w:val="0D944598"/>
    <w:lvl w:ilvl="0">
      <w:start w:val="1"/>
      <w:numFmt w:val="bullet"/>
      <w:lvlText w:val="*"/>
      <w:lvlJc w:val="left"/>
      <w:rPr>
        <w:rFonts w:ascii="Times New Roman" w:eastAsia="Times New Roman" w:hAnsi="Times New Roman" w:cs="Times New Roman"/>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9" w15:restartNumberingAfterBreak="0">
    <w:nsid w:val="6E5B6990"/>
    <w:multiLevelType w:val="multilevel"/>
    <w:tmpl w:val="F3F6A92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0" w15:restartNumberingAfterBreak="0">
    <w:nsid w:val="6F252957"/>
    <w:multiLevelType w:val="multilevel"/>
    <w:tmpl w:val="684240D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1" w15:restartNumberingAfterBreak="0">
    <w:nsid w:val="6FC22AB2"/>
    <w:multiLevelType w:val="multilevel"/>
    <w:tmpl w:val="561E3F38"/>
    <w:lvl w:ilvl="0">
      <w:start w:val="1"/>
      <w:numFmt w:val="bullet"/>
      <w:lvlText w:val="•"/>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2" w15:restartNumberingAfterBreak="0">
    <w:nsid w:val="70291285"/>
    <w:multiLevelType w:val="multilevel"/>
    <w:tmpl w:val="6FD26F6E"/>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3" w15:restartNumberingAfterBreak="0">
    <w:nsid w:val="71215017"/>
    <w:multiLevelType w:val="multilevel"/>
    <w:tmpl w:val="A3C8C7F0"/>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4" w15:restartNumberingAfterBreak="0">
    <w:nsid w:val="71215484"/>
    <w:multiLevelType w:val="multilevel"/>
    <w:tmpl w:val="3C027DEE"/>
    <w:lvl w:ilvl="0">
      <w:start w:val="1"/>
      <w:numFmt w:val="bullet"/>
      <w:lvlText w:val="•"/>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5" w15:restartNumberingAfterBreak="0">
    <w:nsid w:val="715B012D"/>
    <w:multiLevelType w:val="multilevel"/>
    <w:tmpl w:val="6E30A6D4"/>
    <w:lvl w:ilvl="0">
      <w:start w:val="5"/>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6" w15:restartNumberingAfterBreak="0">
    <w:nsid w:val="71CB5BC4"/>
    <w:multiLevelType w:val="multilevel"/>
    <w:tmpl w:val="62D4CA58"/>
    <w:lvl w:ilvl="0">
      <w:start w:val="1"/>
      <w:numFmt w:val="bullet"/>
      <w:lvlText w:val="*"/>
      <w:lvlJc w:val="left"/>
      <w:rPr>
        <w:rFonts w:ascii="Times New Roman" w:eastAsia="Times New Roman" w:hAnsi="Times New Roman" w:cs="Times New Roman"/>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7" w15:restartNumberingAfterBreak="0">
    <w:nsid w:val="726717B3"/>
    <w:multiLevelType w:val="multilevel"/>
    <w:tmpl w:val="D254968E"/>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8" w15:restartNumberingAfterBreak="0">
    <w:nsid w:val="72753960"/>
    <w:multiLevelType w:val="multilevel"/>
    <w:tmpl w:val="D29AE6A0"/>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9" w15:restartNumberingAfterBreak="0">
    <w:nsid w:val="72DD6351"/>
    <w:multiLevelType w:val="multilevel"/>
    <w:tmpl w:val="C548D4A6"/>
    <w:lvl w:ilvl="0">
      <w:start w:val="8"/>
      <w:numFmt w:val="decimal"/>
      <w:lvlText w:val="%1"/>
      <w:lvlJc w:val="left"/>
      <w:rPr>
        <w:rFonts w:ascii="Times New Roman" w:eastAsia="Times New Roman" w:hAnsi="Times New Roman" w:cs="Times New Roman"/>
        <w:b/>
        <w:bCs/>
        <w:i w:val="0"/>
        <w:iCs w:val="0"/>
        <w:smallCaps w:val="0"/>
        <w:strike w:val="0"/>
        <w:color w:val="231F20"/>
        <w:spacing w:val="0"/>
        <w:w w:val="100"/>
        <w:position w:val="0"/>
        <w:sz w:val="16"/>
        <w:szCs w:val="1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0" w15:restartNumberingAfterBreak="0">
    <w:nsid w:val="75092C21"/>
    <w:multiLevelType w:val="multilevel"/>
    <w:tmpl w:val="5F8E2B48"/>
    <w:lvl w:ilvl="0">
      <w:start w:val="1"/>
      <w:numFmt w:val="bullet"/>
      <w:lvlText w:val="•"/>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1" w15:restartNumberingAfterBreak="0">
    <w:nsid w:val="762C47A1"/>
    <w:multiLevelType w:val="multilevel"/>
    <w:tmpl w:val="78D2B400"/>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2" w15:restartNumberingAfterBreak="0">
    <w:nsid w:val="798C45C7"/>
    <w:multiLevelType w:val="multilevel"/>
    <w:tmpl w:val="6FB63ABC"/>
    <w:lvl w:ilvl="0">
      <w:start w:val="1"/>
      <w:numFmt w:val="bullet"/>
      <w:lvlText w:val="•"/>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3" w15:restartNumberingAfterBreak="0">
    <w:nsid w:val="7A8E6AE4"/>
    <w:multiLevelType w:val="multilevel"/>
    <w:tmpl w:val="05CCC7EA"/>
    <w:lvl w:ilvl="0">
      <w:start w:val="1"/>
      <w:numFmt w:val="lowerLetter"/>
      <w:lvlText w:val="%1)"/>
      <w:lvlJc w:val="left"/>
      <w:rPr>
        <w:rFonts w:ascii="Times New Roman" w:eastAsia="Times New Roman" w:hAnsi="Times New Roman" w:cs="Times New Roman"/>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4" w15:restartNumberingAfterBreak="0">
    <w:nsid w:val="7C371BD4"/>
    <w:multiLevelType w:val="multilevel"/>
    <w:tmpl w:val="75303B8E"/>
    <w:lvl w:ilvl="0">
      <w:start w:val="1"/>
      <w:numFmt w:val="lowerRoman"/>
      <w:lvlText w:val="(%1)"/>
      <w:lvlJc w:val="left"/>
      <w:rPr>
        <w:rFonts w:ascii="Times New Roman" w:eastAsia="Times New Roman" w:hAnsi="Times New Roman" w:cs="Times New Roman"/>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5" w15:restartNumberingAfterBreak="0">
    <w:nsid w:val="7C5351CA"/>
    <w:multiLevelType w:val="multilevel"/>
    <w:tmpl w:val="EFEA949C"/>
    <w:lvl w:ilvl="0">
      <w:start w:val="1"/>
      <w:numFmt w:val="upperLetter"/>
      <w:lvlText w:val="%1."/>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6" w15:restartNumberingAfterBreak="0">
    <w:nsid w:val="7E667209"/>
    <w:multiLevelType w:val="multilevel"/>
    <w:tmpl w:val="2D9870BE"/>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7" w15:restartNumberingAfterBreak="0">
    <w:nsid w:val="7F2B6BA5"/>
    <w:multiLevelType w:val="multilevel"/>
    <w:tmpl w:val="E03E4FFE"/>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15"/>
        <w:szCs w:val="15"/>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8" w15:restartNumberingAfterBreak="0">
    <w:nsid w:val="7FF81ABC"/>
    <w:multiLevelType w:val="multilevel"/>
    <w:tmpl w:val="A302EC86"/>
    <w:lvl w:ilvl="0">
      <w:start w:val="1"/>
      <w:numFmt w:val="bullet"/>
      <w:lvlText w:val="•"/>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465930848">
    <w:abstractNumId w:val="95"/>
  </w:num>
  <w:num w:numId="2" w16cid:durableId="1835878548">
    <w:abstractNumId w:val="156"/>
  </w:num>
  <w:num w:numId="3" w16cid:durableId="2121563228">
    <w:abstractNumId w:val="100"/>
  </w:num>
  <w:num w:numId="4" w16cid:durableId="1682732054">
    <w:abstractNumId w:val="31"/>
  </w:num>
  <w:num w:numId="5" w16cid:durableId="30619338">
    <w:abstractNumId w:val="163"/>
  </w:num>
  <w:num w:numId="6" w16cid:durableId="2040355869">
    <w:abstractNumId w:val="20"/>
  </w:num>
  <w:num w:numId="7" w16cid:durableId="150878561">
    <w:abstractNumId w:val="141"/>
  </w:num>
  <w:num w:numId="8" w16cid:durableId="2118207404">
    <w:abstractNumId w:val="148"/>
  </w:num>
  <w:num w:numId="9" w16cid:durableId="947002278">
    <w:abstractNumId w:val="134"/>
  </w:num>
  <w:num w:numId="10" w16cid:durableId="1454667316">
    <w:abstractNumId w:val="105"/>
  </w:num>
  <w:num w:numId="11" w16cid:durableId="1028145369">
    <w:abstractNumId w:val="67"/>
  </w:num>
  <w:num w:numId="12" w16cid:durableId="952059233">
    <w:abstractNumId w:val="106"/>
  </w:num>
  <w:num w:numId="13" w16cid:durableId="761802028">
    <w:abstractNumId w:val="124"/>
  </w:num>
  <w:num w:numId="14" w16cid:durableId="390153906">
    <w:abstractNumId w:val="24"/>
  </w:num>
  <w:num w:numId="15" w16cid:durableId="419789195">
    <w:abstractNumId w:val="34"/>
  </w:num>
  <w:num w:numId="16" w16cid:durableId="1995524730">
    <w:abstractNumId w:val="46"/>
  </w:num>
  <w:num w:numId="17" w16cid:durableId="815609861">
    <w:abstractNumId w:val="0"/>
  </w:num>
  <w:num w:numId="18" w16cid:durableId="855847583">
    <w:abstractNumId w:val="92"/>
  </w:num>
  <w:num w:numId="19" w16cid:durableId="1054963208">
    <w:abstractNumId w:val="80"/>
  </w:num>
  <w:num w:numId="20" w16cid:durableId="1204251259">
    <w:abstractNumId w:val="1"/>
  </w:num>
  <w:num w:numId="21" w16cid:durableId="1064331335">
    <w:abstractNumId w:val="61"/>
  </w:num>
  <w:num w:numId="22" w16cid:durableId="61488619">
    <w:abstractNumId w:val="65"/>
  </w:num>
  <w:num w:numId="23" w16cid:durableId="2119060427">
    <w:abstractNumId w:val="159"/>
  </w:num>
  <w:num w:numId="24" w16cid:durableId="800726256">
    <w:abstractNumId w:val="49"/>
  </w:num>
  <w:num w:numId="25" w16cid:durableId="1536697173">
    <w:abstractNumId w:val="144"/>
  </w:num>
  <w:num w:numId="26" w16cid:durableId="655303951">
    <w:abstractNumId w:val="89"/>
  </w:num>
  <w:num w:numId="27" w16cid:durableId="1044791084">
    <w:abstractNumId w:val="9"/>
  </w:num>
  <w:num w:numId="28" w16cid:durableId="362177227">
    <w:abstractNumId w:val="33"/>
  </w:num>
  <w:num w:numId="29" w16cid:durableId="1766342501">
    <w:abstractNumId w:val="137"/>
  </w:num>
  <w:num w:numId="30" w16cid:durableId="1652054455">
    <w:abstractNumId w:val="27"/>
  </w:num>
  <w:num w:numId="31" w16cid:durableId="827747659">
    <w:abstractNumId w:val="2"/>
  </w:num>
  <w:num w:numId="32" w16cid:durableId="1055856078">
    <w:abstractNumId w:val="94"/>
  </w:num>
  <w:num w:numId="33" w16cid:durableId="800927017">
    <w:abstractNumId w:val="38"/>
  </w:num>
  <w:num w:numId="34" w16cid:durableId="1898735747">
    <w:abstractNumId w:val="12"/>
  </w:num>
  <w:num w:numId="35" w16cid:durableId="1753359156">
    <w:abstractNumId w:val="151"/>
  </w:num>
  <w:num w:numId="36" w16cid:durableId="738018">
    <w:abstractNumId w:val="139"/>
  </w:num>
  <w:num w:numId="37" w16cid:durableId="1282804296">
    <w:abstractNumId w:val="101"/>
  </w:num>
  <w:num w:numId="38" w16cid:durableId="946698625">
    <w:abstractNumId w:val="96"/>
  </w:num>
  <w:num w:numId="39" w16cid:durableId="1161652036">
    <w:abstractNumId w:val="152"/>
  </w:num>
  <w:num w:numId="40" w16cid:durableId="86849086">
    <w:abstractNumId w:val="48"/>
  </w:num>
  <w:num w:numId="41" w16cid:durableId="1533028592">
    <w:abstractNumId w:val="57"/>
  </w:num>
  <w:num w:numId="42" w16cid:durableId="2107649576">
    <w:abstractNumId w:val="168"/>
  </w:num>
  <w:num w:numId="43" w16cid:durableId="2115980637">
    <w:abstractNumId w:val="15"/>
  </w:num>
  <w:num w:numId="44" w16cid:durableId="1666393065">
    <w:abstractNumId w:val="74"/>
  </w:num>
  <w:num w:numId="45" w16cid:durableId="311327405">
    <w:abstractNumId w:val="115"/>
  </w:num>
  <w:num w:numId="46" w16cid:durableId="338697250">
    <w:abstractNumId w:val="158"/>
  </w:num>
  <w:num w:numId="47" w16cid:durableId="1245917879">
    <w:abstractNumId w:val="40"/>
  </w:num>
  <w:num w:numId="48" w16cid:durableId="1869444971">
    <w:abstractNumId w:val="23"/>
  </w:num>
  <w:num w:numId="49" w16cid:durableId="743448988">
    <w:abstractNumId w:val="121"/>
  </w:num>
  <w:num w:numId="50" w16cid:durableId="619845231">
    <w:abstractNumId w:val="160"/>
  </w:num>
  <w:num w:numId="51" w16cid:durableId="1381054407">
    <w:abstractNumId w:val="51"/>
  </w:num>
  <w:num w:numId="52" w16cid:durableId="113864240">
    <w:abstractNumId w:val="78"/>
  </w:num>
  <w:num w:numId="53" w16cid:durableId="1550219030">
    <w:abstractNumId w:val="87"/>
  </w:num>
  <w:num w:numId="54" w16cid:durableId="1570262165">
    <w:abstractNumId w:val="44"/>
  </w:num>
  <w:num w:numId="55" w16cid:durableId="1460143852">
    <w:abstractNumId w:val="11"/>
  </w:num>
  <w:num w:numId="56" w16cid:durableId="1935936843">
    <w:abstractNumId w:val="32"/>
  </w:num>
  <w:num w:numId="57" w16cid:durableId="243490775">
    <w:abstractNumId w:val="103"/>
  </w:num>
  <w:num w:numId="58" w16cid:durableId="1297176452">
    <w:abstractNumId w:val="66"/>
  </w:num>
  <w:num w:numId="59" w16cid:durableId="953638670">
    <w:abstractNumId w:val="26"/>
  </w:num>
  <w:num w:numId="60" w16cid:durableId="436944837">
    <w:abstractNumId w:val="147"/>
  </w:num>
  <w:num w:numId="61" w16cid:durableId="1467970555">
    <w:abstractNumId w:val="162"/>
  </w:num>
  <w:num w:numId="62" w16cid:durableId="932472083">
    <w:abstractNumId w:val="93"/>
  </w:num>
  <w:num w:numId="63" w16cid:durableId="986401604">
    <w:abstractNumId w:val="99"/>
  </w:num>
  <w:num w:numId="64" w16cid:durableId="35473652">
    <w:abstractNumId w:val="7"/>
  </w:num>
  <w:num w:numId="65" w16cid:durableId="538662824">
    <w:abstractNumId w:val="157"/>
  </w:num>
  <w:num w:numId="66" w16cid:durableId="1876262610">
    <w:abstractNumId w:val="3"/>
  </w:num>
  <w:num w:numId="67" w16cid:durableId="394360433">
    <w:abstractNumId w:val="142"/>
  </w:num>
  <w:num w:numId="68" w16cid:durableId="1406954269">
    <w:abstractNumId w:val="129"/>
  </w:num>
  <w:num w:numId="69" w16cid:durableId="393235655">
    <w:abstractNumId w:val="71"/>
  </w:num>
  <w:num w:numId="70" w16cid:durableId="2130663177">
    <w:abstractNumId w:val="70"/>
  </w:num>
  <w:num w:numId="71" w16cid:durableId="1695881826">
    <w:abstractNumId w:val="68"/>
  </w:num>
  <w:num w:numId="72" w16cid:durableId="205265068">
    <w:abstractNumId w:val="58"/>
  </w:num>
  <w:num w:numId="73" w16cid:durableId="1492795773">
    <w:abstractNumId w:val="36"/>
  </w:num>
  <w:num w:numId="74" w16cid:durableId="1853493426">
    <w:abstractNumId w:val="77"/>
  </w:num>
  <w:num w:numId="75" w16cid:durableId="1904219532">
    <w:abstractNumId w:val="119"/>
  </w:num>
  <w:num w:numId="76" w16cid:durableId="1217425439">
    <w:abstractNumId w:val="90"/>
  </w:num>
  <w:num w:numId="77" w16cid:durableId="1434397082">
    <w:abstractNumId w:val="132"/>
  </w:num>
  <w:num w:numId="78" w16cid:durableId="939528699">
    <w:abstractNumId w:val="4"/>
  </w:num>
  <w:num w:numId="79" w16cid:durableId="1786384492">
    <w:abstractNumId w:val="16"/>
  </w:num>
  <w:num w:numId="80" w16cid:durableId="1914854322">
    <w:abstractNumId w:val="55"/>
  </w:num>
  <w:num w:numId="81" w16cid:durableId="585309618">
    <w:abstractNumId w:val="81"/>
  </w:num>
  <w:num w:numId="82" w16cid:durableId="1849562278">
    <w:abstractNumId w:val="98"/>
  </w:num>
  <w:num w:numId="83" w16cid:durableId="2015452010">
    <w:abstractNumId w:val="104"/>
  </w:num>
  <w:num w:numId="84" w16cid:durableId="674042319">
    <w:abstractNumId w:val="52"/>
  </w:num>
  <w:num w:numId="85" w16cid:durableId="723066206">
    <w:abstractNumId w:val="88"/>
  </w:num>
  <w:num w:numId="86" w16cid:durableId="201946194">
    <w:abstractNumId w:val="138"/>
  </w:num>
  <w:num w:numId="87" w16cid:durableId="1516530823">
    <w:abstractNumId w:val="154"/>
  </w:num>
  <w:num w:numId="88" w16cid:durableId="1048215267">
    <w:abstractNumId w:val="56"/>
  </w:num>
  <w:num w:numId="89" w16cid:durableId="1450509979">
    <w:abstractNumId w:val="72"/>
  </w:num>
  <w:num w:numId="90" w16cid:durableId="1681395070">
    <w:abstractNumId w:val="120"/>
  </w:num>
  <w:num w:numId="91" w16cid:durableId="1280452429">
    <w:abstractNumId w:val="13"/>
  </w:num>
  <w:num w:numId="92" w16cid:durableId="1019235532">
    <w:abstractNumId w:val="136"/>
  </w:num>
  <w:num w:numId="93" w16cid:durableId="1906645584">
    <w:abstractNumId w:val="19"/>
  </w:num>
  <w:num w:numId="94" w16cid:durableId="1464152184">
    <w:abstractNumId w:val="127"/>
  </w:num>
  <w:num w:numId="95" w16cid:durableId="419110282">
    <w:abstractNumId w:val="53"/>
  </w:num>
  <w:num w:numId="96" w16cid:durableId="417675029">
    <w:abstractNumId w:val="25"/>
  </w:num>
  <w:num w:numId="97" w16cid:durableId="1905093572">
    <w:abstractNumId w:val="30"/>
  </w:num>
  <w:num w:numId="98" w16cid:durableId="1780487608">
    <w:abstractNumId w:val="109"/>
  </w:num>
  <w:num w:numId="99" w16cid:durableId="357632563">
    <w:abstractNumId w:val="125"/>
  </w:num>
  <w:num w:numId="100" w16cid:durableId="1029641838">
    <w:abstractNumId w:val="83"/>
  </w:num>
  <w:num w:numId="101" w16cid:durableId="397169509">
    <w:abstractNumId w:val="18"/>
  </w:num>
  <w:num w:numId="102" w16cid:durableId="644042276">
    <w:abstractNumId w:val="110"/>
  </w:num>
  <w:num w:numId="103" w16cid:durableId="1673793969">
    <w:abstractNumId w:val="28"/>
  </w:num>
  <w:num w:numId="104" w16cid:durableId="817065260">
    <w:abstractNumId w:val="167"/>
  </w:num>
  <w:num w:numId="105" w16cid:durableId="1978415587">
    <w:abstractNumId w:val="37"/>
  </w:num>
  <w:num w:numId="106" w16cid:durableId="1829591492">
    <w:abstractNumId w:val="135"/>
  </w:num>
  <w:num w:numId="107" w16cid:durableId="276329096">
    <w:abstractNumId w:val="131"/>
  </w:num>
  <w:num w:numId="108" w16cid:durableId="117451728">
    <w:abstractNumId w:val="161"/>
  </w:num>
  <w:num w:numId="109" w16cid:durableId="134839075">
    <w:abstractNumId w:val="54"/>
  </w:num>
  <w:num w:numId="110" w16cid:durableId="1006635832">
    <w:abstractNumId w:val="41"/>
  </w:num>
  <w:num w:numId="111" w16cid:durableId="1763455654">
    <w:abstractNumId w:val="45"/>
  </w:num>
  <w:num w:numId="112" w16cid:durableId="1559513939">
    <w:abstractNumId w:val="145"/>
  </w:num>
  <w:num w:numId="113" w16cid:durableId="781536722">
    <w:abstractNumId w:val="29"/>
  </w:num>
  <w:num w:numId="114" w16cid:durableId="1169715393">
    <w:abstractNumId w:val="102"/>
  </w:num>
  <w:num w:numId="115" w16cid:durableId="313722807">
    <w:abstractNumId w:val="75"/>
  </w:num>
  <w:num w:numId="116" w16cid:durableId="1199004780">
    <w:abstractNumId w:val="113"/>
  </w:num>
  <w:num w:numId="117" w16cid:durableId="882671107">
    <w:abstractNumId w:val="117"/>
  </w:num>
  <w:num w:numId="118" w16cid:durableId="1516766270">
    <w:abstractNumId w:val="166"/>
  </w:num>
  <w:num w:numId="119" w16cid:durableId="1311860845">
    <w:abstractNumId w:val="128"/>
  </w:num>
  <w:num w:numId="120" w16cid:durableId="5719775">
    <w:abstractNumId w:val="153"/>
  </w:num>
  <w:num w:numId="121" w16cid:durableId="1025056349">
    <w:abstractNumId w:val="14"/>
  </w:num>
  <w:num w:numId="122" w16cid:durableId="1888176217">
    <w:abstractNumId w:val="21"/>
  </w:num>
  <w:num w:numId="123" w16cid:durableId="131944992">
    <w:abstractNumId w:val="126"/>
  </w:num>
  <w:num w:numId="124" w16cid:durableId="1054624587">
    <w:abstractNumId w:val="149"/>
  </w:num>
  <w:num w:numId="125" w16cid:durableId="1377898266">
    <w:abstractNumId w:val="5"/>
  </w:num>
  <w:num w:numId="126" w16cid:durableId="1746878540">
    <w:abstractNumId w:val="35"/>
  </w:num>
  <w:num w:numId="127" w16cid:durableId="1116555890">
    <w:abstractNumId w:val="130"/>
  </w:num>
  <w:num w:numId="128" w16cid:durableId="934288327">
    <w:abstractNumId w:val="111"/>
  </w:num>
  <w:num w:numId="129" w16cid:durableId="1812403379">
    <w:abstractNumId w:val="150"/>
  </w:num>
  <w:num w:numId="130" w16cid:durableId="650671470">
    <w:abstractNumId w:val="112"/>
  </w:num>
  <w:num w:numId="131" w16cid:durableId="713503182">
    <w:abstractNumId w:val="79"/>
  </w:num>
  <w:num w:numId="132" w16cid:durableId="2009163308">
    <w:abstractNumId w:val="59"/>
  </w:num>
  <w:num w:numId="133" w16cid:durableId="1242175431">
    <w:abstractNumId w:val="42"/>
  </w:num>
  <w:num w:numId="134" w16cid:durableId="1975477237">
    <w:abstractNumId w:val="22"/>
  </w:num>
  <w:num w:numId="135" w16cid:durableId="1731924173">
    <w:abstractNumId w:val="155"/>
  </w:num>
  <w:num w:numId="136" w16cid:durableId="1237351530">
    <w:abstractNumId w:val="39"/>
  </w:num>
  <w:num w:numId="137" w16cid:durableId="207189410">
    <w:abstractNumId w:val="108"/>
  </w:num>
  <w:num w:numId="138" w16cid:durableId="969940818">
    <w:abstractNumId w:val="76"/>
  </w:num>
  <w:num w:numId="139" w16cid:durableId="383874789">
    <w:abstractNumId w:val="63"/>
  </w:num>
  <w:num w:numId="140" w16cid:durableId="1629240953">
    <w:abstractNumId w:val="107"/>
  </w:num>
  <w:num w:numId="141" w16cid:durableId="2110849601">
    <w:abstractNumId w:val="64"/>
  </w:num>
  <w:num w:numId="142" w16cid:durableId="778449337">
    <w:abstractNumId w:val="43"/>
  </w:num>
  <w:num w:numId="143" w16cid:durableId="372538156">
    <w:abstractNumId w:val="82"/>
  </w:num>
  <w:num w:numId="144" w16cid:durableId="57095107">
    <w:abstractNumId w:val="62"/>
  </w:num>
  <w:num w:numId="145" w16cid:durableId="2062050882">
    <w:abstractNumId w:val="97"/>
  </w:num>
  <w:num w:numId="146" w16cid:durableId="1054626225">
    <w:abstractNumId w:val="123"/>
  </w:num>
  <w:num w:numId="147" w16cid:durableId="1807121542">
    <w:abstractNumId w:val="84"/>
  </w:num>
  <w:num w:numId="148" w16cid:durableId="1989941315">
    <w:abstractNumId w:val="91"/>
  </w:num>
  <w:num w:numId="149" w16cid:durableId="472867410">
    <w:abstractNumId w:val="118"/>
  </w:num>
  <w:num w:numId="150" w16cid:durableId="1702054598">
    <w:abstractNumId w:val="73"/>
  </w:num>
  <w:num w:numId="151" w16cid:durableId="703093498">
    <w:abstractNumId w:val="85"/>
  </w:num>
  <w:num w:numId="152" w16cid:durableId="1908103398">
    <w:abstractNumId w:val="114"/>
  </w:num>
  <w:num w:numId="153" w16cid:durableId="1231498215">
    <w:abstractNumId w:val="143"/>
  </w:num>
  <w:num w:numId="154" w16cid:durableId="828911810">
    <w:abstractNumId w:val="6"/>
  </w:num>
  <w:num w:numId="155" w16cid:durableId="1425178041">
    <w:abstractNumId w:val="8"/>
  </w:num>
  <w:num w:numId="156" w16cid:durableId="1816141318">
    <w:abstractNumId w:val="116"/>
  </w:num>
  <w:num w:numId="157" w16cid:durableId="1294093169">
    <w:abstractNumId w:val="146"/>
  </w:num>
  <w:num w:numId="158" w16cid:durableId="1095394081">
    <w:abstractNumId w:val="69"/>
  </w:num>
  <w:num w:numId="159" w16cid:durableId="414785498">
    <w:abstractNumId w:val="86"/>
  </w:num>
  <w:num w:numId="160" w16cid:durableId="1092049777">
    <w:abstractNumId w:val="122"/>
  </w:num>
  <w:num w:numId="161" w16cid:durableId="1274706663">
    <w:abstractNumId w:val="165"/>
  </w:num>
  <w:num w:numId="162" w16cid:durableId="1360934926">
    <w:abstractNumId w:val="10"/>
  </w:num>
  <w:num w:numId="163" w16cid:durableId="483741387">
    <w:abstractNumId w:val="140"/>
  </w:num>
  <w:num w:numId="164" w16cid:durableId="85152164">
    <w:abstractNumId w:val="60"/>
  </w:num>
  <w:num w:numId="165" w16cid:durableId="1081684534">
    <w:abstractNumId w:val="164"/>
  </w:num>
  <w:num w:numId="166" w16cid:durableId="263154808">
    <w:abstractNumId w:val="47"/>
  </w:num>
  <w:num w:numId="167" w16cid:durableId="1624506957">
    <w:abstractNumId w:val="50"/>
  </w:num>
  <w:num w:numId="168" w16cid:durableId="799346886">
    <w:abstractNumId w:val="133"/>
  </w:num>
  <w:num w:numId="169" w16cid:durableId="152771155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C17"/>
    <w:rsid w:val="000368F3"/>
    <w:rsid w:val="00064DBD"/>
    <w:rsid w:val="0009479D"/>
    <w:rsid w:val="000A1A83"/>
    <w:rsid w:val="000A5BA0"/>
    <w:rsid w:val="000C63F0"/>
    <w:rsid w:val="000E5ED2"/>
    <w:rsid w:val="000E6BA9"/>
    <w:rsid w:val="000F6E97"/>
    <w:rsid w:val="00103613"/>
    <w:rsid w:val="00114F77"/>
    <w:rsid w:val="00121C8E"/>
    <w:rsid w:val="0015614A"/>
    <w:rsid w:val="001675DC"/>
    <w:rsid w:val="0017409B"/>
    <w:rsid w:val="001748DE"/>
    <w:rsid w:val="00193D3A"/>
    <w:rsid w:val="001B5D24"/>
    <w:rsid w:val="001C4C31"/>
    <w:rsid w:val="001D0DD3"/>
    <w:rsid w:val="001D2C2D"/>
    <w:rsid w:val="001E236D"/>
    <w:rsid w:val="001E5F46"/>
    <w:rsid w:val="00202C71"/>
    <w:rsid w:val="00206EDF"/>
    <w:rsid w:val="002135A6"/>
    <w:rsid w:val="00217D3A"/>
    <w:rsid w:val="00246E58"/>
    <w:rsid w:val="00260E16"/>
    <w:rsid w:val="00272696"/>
    <w:rsid w:val="0028080C"/>
    <w:rsid w:val="00281F68"/>
    <w:rsid w:val="0029265E"/>
    <w:rsid w:val="002B4F0F"/>
    <w:rsid w:val="002D310A"/>
    <w:rsid w:val="002E387C"/>
    <w:rsid w:val="002E4B37"/>
    <w:rsid w:val="002F3833"/>
    <w:rsid w:val="002F5E85"/>
    <w:rsid w:val="002F73DC"/>
    <w:rsid w:val="00300822"/>
    <w:rsid w:val="0031212D"/>
    <w:rsid w:val="00316A7C"/>
    <w:rsid w:val="00335CDD"/>
    <w:rsid w:val="00340EBD"/>
    <w:rsid w:val="00343AEE"/>
    <w:rsid w:val="00365C43"/>
    <w:rsid w:val="0037359D"/>
    <w:rsid w:val="003758DF"/>
    <w:rsid w:val="00380626"/>
    <w:rsid w:val="0039157C"/>
    <w:rsid w:val="003A0EB4"/>
    <w:rsid w:val="003B3A97"/>
    <w:rsid w:val="003B6C72"/>
    <w:rsid w:val="003C337A"/>
    <w:rsid w:val="003C3BB3"/>
    <w:rsid w:val="003D1BE1"/>
    <w:rsid w:val="003E6985"/>
    <w:rsid w:val="004028CD"/>
    <w:rsid w:val="0040633A"/>
    <w:rsid w:val="004309B5"/>
    <w:rsid w:val="00433F12"/>
    <w:rsid w:val="00450C0B"/>
    <w:rsid w:val="00463181"/>
    <w:rsid w:val="0047630A"/>
    <w:rsid w:val="00491DD8"/>
    <w:rsid w:val="004A1B72"/>
    <w:rsid w:val="004C02CA"/>
    <w:rsid w:val="00504992"/>
    <w:rsid w:val="00515348"/>
    <w:rsid w:val="005437C0"/>
    <w:rsid w:val="005760A6"/>
    <w:rsid w:val="00576181"/>
    <w:rsid w:val="00591636"/>
    <w:rsid w:val="0059368A"/>
    <w:rsid w:val="005C102B"/>
    <w:rsid w:val="005D61C6"/>
    <w:rsid w:val="005F42F7"/>
    <w:rsid w:val="006116A3"/>
    <w:rsid w:val="0062422E"/>
    <w:rsid w:val="00624259"/>
    <w:rsid w:val="006260D5"/>
    <w:rsid w:val="00654067"/>
    <w:rsid w:val="00672790"/>
    <w:rsid w:val="00692C85"/>
    <w:rsid w:val="006A213D"/>
    <w:rsid w:val="006A3243"/>
    <w:rsid w:val="006A6932"/>
    <w:rsid w:val="006C1B31"/>
    <w:rsid w:val="006F5044"/>
    <w:rsid w:val="007000FF"/>
    <w:rsid w:val="007029D8"/>
    <w:rsid w:val="00734CB3"/>
    <w:rsid w:val="00736230"/>
    <w:rsid w:val="00753513"/>
    <w:rsid w:val="00761366"/>
    <w:rsid w:val="007614C2"/>
    <w:rsid w:val="007740A9"/>
    <w:rsid w:val="0079549F"/>
    <w:rsid w:val="007A58A5"/>
    <w:rsid w:val="007B2F2E"/>
    <w:rsid w:val="007B4487"/>
    <w:rsid w:val="007D0360"/>
    <w:rsid w:val="007F3474"/>
    <w:rsid w:val="008065A3"/>
    <w:rsid w:val="00813048"/>
    <w:rsid w:val="00835523"/>
    <w:rsid w:val="008369A1"/>
    <w:rsid w:val="008414BA"/>
    <w:rsid w:val="00853B1C"/>
    <w:rsid w:val="008567E4"/>
    <w:rsid w:val="00886F54"/>
    <w:rsid w:val="008A59BA"/>
    <w:rsid w:val="008A5B5F"/>
    <w:rsid w:val="008B0EA3"/>
    <w:rsid w:val="008D2C4E"/>
    <w:rsid w:val="008E314D"/>
    <w:rsid w:val="008F28B3"/>
    <w:rsid w:val="008F29F6"/>
    <w:rsid w:val="008F6E20"/>
    <w:rsid w:val="00902907"/>
    <w:rsid w:val="00915AAD"/>
    <w:rsid w:val="009173E1"/>
    <w:rsid w:val="00921FA2"/>
    <w:rsid w:val="00922A8D"/>
    <w:rsid w:val="00966368"/>
    <w:rsid w:val="009718FF"/>
    <w:rsid w:val="00977B86"/>
    <w:rsid w:val="0098084A"/>
    <w:rsid w:val="00985E54"/>
    <w:rsid w:val="0099074F"/>
    <w:rsid w:val="00990882"/>
    <w:rsid w:val="009A787A"/>
    <w:rsid w:val="009C0FFA"/>
    <w:rsid w:val="009C195D"/>
    <w:rsid w:val="009D7726"/>
    <w:rsid w:val="009D7D19"/>
    <w:rsid w:val="009F28B8"/>
    <w:rsid w:val="00A125A9"/>
    <w:rsid w:val="00A2201D"/>
    <w:rsid w:val="00A22BC5"/>
    <w:rsid w:val="00A338DF"/>
    <w:rsid w:val="00A41582"/>
    <w:rsid w:val="00A45EB5"/>
    <w:rsid w:val="00A4627D"/>
    <w:rsid w:val="00A47AC0"/>
    <w:rsid w:val="00A7044D"/>
    <w:rsid w:val="00A760C4"/>
    <w:rsid w:val="00A76C8B"/>
    <w:rsid w:val="00A827EA"/>
    <w:rsid w:val="00A83DBF"/>
    <w:rsid w:val="00A87C28"/>
    <w:rsid w:val="00A92083"/>
    <w:rsid w:val="00AC1CAA"/>
    <w:rsid w:val="00AD165C"/>
    <w:rsid w:val="00AE16AC"/>
    <w:rsid w:val="00AF2E27"/>
    <w:rsid w:val="00B121EA"/>
    <w:rsid w:val="00B13A9C"/>
    <w:rsid w:val="00B171BB"/>
    <w:rsid w:val="00B205C6"/>
    <w:rsid w:val="00B44A38"/>
    <w:rsid w:val="00B53462"/>
    <w:rsid w:val="00B53EF0"/>
    <w:rsid w:val="00B6451F"/>
    <w:rsid w:val="00B75A1C"/>
    <w:rsid w:val="00BB20F5"/>
    <w:rsid w:val="00BB28C2"/>
    <w:rsid w:val="00BD386A"/>
    <w:rsid w:val="00BE2921"/>
    <w:rsid w:val="00BF42DE"/>
    <w:rsid w:val="00BF7A21"/>
    <w:rsid w:val="00C11C72"/>
    <w:rsid w:val="00C26201"/>
    <w:rsid w:val="00C27CED"/>
    <w:rsid w:val="00C30780"/>
    <w:rsid w:val="00C31EB8"/>
    <w:rsid w:val="00C32EC6"/>
    <w:rsid w:val="00C339A5"/>
    <w:rsid w:val="00C34865"/>
    <w:rsid w:val="00C54533"/>
    <w:rsid w:val="00C64A1E"/>
    <w:rsid w:val="00C8199A"/>
    <w:rsid w:val="00C94873"/>
    <w:rsid w:val="00CB5C86"/>
    <w:rsid w:val="00CC56BC"/>
    <w:rsid w:val="00D01017"/>
    <w:rsid w:val="00D03C17"/>
    <w:rsid w:val="00D11DC5"/>
    <w:rsid w:val="00D12D6A"/>
    <w:rsid w:val="00D54B3C"/>
    <w:rsid w:val="00D55DC2"/>
    <w:rsid w:val="00D63C30"/>
    <w:rsid w:val="00D86CC8"/>
    <w:rsid w:val="00D97E29"/>
    <w:rsid w:val="00DA3EE8"/>
    <w:rsid w:val="00DB146E"/>
    <w:rsid w:val="00DB6E36"/>
    <w:rsid w:val="00DB6EA5"/>
    <w:rsid w:val="00DC6C25"/>
    <w:rsid w:val="00DD7FBE"/>
    <w:rsid w:val="00E33D99"/>
    <w:rsid w:val="00E707E3"/>
    <w:rsid w:val="00E7097A"/>
    <w:rsid w:val="00EA6EAA"/>
    <w:rsid w:val="00EC05AC"/>
    <w:rsid w:val="00EE1B42"/>
    <w:rsid w:val="00EF0D99"/>
    <w:rsid w:val="00EF1945"/>
    <w:rsid w:val="00EF431F"/>
    <w:rsid w:val="00EF6298"/>
    <w:rsid w:val="00F050F2"/>
    <w:rsid w:val="00F124BC"/>
    <w:rsid w:val="00F2221D"/>
    <w:rsid w:val="00F351BA"/>
    <w:rsid w:val="00F35284"/>
    <w:rsid w:val="00F71A62"/>
    <w:rsid w:val="00F82959"/>
    <w:rsid w:val="00F95C48"/>
    <w:rsid w:val="00FB0C69"/>
    <w:rsid w:val="00FC3DD4"/>
    <w:rsid w:val="00FC5546"/>
    <w:rsid w:val="00FF4535"/>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5EE37"/>
  <w15:chartTrackingRefBased/>
  <w15:docId w15:val="{E4AD26DE-17A0-4656-B6FE-3654138F0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o-R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3C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3C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3C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3C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3C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3C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3C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3C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3C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3C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3C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3C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3C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3C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3C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3C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3C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3C17"/>
    <w:rPr>
      <w:rFonts w:eastAsiaTheme="majorEastAsia" w:cstheme="majorBidi"/>
      <w:color w:val="272727" w:themeColor="text1" w:themeTint="D8"/>
    </w:rPr>
  </w:style>
  <w:style w:type="paragraph" w:styleId="Title">
    <w:name w:val="Title"/>
    <w:basedOn w:val="Normal"/>
    <w:next w:val="Normal"/>
    <w:link w:val="TitleChar"/>
    <w:uiPriority w:val="10"/>
    <w:qFormat/>
    <w:rsid w:val="00D03C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3C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3C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3C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3C17"/>
    <w:pPr>
      <w:spacing w:before="160"/>
      <w:jc w:val="center"/>
    </w:pPr>
    <w:rPr>
      <w:i/>
      <w:iCs/>
      <w:color w:val="404040" w:themeColor="text1" w:themeTint="BF"/>
    </w:rPr>
  </w:style>
  <w:style w:type="character" w:customStyle="1" w:styleId="QuoteChar">
    <w:name w:val="Quote Char"/>
    <w:basedOn w:val="DefaultParagraphFont"/>
    <w:link w:val="Quote"/>
    <w:uiPriority w:val="29"/>
    <w:rsid w:val="00D03C17"/>
    <w:rPr>
      <w:i/>
      <w:iCs/>
      <w:color w:val="404040" w:themeColor="text1" w:themeTint="BF"/>
    </w:rPr>
  </w:style>
  <w:style w:type="paragraph" w:styleId="ListParagraph">
    <w:name w:val="List Paragraph"/>
    <w:basedOn w:val="Normal"/>
    <w:uiPriority w:val="34"/>
    <w:qFormat/>
    <w:rsid w:val="00D03C17"/>
    <w:pPr>
      <w:ind w:left="720"/>
      <w:contextualSpacing/>
    </w:pPr>
  </w:style>
  <w:style w:type="character" w:styleId="IntenseEmphasis">
    <w:name w:val="Intense Emphasis"/>
    <w:basedOn w:val="DefaultParagraphFont"/>
    <w:uiPriority w:val="21"/>
    <w:qFormat/>
    <w:rsid w:val="00D03C17"/>
    <w:rPr>
      <w:i/>
      <w:iCs/>
      <w:color w:val="2F5496" w:themeColor="accent1" w:themeShade="BF"/>
    </w:rPr>
  </w:style>
  <w:style w:type="paragraph" w:styleId="IntenseQuote">
    <w:name w:val="Intense Quote"/>
    <w:basedOn w:val="Normal"/>
    <w:next w:val="Normal"/>
    <w:link w:val="IntenseQuoteChar"/>
    <w:uiPriority w:val="30"/>
    <w:qFormat/>
    <w:rsid w:val="00D03C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3C17"/>
    <w:rPr>
      <w:i/>
      <w:iCs/>
      <w:color w:val="2F5496" w:themeColor="accent1" w:themeShade="BF"/>
    </w:rPr>
  </w:style>
  <w:style w:type="character" w:styleId="IntenseReference">
    <w:name w:val="Intense Reference"/>
    <w:basedOn w:val="DefaultParagraphFont"/>
    <w:uiPriority w:val="32"/>
    <w:qFormat/>
    <w:rsid w:val="00D03C17"/>
    <w:rPr>
      <w:b/>
      <w:bCs/>
      <w:smallCaps/>
      <w:color w:val="2F5496" w:themeColor="accent1" w:themeShade="BF"/>
      <w:spacing w:val="5"/>
    </w:rPr>
  </w:style>
  <w:style w:type="character" w:customStyle="1" w:styleId="Footnote">
    <w:name w:val="Footnote_"/>
    <w:basedOn w:val="DefaultParagraphFont"/>
    <w:link w:val="Footnote0"/>
    <w:rsid w:val="00D03C17"/>
    <w:rPr>
      <w:rFonts w:ascii="Times New Roman" w:eastAsia="Times New Roman" w:hAnsi="Times New Roman" w:cs="Times New Roman"/>
      <w:color w:val="231F20"/>
      <w:sz w:val="15"/>
      <w:szCs w:val="15"/>
    </w:rPr>
  </w:style>
  <w:style w:type="character" w:customStyle="1" w:styleId="Heading20">
    <w:name w:val="Heading #2_"/>
    <w:basedOn w:val="DefaultParagraphFont"/>
    <w:link w:val="Heading21"/>
    <w:rsid w:val="00D03C17"/>
    <w:rPr>
      <w:rFonts w:ascii="Arial" w:eastAsia="Arial" w:hAnsi="Arial" w:cs="Arial"/>
      <w:b/>
      <w:bCs/>
      <w:color w:val="231F20"/>
      <w:w w:val="70"/>
      <w:sz w:val="42"/>
      <w:szCs w:val="42"/>
    </w:rPr>
  </w:style>
  <w:style w:type="character" w:customStyle="1" w:styleId="BodyTextChar">
    <w:name w:val="Body Text Char"/>
    <w:basedOn w:val="DefaultParagraphFont"/>
    <w:link w:val="BodyText"/>
    <w:rsid w:val="00D03C17"/>
    <w:rPr>
      <w:rFonts w:ascii="Garamond" w:eastAsia="Garamond" w:hAnsi="Garamond" w:cs="Garamond"/>
      <w:color w:val="231F20"/>
      <w:sz w:val="19"/>
      <w:szCs w:val="19"/>
    </w:rPr>
  </w:style>
  <w:style w:type="character" w:customStyle="1" w:styleId="Headerorfooter2">
    <w:name w:val="Header or footer (2)_"/>
    <w:basedOn w:val="DefaultParagraphFont"/>
    <w:link w:val="Headerorfooter20"/>
    <w:rsid w:val="00D03C17"/>
    <w:rPr>
      <w:rFonts w:ascii="Times New Roman" w:eastAsia="Times New Roman" w:hAnsi="Times New Roman" w:cs="Times New Roman"/>
      <w:sz w:val="20"/>
      <w:szCs w:val="20"/>
    </w:rPr>
  </w:style>
  <w:style w:type="character" w:customStyle="1" w:styleId="Tableofcontents">
    <w:name w:val="Table of contents_"/>
    <w:basedOn w:val="DefaultParagraphFont"/>
    <w:link w:val="Tableofcontents0"/>
    <w:rsid w:val="00D03C17"/>
    <w:rPr>
      <w:rFonts w:ascii="Garamond" w:eastAsia="Garamond" w:hAnsi="Garamond" w:cs="Garamond"/>
      <w:color w:val="231F20"/>
      <w:sz w:val="19"/>
      <w:szCs w:val="19"/>
    </w:rPr>
  </w:style>
  <w:style w:type="character" w:customStyle="1" w:styleId="Bodytext2">
    <w:name w:val="Body text (2)_"/>
    <w:basedOn w:val="DefaultParagraphFont"/>
    <w:link w:val="Bodytext20"/>
    <w:rsid w:val="00D03C17"/>
    <w:rPr>
      <w:rFonts w:ascii="Times New Roman" w:eastAsia="Times New Roman" w:hAnsi="Times New Roman" w:cs="Times New Roman"/>
      <w:color w:val="231F20"/>
      <w:sz w:val="16"/>
      <w:szCs w:val="16"/>
    </w:rPr>
  </w:style>
  <w:style w:type="character" w:customStyle="1" w:styleId="Other">
    <w:name w:val="Other_"/>
    <w:basedOn w:val="DefaultParagraphFont"/>
    <w:link w:val="Other0"/>
    <w:rsid w:val="00D03C17"/>
    <w:rPr>
      <w:rFonts w:ascii="Garamond" w:eastAsia="Garamond" w:hAnsi="Garamond" w:cs="Garamond"/>
      <w:color w:val="231F20"/>
      <w:sz w:val="19"/>
      <w:szCs w:val="19"/>
    </w:rPr>
  </w:style>
  <w:style w:type="character" w:customStyle="1" w:styleId="Heading10">
    <w:name w:val="Heading #1_"/>
    <w:basedOn w:val="DefaultParagraphFont"/>
    <w:link w:val="Heading11"/>
    <w:rsid w:val="00D03C17"/>
    <w:rPr>
      <w:rFonts w:ascii="Arial" w:eastAsia="Arial" w:hAnsi="Arial" w:cs="Arial"/>
      <w:b/>
      <w:bCs/>
      <w:color w:val="231F20"/>
      <w:w w:val="70"/>
      <w:sz w:val="48"/>
      <w:szCs w:val="48"/>
    </w:rPr>
  </w:style>
  <w:style w:type="character" w:customStyle="1" w:styleId="Heading30">
    <w:name w:val="Heading #3_"/>
    <w:basedOn w:val="DefaultParagraphFont"/>
    <w:link w:val="Heading31"/>
    <w:rsid w:val="00D03C17"/>
    <w:rPr>
      <w:rFonts w:ascii="Arial" w:eastAsia="Arial" w:hAnsi="Arial" w:cs="Arial"/>
      <w:b/>
      <w:bCs/>
      <w:color w:val="231F20"/>
      <w:w w:val="70"/>
      <w:sz w:val="26"/>
      <w:szCs w:val="26"/>
    </w:rPr>
  </w:style>
  <w:style w:type="character" w:customStyle="1" w:styleId="Heading40">
    <w:name w:val="Heading #4_"/>
    <w:basedOn w:val="DefaultParagraphFont"/>
    <w:link w:val="Heading41"/>
    <w:rsid w:val="00D03C17"/>
    <w:rPr>
      <w:rFonts w:ascii="Arial" w:eastAsia="Arial" w:hAnsi="Arial" w:cs="Arial"/>
      <w:b/>
      <w:bCs/>
      <w:color w:val="EBEBEB"/>
      <w:w w:val="70"/>
    </w:rPr>
  </w:style>
  <w:style w:type="character" w:customStyle="1" w:styleId="Tablecaption">
    <w:name w:val="Table caption_"/>
    <w:basedOn w:val="DefaultParagraphFont"/>
    <w:link w:val="Tablecaption0"/>
    <w:rsid w:val="00D03C17"/>
    <w:rPr>
      <w:rFonts w:ascii="Times New Roman" w:eastAsia="Times New Roman" w:hAnsi="Times New Roman" w:cs="Times New Roman"/>
      <w:color w:val="231F20"/>
      <w:sz w:val="15"/>
      <w:szCs w:val="15"/>
    </w:rPr>
  </w:style>
  <w:style w:type="character" w:customStyle="1" w:styleId="Bodytext7">
    <w:name w:val="Body text (7)_"/>
    <w:basedOn w:val="DefaultParagraphFont"/>
    <w:link w:val="Bodytext70"/>
    <w:rsid w:val="00D03C17"/>
    <w:rPr>
      <w:rFonts w:ascii="Arial" w:eastAsia="Arial" w:hAnsi="Arial" w:cs="Arial"/>
      <w:b/>
      <w:bCs/>
      <w:color w:val="231F20"/>
      <w:w w:val="70"/>
      <w:sz w:val="32"/>
      <w:szCs w:val="32"/>
    </w:rPr>
  </w:style>
  <w:style w:type="character" w:customStyle="1" w:styleId="Bodytext6">
    <w:name w:val="Body text (6)_"/>
    <w:basedOn w:val="DefaultParagraphFont"/>
    <w:link w:val="Bodytext60"/>
    <w:rsid w:val="00D03C17"/>
    <w:rPr>
      <w:rFonts w:ascii="Times New Roman" w:eastAsia="Times New Roman" w:hAnsi="Times New Roman" w:cs="Times New Roman"/>
      <w:color w:val="231F20"/>
      <w:sz w:val="12"/>
      <w:szCs w:val="12"/>
    </w:rPr>
  </w:style>
  <w:style w:type="character" w:customStyle="1" w:styleId="Bodytext5">
    <w:name w:val="Body text (5)_"/>
    <w:basedOn w:val="DefaultParagraphFont"/>
    <w:link w:val="Bodytext50"/>
    <w:rsid w:val="00D03C17"/>
    <w:rPr>
      <w:rFonts w:ascii="Arial" w:eastAsia="Arial" w:hAnsi="Arial" w:cs="Arial"/>
      <w:color w:val="231F20"/>
      <w:sz w:val="12"/>
      <w:szCs w:val="12"/>
    </w:rPr>
  </w:style>
  <w:style w:type="character" w:customStyle="1" w:styleId="Bodytext8">
    <w:name w:val="Body text (8)_"/>
    <w:basedOn w:val="DefaultParagraphFont"/>
    <w:link w:val="Bodytext80"/>
    <w:rsid w:val="00D03C17"/>
    <w:rPr>
      <w:rFonts w:ascii="Arial" w:eastAsia="Arial" w:hAnsi="Arial" w:cs="Arial"/>
      <w:color w:val="231F20"/>
      <w:sz w:val="14"/>
      <w:szCs w:val="14"/>
    </w:rPr>
  </w:style>
  <w:style w:type="character" w:customStyle="1" w:styleId="Headerorfooter">
    <w:name w:val="Header or footer_"/>
    <w:basedOn w:val="DefaultParagraphFont"/>
    <w:link w:val="Headerorfooter0"/>
    <w:rsid w:val="00D03C17"/>
    <w:rPr>
      <w:rFonts w:ascii="Arial" w:eastAsia="Arial" w:hAnsi="Arial" w:cs="Arial"/>
      <w:color w:val="231F20"/>
      <w:sz w:val="14"/>
      <w:szCs w:val="14"/>
    </w:rPr>
  </w:style>
  <w:style w:type="character" w:customStyle="1" w:styleId="Bodytext9">
    <w:name w:val="Body text (9)_"/>
    <w:basedOn w:val="DefaultParagraphFont"/>
    <w:link w:val="Bodytext90"/>
    <w:rsid w:val="00D03C17"/>
    <w:rPr>
      <w:rFonts w:ascii="Arial" w:eastAsia="Arial" w:hAnsi="Arial" w:cs="Arial"/>
      <w:color w:val="231F20"/>
      <w:sz w:val="10"/>
      <w:szCs w:val="10"/>
    </w:rPr>
  </w:style>
  <w:style w:type="character" w:customStyle="1" w:styleId="Bodytext10">
    <w:name w:val="Body text (10)_"/>
    <w:basedOn w:val="DefaultParagraphFont"/>
    <w:link w:val="Bodytext100"/>
    <w:rsid w:val="00D03C17"/>
    <w:rPr>
      <w:rFonts w:ascii="Times New Roman" w:eastAsia="Times New Roman" w:hAnsi="Times New Roman" w:cs="Times New Roman"/>
      <w:smallCaps/>
      <w:color w:val="231F20"/>
      <w:sz w:val="32"/>
      <w:szCs w:val="32"/>
    </w:rPr>
  </w:style>
  <w:style w:type="character" w:customStyle="1" w:styleId="Picturecaption">
    <w:name w:val="Picture caption_"/>
    <w:basedOn w:val="DefaultParagraphFont"/>
    <w:link w:val="Picturecaption0"/>
    <w:rsid w:val="00D03C17"/>
    <w:rPr>
      <w:rFonts w:ascii="Arial" w:eastAsia="Arial" w:hAnsi="Arial" w:cs="Arial"/>
      <w:b/>
      <w:bCs/>
      <w:color w:val="231F20"/>
      <w:w w:val="70"/>
      <w:sz w:val="26"/>
      <w:szCs w:val="26"/>
    </w:rPr>
  </w:style>
  <w:style w:type="paragraph" w:customStyle="1" w:styleId="Footnote0">
    <w:name w:val="Footnote"/>
    <w:basedOn w:val="Normal"/>
    <w:link w:val="Footnote"/>
    <w:rsid w:val="00D03C17"/>
    <w:pPr>
      <w:widowControl w:val="0"/>
      <w:spacing w:after="0" w:line="240" w:lineRule="auto"/>
    </w:pPr>
    <w:rPr>
      <w:rFonts w:ascii="Times New Roman" w:eastAsia="Times New Roman" w:hAnsi="Times New Roman" w:cs="Times New Roman"/>
      <w:color w:val="231F20"/>
      <w:sz w:val="15"/>
      <w:szCs w:val="15"/>
    </w:rPr>
  </w:style>
  <w:style w:type="paragraph" w:customStyle="1" w:styleId="Heading21">
    <w:name w:val="Heading #2"/>
    <w:basedOn w:val="Normal"/>
    <w:link w:val="Heading20"/>
    <w:rsid w:val="00D03C17"/>
    <w:pPr>
      <w:widowControl w:val="0"/>
      <w:spacing w:after="440" w:line="240" w:lineRule="auto"/>
      <w:jc w:val="center"/>
      <w:outlineLvl w:val="1"/>
    </w:pPr>
    <w:rPr>
      <w:rFonts w:ascii="Arial" w:eastAsia="Arial" w:hAnsi="Arial" w:cs="Arial"/>
      <w:b/>
      <w:bCs/>
      <w:color w:val="231F20"/>
      <w:w w:val="70"/>
      <w:sz w:val="42"/>
      <w:szCs w:val="42"/>
    </w:rPr>
  </w:style>
  <w:style w:type="paragraph" w:styleId="BodyText">
    <w:name w:val="Body Text"/>
    <w:basedOn w:val="Normal"/>
    <w:link w:val="BodyTextChar"/>
    <w:qFormat/>
    <w:rsid w:val="00D03C17"/>
    <w:pPr>
      <w:widowControl w:val="0"/>
      <w:spacing w:after="0" w:line="269" w:lineRule="auto"/>
      <w:ind w:firstLine="20"/>
    </w:pPr>
    <w:rPr>
      <w:rFonts w:ascii="Garamond" w:eastAsia="Garamond" w:hAnsi="Garamond" w:cs="Garamond"/>
      <w:color w:val="231F20"/>
      <w:sz w:val="19"/>
      <w:szCs w:val="19"/>
    </w:rPr>
  </w:style>
  <w:style w:type="character" w:customStyle="1" w:styleId="BodyTextChar1">
    <w:name w:val="Body Text Char1"/>
    <w:basedOn w:val="DefaultParagraphFont"/>
    <w:uiPriority w:val="99"/>
    <w:semiHidden/>
    <w:rsid w:val="00D03C17"/>
  </w:style>
  <w:style w:type="paragraph" w:customStyle="1" w:styleId="Headerorfooter20">
    <w:name w:val="Header or footer (2)"/>
    <w:basedOn w:val="Normal"/>
    <w:link w:val="Headerorfooter2"/>
    <w:rsid w:val="00D03C17"/>
    <w:pPr>
      <w:widowControl w:val="0"/>
      <w:spacing w:after="0" w:line="240" w:lineRule="auto"/>
    </w:pPr>
    <w:rPr>
      <w:rFonts w:ascii="Times New Roman" w:eastAsia="Times New Roman" w:hAnsi="Times New Roman" w:cs="Times New Roman"/>
      <w:sz w:val="20"/>
      <w:szCs w:val="20"/>
    </w:rPr>
  </w:style>
  <w:style w:type="paragraph" w:customStyle="1" w:styleId="Tableofcontents0">
    <w:name w:val="Table of contents"/>
    <w:basedOn w:val="Normal"/>
    <w:link w:val="Tableofcontents"/>
    <w:rsid w:val="00D03C17"/>
    <w:pPr>
      <w:widowControl w:val="0"/>
      <w:spacing w:after="0" w:line="240" w:lineRule="auto"/>
    </w:pPr>
    <w:rPr>
      <w:rFonts w:ascii="Garamond" w:eastAsia="Garamond" w:hAnsi="Garamond" w:cs="Garamond"/>
      <w:color w:val="231F20"/>
      <w:sz w:val="19"/>
      <w:szCs w:val="19"/>
    </w:rPr>
  </w:style>
  <w:style w:type="paragraph" w:customStyle="1" w:styleId="Bodytext20">
    <w:name w:val="Body text (2)"/>
    <w:basedOn w:val="Normal"/>
    <w:link w:val="Bodytext2"/>
    <w:rsid w:val="00D03C17"/>
    <w:pPr>
      <w:widowControl w:val="0"/>
      <w:spacing w:after="0" w:line="283" w:lineRule="auto"/>
    </w:pPr>
    <w:rPr>
      <w:rFonts w:ascii="Times New Roman" w:eastAsia="Times New Roman" w:hAnsi="Times New Roman" w:cs="Times New Roman"/>
      <w:color w:val="231F20"/>
      <w:sz w:val="16"/>
      <w:szCs w:val="16"/>
    </w:rPr>
  </w:style>
  <w:style w:type="paragraph" w:customStyle="1" w:styleId="Other0">
    <w:name w:val="Other"/>
    <w:basedOn w:val="Normal"/>
    <w:link w:val="Other"/>
    <w:rsid w:val="00D03C17"/>
    <w:pPr>
      <w:widowControl w:val="0"/>
      <w:spacing w:after="0" w:line="269" w:lineRule="auto"/>
      <w:ind w:firstLine="20"/>
    </w:pPr>
    <w:rPr>
      <w:rFonts w:ascii="Garamond" w:eastAsia="Garamond" w:hAnsi="Garamond" w:cs="Garamond"/>
      <w:color w:val="231F20"/>
      <w:sz w:val="19"/>
      <w:szCs w:val="19"/>
    </w:rPr>
  </w:style>
  <w:style w:type="paragraph" w:customStyle="1" w:styleId="Heading11">
    <w:name w:val="Heading #1"/>
    <w:basedOn w:val="Normal"/>
    <w:link w:val="Heading10"/>
    <w:rsid w:val="00D03C17"/>
    <w:pPr>
      <w:widowControl w:val="0"/>
      <w:spacing w:after="300" w:line="240" w:lineRule="auto"/>
      <w:jc w:val="center"/>
      <w:outlineLvl w:val="0"/>
    </w:pPr>
    <w:rPr>
      <w:rFonts w:ascii="Arial" w:eastAsia="Arial" w:hAnsi="Arial" w:cs="Arial"/>
      <w:b/>
      <w:bCs/>
      <w:color w:val="231F20"/>
      <w:w w:val="70"/>
      <w:sz w:val="48"/>
      <w:szCs w:val="48"/>
    </w:rPr>
  </w:style>
  <w:style w:type="paragraph" w:customStyle="1" w:styleId="Heading31">
    <w:name w:val="Heading #3"/>
    <w:basedOn w:val="Normal"/>
    <w:link w:val="Heading30"/>
    <w:rsid w:val="00D03C17"/>
    <w:pPr>
      <w:widowControl w:val="0"/>
      <w:spacing w:after="0" w:line="240" w:lineRule="auto"/>
      <w:outlineLvl w:val="2"/>
    </w:pPr>
    <w:rPr>
      <w:rFonts w:ascii="Arial" w:eastAsia="Arial" w:hAnsi="Arial" w:cs="Arial"/>
      <w:b/>
      <w:bCs/>
      <w:color w:val="231F20"/>
      <w:w w:val="70"/>
      <w:sz w:val="26"/>
      <w:szCs w:val="26"/>
    </w:rPr>
  </w:style>
  <w:style w:type="paragraph" w:customStyle="1" w:styleId="Heading41">
    <w:name w:val="Heading #4"/>
    <w:basedOn w:val="Normal"/>
    <w:link w:val="Heading40"/>
    <w:rsid w:val="00D03C17"/>
    <w:pPr>
      <w:widowControl w:val="0"/>
      <w:spacing w:after="0" w:line="240" w:lineRule="auto"/>
      <w:outlineLvl w:val="3"/>
    </w:pPr>
    <w:rPr>
      <w:rFonts w:ascii="Arial" w:eastAsia="Arial" w:hAnsi="Arial" w:cs="Arial"/>
      <w:b/>
      <w:bCs/>
      <w:color w:val="EBEBEB"/>
      <w:w w:val="70"/>
    </w:rPr>
  </w:style>
  <w:style w:type="paragraph" w:customStyle="1" w:styleId="Tablecaption0">
    <w:name w:val="Table caption"/>
    <w:basedOn w:val="Normal"/>
    <w:link w:val="Tablecaption"/>
    <w:rsid w:val="00D03C17"/>
    <w:pPr>
      <w:widowControl w:val="0"/>
      <w:spacing w:after="0" w:line="252" w:lineRule="auto"/>
      <w:ind w:left="160"/>
    </w:pPr>
    <w:rPr>
      <w:rFonts w:ascii="Times New Roman" w:eastAsia="Times New Roman" w:hAnsi="Times New Roman" w:cs="Times New Roman"/>
      <w:color w:val="231F20"/>
      <w:sz w:val="15"/>
      <w:szCs w:val="15"/>
    </w:rPr>
  </w:style>
  <w:style w:type="paragraph" w:customStyle="1" w:styleId="Bodytext70">
    <w:name w:val="Body text (7)"/>
    <w:basedOn w:val="Normal"/>
    <w:link w:val="Bodytext7"/>
    <w:rsid w:val="00D03C17"/>
    <w:pPr>
      <w:widowControl w:val="0"/>
      <w:spacing w:after="240" w:line="240" w:lineRule="auto"/>
    </w:pPr>
    <w:rPr>
      <w:rFonts w:ascii="Arial" w:eastAsia="Arial" w:hAnsi="Arial" w:cs="Arial"/>
      <w:b/>
      <w:bCs/>
      <w:color w:val="231F20"/>
      <w:w w:val="70"/>
      <w:sz w:val="32"/>
      <w:szCs w:val="32"/>
    </w:rPr>
  </w:style>
  <w:style w:type="paragraph" w:customStyle="1" w:styleId="Bodytext60">
    <w:name w:val="Body text (6)"/>
    <w:basedOn w:val="Normal"/>
    <w:link w:val="Bodytext6"/>
    <w:rsid w:val="00D03C17"/>
    <w:pPr>
      <w:widowControl w:val="0"/>
      <w:spacing w:after="0" w:line="240" w:lineRule="auto"/>
      <w:ind w:left="340" w:hanging="200"/>
    </w:pPr>
    <w:rPr>
      <w:rFonts w:ascii="Times New Roman" w:eastAsia="Times New Roman" w:hAnsi="Times New Roman" w:cs="Times New Roman"/>
      <w:color w:val="231F20"/>
      <w:sz w:val="12"/>
      <w:szCs w:val="12"/>
    </w:rPr>
  </w:style>
  <w:style w:type="paragraph" w:customStyle="1" w:styleId="Bodytext50">
    <w:name w:val="Body text (5)"/>
    <w:basedOn w:val="Normal"/>
    <w:link w:val="Bodytext5"/>
    <w:rsid w:val="00D03C17"/>
    <w:pPr>
      <w:widowControl w:val="0"/>
      <w:spacing w:after="0" w:line="240" w:lineRule="auto"/>
    </w:pPr>
    <w:rPr>
      <w:rFonts w:ascii="Arial" w:eastAsia="Arial" w:hAnsi="Arial" w:cs="Arial"/>
      <w:color w:val="231F20"/>
      <w:sz w:val="12"/>
      <w:szCs w:val="12"/>
    </w:rPr>
  </w:style>
  <w:style w:type="paragraph" w:customStyle="1" w:styleId="Bodytext80">
    <w:name w:val="Body text (8)"/>
    <w:basedOn w:val="Normal"/>
    <w:link w:val="Bodytext8"/>
    <w:rsid w:val="00D03C17"/>
    <w:pPr>
      <w:widowControl w:val="0"/>
      <w:spacing w:after="0" w:line="240" w:lineRule="auto"/>
    </w:pPr>
    <w:rPr>
      <w:rFonts w:ascii="Arial" w:eastAsia="Arial" w:hAnsi="Arial" w:cs="Arial"/>
      <w:color w:val="231F20"/>
      <w:sz w:val="14"/>
      <w:szCs w:val="14"/>
    </w:rPr>
  </w:style>
  <w:style w:type="paragraph" w:customStyle="1" w:styleId="Headerorfooter0">
    <w:name w:val="Header or footer"/>
    <w:basedOn w:val="Normal"/>
    <w:link w:val="Headerorfooter"/>
    <w:rsid w:val="00D03C17"/>
    <w:pPr>
      <w:widowControl w:val="0"/>
      <w:spacing w:after="0" w:line="240" w:lineRule="auto"/>
    </w:pPr>
    <w:rPr>
      <w:rFonts w:ascii="Arial" w:eastAsia="Arial" w:hAnsi="Arial" w:cs="Arial"/>
      <w:color w:val="231F20"/>
      <w:sz w:val="14"/>
      <w:szCs w:val="14"/>
    </w:rPr>
  </w:style>
  <w:style w:type="paragraph" w:customStyle="1" w:styleId="Bodytext90">
    <w:name w:val="Body text (9)"/>
    <w:basedOn w:val="Normal"/>
    <w:link w:val="Bodytext9"/>
    <w:rsid w:val="00D03C17"/>
    <w:pPr>
      <w:widowControl w:val="0"/>
      <w:spacing w:after="0" w:line="240" w:lineRule="auto"/>
    </w:pPr>
    <w:rPr>
      <w:rFonts w:ascii="Arial" w:eastAsia="Arial" w:hAnsi="Arial" w:cs="Arial"/>
      <w:color w:val="231F20"/>
      <w:sz w:val="10"/>
      <w:szCs w:val="10"/>
    </w:rPr>
  </w:style>
  <w:style w:type="paragraph" w:customStyle="1" w:styleId="Bodytext100">
    <w:name w:val="Body text (10)"/>
    <w:basedOn w:val="Normal"/>
    <w:link w:val="Bodytext10"/>
    <w:rsid w:val="00D03C17"/>
    <w:pPr>
      <w:widowControl w:val="0"/>
      <w:spacing w:after="240" w:line="240" w:lineRule="auto"/>
      <w:jc w:val="center"/>
    </w:pPr>
    <w:rPr>
      <w:rFonts w:ascii="Times New Roman" w:eastAsia="Times New Roman" w:hAnsi="Times New Roman" w:cs="Times New Roman"/>
      <w:smallCaps/>
      <w:color w:val="231F20"/>
      <w:sz w:val="32"/>
      <w:szCs w:val="32"/>
    </w:rPr>
  </w:style>
  <w:style w:type="paragraph" w:customStyle="1" w:styleId="Picturecaption0">
    <w:name w:val="Picture caption"/>
    <w:basedOn w:val="Normal"/>
    <w:link w:val="Picturecaption"/>
    <w:rsid w:val="00D03C17"/>
    <w:pPr>
      <w:widowControl w:val="0"/>
      <w:spacing w:after="0" w:line="214" w:lineRule="auto"/>
      <w:jc w:val="center"/>
    </w:pPr>
    <w:rPr>
      <w:rFonts w:ascii="Arial" w:eastAsia="Arial" w:hAnsi="Arial" w:cs="Arial"/>
      <w:b/>
      <w:bCs/>
      <w:color w:val="231F20"/>
      <w:w w:val="7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eader" Target="header53.xml"/><Relationship Id="rId299" Type="http://schemas.openxmlformats.org/officeDocument/2006/relationships/header" Target="header140.xml"/><Relationship Id="rId21" Type="http://schemas.openxmlformats.org/officeDocument/2006/relationships/header" Target="header8.xml"/><Relationship Id="rId63" Type="http://schemas.openxmlformats.org/officeDocument/2006/relationships/header" Target="header28.xml"/><Relationship Id="rId159" Type="http://schemas.openxmlformats.org/officeDocument/2006/relationships/footer" Target="footer73.xml"/><Relationship Id="rId324" Type="http://schemas.openxmlformats.org/officeDocument/2006/relationships/header" Target="header153.xml"/><Relationship Id="rId366" Type="http://schemas.openxmlformats.org/officeDocument/2006/relationships/footer" Target="footer172.xml"/><Relationship Id="rId170" Type="http://schemas.openxmlformats.org/officeDocument/2006/relationships/footer" Target="footer79.xml"/><Relationship Id="rId226" Type="http://schemas.openxmlformats.org/officeDocument/2006/relationships/footer" Target="footer107.xml"/><Relationship Id="rId433" Type="http://schemas.openxmlformats.org/officeDocument/2006/relationships/header" Target="header204.xml"/><Relationship Id="rId268" Type="http://schemas.openxmlformats.org/officeDocument/2006/relationships/footer" Target="footer124.xml"/><Relationship Id="rId32" Type="http://schemas.openxmlformats.org/officeDocument/2006/relationships/footer" Target="footer13.xml"/><Relationship Id="rId74" Type="http://schemas.openxmlformats.org/officeDocument/2006/relationships/footer" Target="footer33.xml"/><Relationship Id="rId128" Type="http://schemas.openxmlformats.org/officeDocument/2006/relationships/footer" Target="footer58.xml"/><Relationship Id="rId335" Type="http://schemas.openxmlformats.org/officeDocument/2006/relationships/header" Target="header158.xml"/><Relationship Id="rId377" Type="http://schemas.openxmlformats.org/officeDocument/2006/relationships/footer" Target="footer177.xml"/><Relationship Id="rId5" Type="http://schemas.openxmlformats.org/officeDocument/2006/relationships/footnotes" Target="footnotes.xml"/><Relationship Id="rId181" Type="http://schemas.openxmlformats.org/officeDocument/2006/relationships/footer" Target="footer84.xml"/><Relationship Id="rId237" Type="http://schemas.openxmlformats.org/officeDocument/2006/relationships/header" Target="header113.xml"/><Relationship Id="rId402" Type="http://schemas.openxmlformats.org/officeDocument/2006/relationships/header" Target="header190.xml"/><Relationship Id="rId279" Type="http://schemas.openxmlformats.org/officeDocument/2006/relationships/footer" Target="footer130.xml"/><Relationship Id="rId444" Type="http://schemas.openxmlformats.org/officeDocument/2006/relationships/footer" Target="footer209.xml"/><Relationship Id="rId43" Type="http://schemas.openxmlformats.org/officeDocument/2006/relationships/footer" Target="footer18.xml"/><Relationship Id="rId139" Type="http://schemas.openxmlformats.org/officeDocument/2006/relationships/header" Target="header64.xml"/><Relationship Id="rId290" Type="http://schemas.openxmlformats.org/officeDocument/2006/relationships/header" Target="header136.xml"/><Relationship Id="rId304" Type="http://schemas.openxmlformats.org/officeDocument/2006/relationships/footer" Target="footer142.xml"/><Relationship Id="rId346" Type="http://schemas.openxmlformats.org/officeDocument/2006/relationships/footer" Target="footer163.xml"/><Relationship Id="rId388" Type="http://schemas.openxmlformats.org/officeDocument/2006/relationships/header" Target="header183.xml"/><Relationship Id="rId85" Type="http://schemas.openxmlformats.org/officeDocument/2006/relationships/footer" Target="footer38.xml"/><Relationship Id="rId150" Type="http://schemas.openxmlformats.org/officeDocument/2006/relationships/footer" Target="footer69.xml"/><Relationship Id="rId192" Type="http://schemas.openxmlformats.org/officeDocument/2006/relationships/header" Target="header91.xml"/><Relationship Id="rId206" Type="http://schemas.openxmlformats.org/officeDocument/2006/relationships/footer" Target="footer97.xml"/><Relationship Id="rId413" Type="http://schemas.openxmlformats.org/officeDocument/2006/relationships/footer" Target="footer194.xml"/><Relationship Id="rId248" Type="http://schemas.openxmlformats.org/officeDocument/2006/relationships/footer" Target="footer116.xml"/><Relationship Id="rId12" Type="http://schemas.openxmlformats.org/officeDocument/2006/relationships/header" Target="header4.xml"/><Relationship Id="rId108" Type="http://schemas.openxmlformats.org/officeDocument/2006/relationships/footer" Target="footer50.xml"/><Relationship Id="rId315" Type="http://schemas.openxmlformats.org/officeDocument/2006/relationships/header" Target="header148.xml"/><Relationship Id="rId357" Type="http://schemas.openxmlformats.org/officeDocument/2006/relationships/footer" Target="footer168.xml"/><Relationship Id="rId54" Type="http://schemas.openxmlformats.org/officeDocument/2006/relationships/header" Target="header24.xml"/><Relationship Id="rId96" Type="http://schemas.openxmlformats.org/officeDocument/2006/relationships/header" Target="header45.xml"/><Relationship Id="rId161" Type="http://schemas.openxmlformats.org/officeDocument/2006/relationships/header" Target="header75.xml"/><Relationship Id="rId217" Type="http://schemas.openxmlformats.org/officeDocument/2006/relationships/header" Target="header103.xml"/><Relationship Id="rId399" Type="http://schemas.openxmlformats.org/officeDocument/2006/relationships/footer" Target="footer188.xml"/><Relationship Id="rId259" Type="http://schemas.openxmlformats.org/officeDocument/2006/relationships/footer" Target="footer121.xml"/><Relationship Id="rId424" Type="http://schemas.openxmlformats.org/officeDocument/2006/relationships/footer" Target="footer199.xml"/><Relationship Id="rId23" Type="http://schemas.openxmlformats.org/officeDocument/2006/relationships/footer" Target="footer8.xml"/><Relationship Id="rId119" Type="http://schemas.openxmlformats.org/officeDocument/2006/relationships/footer" Target="footer53.xml"/><Relationship Id="rId270" Type="http://schemas.openxmlformats.org/officeDocument/2006/relationships/header" Target="header126.xml"/><Relationship Id="rId326" Type="http://schemas.openxmlformats.org/officeDocument/2006/relationships/footer" Target="footer153.xml"/><Relationship Id="rId65" Type="http://schemas.openxmlformats.org/officeDocument/2006/relationships/footer" Target="footer28.xml"/><Relationship Id="rId130" Type="http://schemas.openxmlformats.org/officeDocument/2006/relationships/header" Target="header60.xml"/><Relationship Id="rId368" Type="http://schemas.openxmlformats.org/officeDocument/2006/relationships/footer" Target="footer173.xml"/><Relationship Id="rId172" Type="http://schemas.openxmlformats.org/officeDocument/2006/relationships/header" Target="header81.xml"/><Relationship Id="rId228" Type="http://schemas.openxmlformats.org/officeDocument/2006/relationships/footer" Target="footer108.xml"/><Relationship Id="rId435" Type="http://schemas.openxmlformats.org/officeDocument/2006/relationships/footer" Target="footer204.xml"/><Relationship Id="rId281" Type="http://schemas.openxmlformats.org/officeDocument/2006/relationships/header" Target="header131.xml"/><Relationship Id="rId337" Type="http://schemas.openxmlformats.org/officeDocument/2006/relationships/header" Target="header159.xml"/><Relationship Id="rId34" Type="http://schemas.openxmlformats.org/officeDocument/2006/relationships/header" Target="header14.xml"/><Relationship Id="rId76" Type="http://schemas.openxmlformats.org/officeDocument/2006/relationships/header" Target="header35.xml"/><Relationship Id="rId141" Type="http://schemas.openxmlformats.org/officeDocument/2006/relationships/footer" Target="footer64.xml"/><Relationship Id="rId379" Type="http://schemas.openxmlformats.org/officeDocument/2006/relationships/hyperlink" Target="http://www.cdc.gov/ncidod/hip/10_20.pdf" TargetMode="External"/><Relationship Id="rId7" Type="http://schemas.openxmlformats.org/officeDocument/2006/relationships/header" Target="header1.xml"/><Relationship Id="rId183" Type="http://schemas.openxmlformats.org/officeDocument/2006/relationships/header" Target="header86.xml"/><Relationship Id="rId239" Type="http://schemas.openxmlformats.org/officeDocument/2006/relationships/header" Target="header114.xml"/><Relationship Id="rId390" Type="http://schemas.openxmlformats.org/officeDocument/2006/relationships/footer" Target="footer183.xml"/><Relationship Id="rId404" Type="http://schemas.openxmlformats.org/officeDocument/2006/relationships/footer" Target="footer190.xml"/><Relationship Id="rId446" Type="http://schemas.openxmlformats.org/officeDocument/2006/relationships/footer" Target="footer210.xml"/><Relationship Id="rId250" Type="http://schemas.openxmlformats.org/officeDocument/2006/relationships/header" Target="header118.xml"/><Relationship Id="rId292" Type="http://schemas.openxmlformats.org/officeDocument/2006/relationships/footer" Target="footer136.xml"/><Relationship Id="rId306" Type="http://schemas.openxmlformats.org/officeDocument/2006/relationships/header" Target="header144.xml"/><Relationship Id="rId45" Type="http://schemas.openxmlformats.org/officeDocument/2006/relationships/header" Target="header20.xml"/><Relationship Id="rId87" Type="http://schemas.openxmlformats.org/officeDocument/2006/relationships/header" Target="header40.xml"/><Relationship Id="rId110" Type="http://schemas.openxmlformats.org/officeDocument/2006/relationships/hyperlink" Target="http://www.ashastd.org/stdfaqs/hpv.html" TargetMode="External"/><Relationship Id="rId348" Type="http://schemas.openxmlformats.org/officeDocument/2006/relationships/footer" Target="footer164.xml"/><Relationship Id="rId152" Type="http://schemas.openxmlformats.org/officeDocument/2006/relationships/header" Target="header71.xml"/><Relationship Id="rId194" Type="http://schemas.openxmlformats.org/officeDocument/2006/relationships/footer" Target="footer91.xml"/><Relationship Id="rId208" Type="http://schemas.openxmlformats.org/officeDocument/2006/relationships/footer" Target="footer98.xml"/><Relationship Id="rId415" Type="http://schemas.openxmlformats.org/officeDocument/2006/relationships/footer" Target="footer195.xml"/><Relationship Id="rId261" Type="http://schemas.openxmlformats.org/officeDocument/2006/relationships/header" Target="header122.xml"/><Relationship Id="rId14" Type="http://schemas.openxmlformats.org/officeDocument/2006/relationships/footer" Target="footer4.xml"/><Relationship Id="rId56" Type="http://schemas.openxmlformats.org/officeDocument/2006/relationships/footer" Target="footer24.xml"/><Relationship Id="rId317" Type="http://schemas.openxmlformats.org/officeDocument/2006/relationships/footer" Target="footer148.xml"/><Relationship Id="rId359" Type="http://schemas.openxmlformats.org/officeDocument/2006/relationships/header" Target="header169.xml"/><Relationship Id="rId98" Type="http://schemas.openxmlformats.org/officeDocument/2006/relationships/footer" Target="footer45.xml"/><Relationship Id="rId121" Type="http://schemas.openxmlformats.org/officeDocument/2006/relationships/header" Target="header55.xml"/><Relationship Id="rId163" Type="http://schemas.openxmlformats.org/officeDocument/2006/relationships/footer" Target="footer75.xml"/><Relationship Id="rId219" Type="http://schemas.openxmlformats.org/officeDocument/2006/relationships/header" Target="header104.xml"/><Relationship Id="rId370" Type="http://schemas.openxmlformats.org/officeDocument/2006/relationships/header" Target="header175.xml"/><Relationship Id="rId426" Type="http://schemas.openxmlformats.org/officeDocument/2006/relationships/header" Target="header201.xml"/><Relationship Id="rId230" Type="http://schemas.openxmlformats.org/officeDocument/2006/relationships/header" Target="header110.xml"/><Relationship Id="rId25" Type="http://schemas.openxmlformats.org/officeDocument/2006/relationships/header" Target="header10.xml"/><Relationship Id="rId67" Type="http://schemas.openxmlformats.org/officeDocument/2006/relationships/header" Target="header30.xml"/><Relationship Id="rId272" Type="http://schemas.openxmlformats.org/officeDocument/2006/relationships/header" Target="header127.xml"/><Relationship Id="rId328" Type="http://schemas.openxmlformats.org/officeDocument/2006/relationships/header" Target="header155.xml"/><Relationship Id="rId132" Type="http://schemas.openxmlformats.org/officeDocument/2006/relationships/footer" Target="footer60.xml"/><Relationship Id="rId174" Type="http://schemas.openxmlformats.org/officeDocument/2006/relationships/footer" Target="footer81.xml"/><Relationship Id="rId381" Type="http://schemas.openxmlformats.org/officeDocument/2006/relationships/header" Target="header180.xml"/><Relationship Id="rId241" Type="http://schemas.openxmlformats.org/officeDocument/2006/relationships/footer" Target="footer114.xml"/><Relationship Id="rId437" Type="http://schemas.openxmlformats.org/officeDocument/2006/relationships/header" Target="header206.xml"/><Relationship Id="rId36" Type="http://schemas.openxmlformats.org/officeDocument/2006/relationships/footer" Target="footer14.xml"/><Relationship Id="rId283" Type="http://schemas.openxmlformats.org/officeDocument/2006/relationships/footer" Target="footer131.xml"/><Relationship Id="rId339" Type="http://schemas.openxmlformats.org/officeDocument/2006/relationships/footer" Target="footer159.xml"/><Relationship Id="rId78" Type="http://schemas.openxmlformats.org/officeDocument/2006/relationships/footer" Target="footer35.xml"/><Relationship Id="rId101" Type="http://schemas.openxmlformats.org/officeDocument/2006/relationships/header" Target="header47.xml"/><Relationship Id="rId143" Type="http://schemas.openxmlformats.org/officeDocument/2006/relationships/header" Target="header66.xml"/><Relationship Id="rId185" Type="http://schemas.openxmlformats.org/officeDocument/2006/relationships/footer" Target="footer86.xml"/><Relationship Id="rId350" Type="http://schemas.openxmlformats.org/officeDocument/2006/relationships/header" Target="header166.xml"/><Relationship Id="rId406" Type="http://schemas.openxmlformats.org/officeDocument/2006/relationships/header" Target="header191.xml"/><Relationship Id="rId9" Type="http://schemas.openxmlformats.org/officeDocument/2006/relationships/footer" Target="footer1.xml"/><Relationship Id="rId210" Type="http://schemas.openxmlformats.org/officeDocument/2006/relationships/header" Target="header100.xml"/><Relationship Id="rId392" Type="http://schemas.openxmlformats.org/officeDocument/2006/relationships/header" Target="header185.xml"/><Relationship Id="rId448" Type="http://schemas.openxmlformats.org/officeDocument/2006/relationships/header" Target="header212.xml"/><Relationship Id="rId252" Type="http://schemas.openxmlformats.org/officeDocument/2006/relationships/hyperlink" Target="http://www.cjdsurveillance.com" TargetMode="External"/><Relationship Id="rId294" Type="http://schemas.openxmlformats.org/officeDocument/2006/relationships/footer" Target="footer137.xml"/><Relationship Id="rId308" Type="http://schemas.openxmlformats.org/officeDocument/2006/relationships/footer" Target="footer144.xml"/><Relationship Id="rId47" Type="http://schemas.openxmlformats.org/officeDocument/2006/relationships/footer" Target="footer20.xml"/><Relationship Id="rId89" Type="http://schemas.openxmlformats.org/officeDocument/2006/relationships/header" Target="header41.xml"/><Relationship Id="rId112" Type="http://schemas.openxmlformats.org/officeDocument/2006/relationships/header" Target="header52.xml"/><Relationship Id="rId154" Type="http://schemas.openxmlformats.org/officeDocument/2006/relationships/footer" Target="footer71.xml"/><Relationship Id="rId361" Type="http://schemas.openxmlformats.org/officeDocument/2006/relationships/footer" Target="footer169.xml"/><Relationship Id="rId196" Type="http://schemas.openxmlformats.org/officeDocument/2006/relationships/footer" Target="footer92.xml"/><Relationship Id="rId417" Type="http://schemas.openxmlformats.org/officeDocument/2006/relationships/header" Target="header197.xml"/><Relationship Id="rId16" Type="http://schemas.openxmlformats.org/officeDocument/2006/relationships/header" Target="header6.xml"/><Relationship Id="rId221" Type="http://schemas.openxmlformats.org/officeDocument/2006/relationships/footer" Target="footer104.xml"/><Relationship Id="rId263" Type="http://schemas.openxmlformats.org/officeDocument/2006/relationships/footer" Target="footer122.xml"/><Relationship Id="rId319" Type="http://schemas.openxmlformats.org/officeDocument/2006/relationships/header" Target="header150.xml"/><Relationship Id="rId58" Type="http://schemas.openxmlformats.org/officeDocument/2006/relationships/header" Target="header26.xml"/><Relationship Id="rId123" Type="http://schemas.openxmlformats.org/officeDocument/2006/relationships/header" Target="header56.xml"/><Relationship Id="rId330" Type="http://schemas.openxmlformats.org/officeDocument/2006/relationships/footer" Target="footer155.xml"/><Relationship Id="rId165" Type="http://schemas.openxmlformats.org/officeDocument/2006/relationships/header" Target="header77.xml"/><Relationship Id="rId372" Type="http://schemas.openxmlformats.org/officeDocument/2006/relationships/footer" Target="footer175.xml"/><Relationship Id="rId428" Type="http://schemas.openxmlformats.org/officeDocument/2006/relationships/footer" Target="footer201.xml"/><Relationship Id="rId232" Type="http://schemas.openxmlformats.org/officeDocument/2006/relationships/footer" Target="footer110.xml"/><Relationship Id="rId274" Type="http://schemas.openxmlformats.org/officeDocument/2006/relationships/footer" Target="footer127.xml"/><Relationship Id="rId27" Type="http://schemas.openxmlformats.org/officeDocument/2006/relationships/footer" Target="footer10.xml"/><Relationship Id="rId69" Type="http://schemas.openxmlformats.org/officeDocument/2006/relationships/footer" Target="footer30.xml"/><Relationship Id="rId134" Type="http://schemas.openxmlformats.org/officeDocument/2006/relationships/header" Target="header62.xml"/><Relationship Id="rId80" Type="http://schemas.openxmlformats.org/officeDocument/2006/relationships/header" Target="header37.xml"/><Relationship Id="rId176" Type="http://schemas.openxmlformats.org/officeDocument/2006/relationships/header" Target="header83.xml"/><Relationship Id="rId341" Type="http://schemas.openxmlformats.org/officeDocument/2006/relationships/header" Target="header161.xml"/><Relationship Id="rId383" Type="http://schemas.openxmlformats.org/officeDocument/2006/relationships/footer" Target="footer180.xml"/><Relationship Id="rId439" Type="http://schemas.openxmlformats.org/officeDocument/2006/relationships/footer" Target="footer206.xml"/><Relationship Id="rId201" Type="http://schemas.openxmlformats.org/officeDocument/2006/relationships/header" Target="header95.xml"/><Relationship Id="rId243" Type="http://schemas.openxmlformats.org/officeDocument/2006/relationships/hyperlink" Target="http://www.who.int/emc-documents/tse/whocdscraph2003c.html" TargetMode="External"/><Relationship Id="rId285" Type="http://schemas.openxmlformats.org/officeDocument/2006/relationships/header" Target="header133.xml"/><Relationship Id="rId450" Type="http://schemas.openxmlformats.org/officeDocument/2006/relationships/footer" Target="footer212.xml"/><Relationship Id="rId38" Type="http://schemas.openxmlformats.org/officeDocument/2006/relationships/header" Target="header16.xml"/><Relationship Id="rId103" Type="http://schemas.openxmlformats.org/officeDocument/2006/relationships/footer" Target="footer47.xml"/><Relationship Id="rId310" Type="http://schemas.openxmlformats.org/officeDocument/2006/relationships/header" Target="header146.xml"/><Relationship Id="rId91" Type="http://schemas.openxmlformats.org/officeDocument/2006/relationships/footer" Target="footer41.xml"/><Relationship Id="rId145" Type="http://schemas.openxmlformats.org/officeDocument/2006/relationships/footer" Target="footer66.xml"/><Relationship Id="rId187" Type="http://schemas.openxmlformats.org/officeDocument/2006/relationships/header" Target="header88.xml"/><Relationship Id="rId352" Type="http://schemas.openxmlformats.org/officeDocument/2006/relationships/footer" Target="footer166.xml"/><Relationship Id="rId394" Type="http://schemas.openxmlformats.org/officeDocument/2006/relationships/footer" Target="footer185.xml"/><Relationship Id="rId408" Type="http://schemas.openxmlformats.org/officeDocument/2006/relationships/footer" Target="footer191.xml"/><Relationship Id="rId212" Type="http://schemas.openxmlformats.org/officeDocument/2006/relationships/footer" Target="footer100.xml"/><Relationship Id="rId254" Type="http://schemas.openxmlformats.org/officeDocument/2006/relationships/header" Target="header119.xml"/><Relationship Id="rId49" Type="http://schemas.openxmlformats.org/officeDocument/2006/relationships/header" Target="header21.xml"/><Relationship Id="rId114" Type="http://schemas.openxmlformats.org/officeDocument/2006/relationships/footer" Target="footer52.xml"/><Relationship Id="rId296" Type="http://schemas.openxmlformats.org/officeDocument/2006/relationships/header" Target="header139.xml"/><Relationship Id="rId60" Type="http://schemas.openxmlformats.org/officeDocument/2006/relationships/footer" Target="footer26.xml"/><Relationship Id="rId156" Type="http://schemas.openxmlformats.org/officeDocument/2006/relationships/footer" Target="footer72.xml"/><Relationship Id="rId198" Type="http://schemas.openxmlformats.org/officeDocument/2006/relationships/header" Target="header94.xml"/><Relationship Id="rId321" Type="http://schemas.openxmlformats.org/officeDocument/2006/relationships/footer" Target="footer150.xml"/><Relationship Id="rId363" Type="http://schemas.openxmlformats.org/officeDocument/2006/relationships/header" Target="header171.xml"/><Relationship Id="rId419" Type="http://schemas.openxmlformats.org/officeDocument/2006/relationships/footer" Target="footer197.xml"/><Relationship Id="rId223" Type="http://schemas.openxmlformats.org/officeDocument/2006/relationships/header" Target="header106.xml"/><Relationship Id="rId430" Type="http://schemas.openxmlformats.org/officeDocument/2006/relationships/header" Target="header203.xml"/><Relationship Id="rId18" Type="http://schemas.openxmlformats.org/officeDocument/2006/relationships/footer" Target="footer6.xml"/><Relationship Id="rId265" Type="http://schemas.openxmlformats.org/officeDocument/2006/relationships/hyperlink" Target="http://www.cdc.gov/ncidod/dvrd/qfever/" TargetMode="External"/><Relationship Id="rId50" Type="http://schemas.openxmlformats.org/officeDocument/2006/relationships/header" Target="header22.xml"/><Relationship Id="rId104" Type="http://schemas.openxmlformats.org/officeDocument/2006/relationships/footer" Target="footer48.xml"/><Relationship Id="rId125" Type="http://schemas.openxmlformats.org/officeDocument/2006/relationships/footer" Target="footer56.xml"/><Relationship Id="rId146" Type="http://schemas.openxmlformats.org/officeDocument/2006/relationships/footer" Target="footer67.xml"/><Relationship Id="rId167" Type="http://schemas.openxmlformats.org/officeDocument/2006/relationships/footer" Target="footer77.xml"/><Relationship Id="rId188" Type="http://schemas.openxmlformats.org/officeDocument/2006/relationships/header" Target="header89.xml"/><Relationship Id="rId311" Type="http://schemas.openxmlformats.org/officeDocument/2006/relationships/footer" Target="footer145.xml"/><Relationship Id="rId332" Type="http://schemas.openxmlformats.org/officeDocument/2006/relationships/header" Target="header157.xml"/><Relationship Id="rId353" Type="http://schemas.openxmlformats.org/officeDocument/2006/relationships/hyperlink" Target="http://www.bt.cdc.gov" TargetMode="External"/><Relationship Id="rId374" Type="http://schemas.openxmlformats.org/officeDocument/2006/relationships/footer" Target="footer176.xml"/><Relationship Id="rId395" Type="http://schemas.openxmlformats.org/officeDocument/2006/relationships/footer" Target="footer186.xml"/><Relationship Id="rId409" Type="http://schemas.openxmlformats.org/officeDocument/2006/relationships/footer" Target="footer192.xml"/><Relationship Id="rId71" Type="http://schemas.openxmlformats.org/officeDocument/2006/relationships/header" Target="header32.xml"/><Relationship Id="rId92" Type="http://schemas.openxmlformats.org/officeDocument/2006/relationships/footer" Target="footer42.xml"/><Relationship Id="rId213" Type="http://schemas.openxmlformats.org/officeDocument/2006/relationships/header" Target="header101.xml"/><Relationship Id="rId234" Type="http://schemas.openxmlformats.org/officeDocument/2006/relationships/header" Target="header112.xml"/><Relationship Id="rId420" Type="http://schemas.openxmlformats.org/officeDocument/2006/relationships/header" Target="header198.xml"/><Relationship Id="rId2" Type="http://schemas.openxmlformats.org/officeDocument/2006/relationships/styles" Target="styles.xml"/><Relationship Id="rId29" Type="http://schemas.openxmlformats.org/officeDocument/2006/relationships/header" Target="header12.xml"/><Relationship Id="rId255" Type="http://schemas.openxmlformats.org/officeDocument/2006/relationships/header" Target="header120.xml"/><Relationship Id="rId276" Type="http://schemas.openxmlformats.org/officeDocument/2006/relationships/header" Target="header129.xml"/><Relationship Id="rId297" Type="http://schemas.openxmlformats.org/officeDocument/2006/relationships/footer" Target="footer138.xml"/><Relationship Id="rId441" Type="http://schemas.openxmlformats.org/officeDocument/2006/relationships/header" Target="header208.xml"/><Relationship Id="rId40" Type="http://schemas.openxmlformats.org/officeDocument/2006/relationships/header" Target="header17.xml"/><Relationship Id="rId115" Type="http://schemas.openxmlformats.org/officeDocument/2006/relationships/hyperlink" Target="http://www.cdc.gov/nchstp/dstd/Reports_Publications/" TargetMode="External"/><Relationship Id="rId136" Type="http://schemas.openxmlformats.org/officeDocument/2006/relationships/footer" Target="footer62.xml"/><Relationship Id="rId157" Type="http://schemas.openxmlformats.org/officeDocument/2006/relationships/header" Target="header73.xml"/><Relationship Id="rId178" Type="http://schemas.openxmlformats.org/officeDocument/2006/relationships/footer" Target="footer83.xml"/><Relationship Id="rId301" Type="http://schemas.openxmlformats.org/officeDocument/2006/relationships/header" Target="header141.xml"/><Relationship Id="rId322" Type="http://schemas.openxmlformats.org/officeDocument/2006/relationships/footer" Target="footer151.xml"/><Relationship Id="rId343" Type="http://schemas.openxmlformats.org/officeDocument/2006/relationships/header" Target="header162.xml"/><Relationship Id="rId364" Type="http://schemas.openxmlformats.org/officeDocument/2006/relationships/header" Target="header172.xml"/><Relationship Id="rId61" Type="http://schemas.openxmlformats.org/officeDocument/2006/relationships/header" Target="header27.xml"/><Relationship Id="rId82" Type="http://schemas.openxmlformats.org/officeDocument/2006/relationships/footer" Target="footer37.xml"/><Relationship Id="rId199" Type="http://schemas.openxmlformats.org/officeDocument/2006/relationships/footer" Target="footer93.xml"/><Relationship Id="rId203" Type="http://schemas.openxmlformats.org/officeDocument/2006/relationships/header" Target="header96.xml"/><Relationship Id="rId385" Type="http://schemas.openxmlformats.org/officeDocument/2006/relationships/header" Target="header182.xml"/><Relationship Id="rId19" Type="http://schemas.openxmlformats.org/officeDocument/2006/relationships/header" Target="header7.xml"/><Relationship Id="rId224" Type="http://schemas.openxmlformats.org/officeDocument/2006/relationships/header" Target="header107.xml"/><Relationship Id="rId245" Type="http://schemas.openxmlformats.org/officeDocument/2006/relationships/hyperlink" Target="http://www.fda.gov/cber/whatsnew.htm" TargetMode="External"/><Relationship Id="rId266" Type="http://schemas.openxmlformats.org/officeDocument/2006/relationships/header" Target="header124.xml"/><Relationship Id="rId287" Type="http://schemas.openxmlformats.org/officeDocument/2006/relationships/footer" Target="footer133.xml"/><Relationship Id="rId410" Type="http://schemas.openxmlformats.org/officeDocument/2006/relationships/header" Target="header193.xml"/><Relationship Id="rId431" Type="http://schemas.openxmlformats.org/officeDocument/2006/relationships/footer" Target="footer203.xml"/><Relationship Id="rId452" Type="http://schemas.openxmlformats.org/officeDocument/2006/relationships/theme" Target="theme/theme1.xml"/><Relationship Id="rId30" Type="http://schemas.openxmlformats.org/officeDocument/2006/relationships/header" Target="header13.xml"/><Relationship Id="rId105" Type="http://schemas.openxmlformats.org/officeDocument/2006/relationships/header" Target="header49.xml"/><Relationship Id="rId126" Type="http://schemas.openxmlformats.org/officeDocument/2006/relationships/footer" Target="footer57.xml"/><Relationship Id="rId147" Type="http://schemas.openxmlformats.org/officeDocument/2006/relationships/header" Target="header68.xml"/><Relationship Id="rId168" Type="http://schemas.openxmlformats.org/officeDocument/2006/relationships/footer" Target="footer78.xml"/><Relationship Id="rId312" Type="http://schemas.openxmlformats.org/officeDocument/2006/relationships/footer" Target="footer146.xml"/><Relationship Id="rId333" Type="http://schemas.openxmlformats.org/officeDocument/2006/relationships/footer" Target="footer156.xml"/><Relationship Id="rId354" Type="http://schemas.openxmlformats.org/officeDocument/2006/relationships/header" Target="header167.xml"/><Relationship Id="rId51" Type="http://schemas.openxmlformats.org/officeDocument/2006/relationships/footer" Target="footer21.xml"/><Relationship Id="rId72" Type="http://schemas.openxmlformats.org/officeDocument/2006/relationships/header" Target="header33.xml"/><Relationship Id="rId93" Type="http://schemas.openxmlformats.org/officeDocument/2006/relationships/header" Target="header43.xml"/><Relationship Id="rId189" Type="http://schemas.openxmlformats.org/officeDocument/2006/relationships/footer" Target="footer88.xml"/><Relationship Id="rId375" Type="http://schemas.openxmlformats.org/officeDocument/2006/relationships/header" Target="header177.xml"/><Relationship Id="rId396" Type="http://schemas.openxmlformats.org/officeDocument/2006/relationships/header" Target="header187.xml"/><Relationship Id="rId3" Type="http://schemas.openxmlformats.org/officeDocument/2006/relationships/settings" Target="settings.xml"/><Relationship Id="rId214" Type="http://schemas.openxmlformats.org/officeDocument/2006/relationships/header" Target="header102.xml"/><Relationship Id="rId235" Type="http://schemas.openxmlformats.org/officeDocument/2006/relationships/footer" Target="footer111.xml"/><Relationship Id="rId256" Type="http://schemas.openxmlformats.org/officeDocument/2006/relationships/footer" Target="footer119.xml"/><Relationship Id="rId277" Type="http://schemas.openxmlformats.org/officeDocument/2006/relationships/header" Target="header130.xml"/><Relationship Id="rId298" Type="http://schemas.openxmlformats.org/officeDocument/2006/relationships/footer" Target="footer139.xml"/><Relationship Id="rId400" Type="http://schemas.openxmlformats.org/officeDocument/2006/relationships/image" Target="media/image1.jpeg"/><Relationship Id="rId421" Type="http://schemas.openxmlformats.org/officeDocument/2006/relationships/footer" Target="footer198.xml"/><Relationship Id="rId442" Type="http://schemas.openxmlformats.org/officeDocument/2006/relationships/header" Target="header209.xml"/><Relationship Id="rId116" Type="http://schemas.openxmlformats.org/officeDocument/2006/relationships/hyperlink" Target="http://www.ashastd.org/stdfaqs/hpv.html" TargetMode="External"/><Relationship Id="rId137" Type="http://schemas.openxmlformats.org/officeDocument/2006/relationships/header" Target="header63.xml"/><Relationship Id="rId158" Type="http://schemas.openxmlformats.org/officeDocument/2006/relationships/header" Target="header74.xml"/><Relationship Id="rId302" Type="http://schemas.openxmlformats.org/officeDocument/2006/relationships/header" Target="header142.xml"/><Relationship Id="rId323" Type="http://schemas.openxmlformats.org/officeDocument/2006/relationships/header" Target="header152.xml"/><Relationship Id="rId344" Type="http://schemas.openxmlformats.org/officeDocument/2006/relationships/header" Target="header163.xml"/><Relationship Id="rId20" Type="http://schemas.openxmlformats.org/officeDocument/2006/relationships/footer" Target="footer7.xml"/><Relationship Id="rId41" Type="http://schemas.openxmlformats.org/officeDocument/2006/relationships/header" Target="header18.xml"/><Relationship Id="rId62" Type="http://schemas.openxmlformats.org/officeDocument/2006/relationships/footer" Target="footer27.xml"/><Relationship Id="rId83" Type="http://schemas.openxmlformats.org/officeDocument/2006/relationships/header" Target="header38.xml"/><Relationship Id="rId179" Type="http://schemas.openxmlformats.org/officeDocument/2006/relationships/header" Target="header84.xml"/><Relationship Id="rId365" Type="http://schemas.openxmlformats.org/officeDocument/2006/relationships/footer" Target="footer171.xml"/><Relationship Id="rId386" Type="http://schemas.openxmlformats.org/officeDocument/2006/relationships/footer" Target="footer181.xml"/><Relationship Id="rId190" Type="http://schemas.openxmlformats.org/officeDocument/2006/relationships/footer" Target="footer89.xml"/><Relationship Id="rId204" Type="http://schemas.openxmlformats.org/officeDocument/2006/relationships/header" Target="header97.xml"/><Relationship Id="rId225" Type="http://schemas.openxmlformats.org/officeDocument/2006/relationships/footer" Target="footer106.xml"/><Relationship Id="rId246" Type="http://schemas.openxmlformats.org/officeDocument/2006/relationships/header" Target="header116.xml"/><Relationship Id="rId267" Type="http://schemas.openxmlformats.org/officeDocument/2006/relationships/header" Target="header125.xml"/><Relationship Id="rId288" Type="http://schemas.openxmlformats.org/officeDocument/2006/relationships/footer" Target="footer134.xml"/><Relationship Id="rId411" Type="http://schemas.openxmlformats.org/officeDocument/2006/relationships/header" Target="header194.xml"/><Relationship Id="rId432" Type="http://schemas.openxmlformats.org/officeDocument/2006/relationships/hyperlink" Target="http://www.cdc.gov/nchstp/dstd/penicillinG.htm" TargetMode="External"/><Relationship Id="rId106" Type="http://schemas.openxmlformats.org/officeDocument/2006/relationships/header" Target="header50.xml"/><Relationship Id="rId127" Type="http://schemas.openxmlformats.org/officeDocument/2006/relationships/header" Target="header58.xml"/><Relationship Id="rId313" Type="http://schemas.openxmlformats.org/officeDocument/2006/relationships/header" Target="header147.xml"/><Relationship Id="rId10" Type="http://schemas.openxmlformats.org/officeDocument/2006/relationships/footer" Target="footer2.xml"/><Relationship Id="rId31" Type="http://schemas.openxmlformats.org/officeDocument/2006/relationships/footer" Target="footer12.xml"/><Relationship Id="rId52" Type="http://schemas.openxmlformats.org/officeDocument/2006/relationships/footer" Target="footer22.xml"/><Relationship Id="rId73" Type="http://schemas.openxmlformats.org/officeDocument/2006/relationships/footer" Target="footer32.xml"/><Relationship Id="rId94" Type="http://schemas.openxmlformats.org/officeDocument/2006/relationships/footer" Target="footer43.xml"/><Relationship Id="rId148" Type="http://schemas.openxmlformats.org/officeDocument/2006/relationships/header" Target="header69.xml"/><Relationship Id="rId169" Type="http://schemas.openxmlformats.org/officeDocument/2006/relationships/header" Target="header79.xml"/><Relationship Id="rId334" Type="http://schemas.openxmlformats.org/officeDocument/2006/relationships/footer" Target="footer157.xml"/><Relationship Id="rId355" Type="http://schemas.openxmlformats.org/officeDocument/2006/relationships/header" Target="header168.xml"/><Relationship Id="rId376" Type="http://schemas.openxmlformats.org/officeDocument/2006/relationships/header" Target="header178.xml"/><Relationship Id="rId397" Type="http://schemas.openxmlformats.org/officeDocument/2006/relationships/header" Target="header188.xml"/><Relationship Id="rId4" Type="http://schemas.openxmlformats.org/officeDocument/2006/relationships/webSettings" Target="webSettings.xml"/><Relationship Id="rId180" Type="http://schemas.openxmlformats.org/officeDocument/2006/relationships/header" Target="header85.xml"/><Relationship Id="rId215" Type="http://schemas.openxmlformats.org/officeDocument/2006/relationships/footer" Target="footer101.xml"/><Relationship Id="rId236" Type="http://schemas.openxmlformats.org/officeDocument/2006/relationships/footer" Target="footer112.xml"/><Relationship Id="rId257" Type="http://schemas.openxmlformats.org/officeDocument/2006/relationships/footer" Target="footer120.xml"/><Relationship Id="rId278" Type="http://schemas.openxmlformats.org/officeDocument/2006/relationships/footer" Target="footer129.xml"/><Relationship Id="rId401" Type="http://schemas.openxmlformats.org/officeDocument/2006/relationships/header" Target="header189.xml"/><Relationship Id="rId422" Type="http://schemas.openxmlformats.org/officeDocument/2006/relationships/header" Target="header199.xml"/><Relationship Id="rId443" Type="http://schemas.openxmlformats.org/officeDocument/2006/relationships/footer" Target="footer208.xml"/><Relationship Id="rId303" Type="http://schemas.openxmlformats.org/officeDocument/2006/relationships/footer" Target="footer141.xml"/><Relationship Id="rId42" Type="http://schemas.openxmlformats.org/officeDocument/2006/relationships/footer" Target="footer17.xml"/><Relationship Id="rId84" Type="http://schemas.openxmlformats.org/officeDocument/2006/relationships/header" Target="header39.xml"/><Relationship Id="rId138" Type="http://schemas.openxmlformats.org/officeDocument/2006/relationships/footer" Target="footer63.xml"/><Relationship Id="rId345" Type="http://schemas.openxmlformats.org/officeDocument/2006/relationships/footer" Target="footer162.xml"/><Relationship Id="rId387" Type="http://schemas.openxmlformats.org/officeDocument/2006/relationships/footer" Target="footer182.xml"/><Relationship Id="rId191" Type="http://schemas.openxmlformats.org/officeDocument/2006/relationships/header" Target="header90.xml"/><Relationship Id="rId205" Type="http://schemas.openxmlformats.org/officeDocument/2006/relationships/footer" Target="footer96.xml"/><Relationship Id="rId247" Type="http://schemas.openxmlformats.org/officeDocument/2006/relationships/header" Target="header117.xml"/><Relationship Id="rId412" Type="http://schemas.openxmlformats.org/officeDocument/2006/relationships/footer" Target="footer193.xml"/><Relationship Id="rId107" Type="http://schemas.openxmlformats.org/officeDocument/2006/relationships/footer" Target="footer49.xml"/><Relationship Id="rId289" Type="http://schemas.openxmlformats.org/officeDocument/2006/relationships/header" Target="header135.xml"/><Relationship Id="rId11" Type="http://schemas.openxmlformats.org/officeDocument/2006/relationships/header" Target="header3.xml"/><Relationship Id="rId53" Type="http://schemas.openxmlformats.org/officeDocument/2006/relationships/header" Target="header23.xml"/><Relationship Id="rId149" Type="http://schemas.openxmlformats.org/officeDocument/2006/relationships/footer" Target="footer68.xml"/><Relationship Id="rId314" Type="http://schemas.openxmlformats.org/officeDocument/2006/relationships/footer" Target="footer147.xml"/><Relationship Id="rId356" Type="http://schemas.openxmlformats.org/officeDocument/2006/relationships/footer" Target="footer167.xml"/><Relationship Id="rId398" Type="http://schemas.openxmlformats.org/officeDocument/2006/relationships/footer" Target="footer187.xml"/><Relationship Id="rId95" Type="http://schemas.openxmlformats.org/officeDocument/2006/relationships/header" Target="header44.xml"/><Relationship Id="rId160" Type="http://schemas.openxmlformats.org/officeDocument/2006/relationships/footer" Target="footer74.xml"/><Relationship Id="rId216" Type="http://schemas.openxmlformats.org/officeDocument/2006/relationships/footer" Target="footer102.xml"/><Relationship Id="rId423" Type="http://schemas.openxmlformats.org/officeDocument/2006/relationships/header" Target="header200.xml"/><Relationship Id="rId258" Type="http://schemas.openxmlformats.org/officeDocument/2006/relationships/header" Target="header121.xml"/><Relationship Id="rId22" Type="http://schemas.openxmlformats.org/officeDocument/2006/relationships/header" Target="header9.xml"/><Relationship Id="rId64" Type="http://schemas.openxmlformats.org/officeDocument/2006/relationships/header" Target="header29.xml"/><Relationship Id="rId118" Type="http://schemas.openxmlformats.org/officeDocument/2006/relationships/header" Target="header54.xml"/><Relationship Id="rId325" Type="http://schemas.openxmlformats.org/officeDocument/2006/relationships/footer" Target="footer152.xml"/><Relationship Id="rId367" Type="http://schemas.openxmlformats.org/officeDocument/2006/relationships/header" Target="header173.xml"/><Relationship Id="rId171" Type="http://schemas.openxmlformats.org/officeDocument/2006/relationships/header" Target="header80.xml"/><Relationship Id="rId227" Type="http://schemas.openxmlformats.org/officeDocument/2006/relationships/header" Target="header108.xml"/><Relationship Id="rId269" Type="http://schemas.openxmlformats.org/officeDocument/2006/relationships/footer" Target="footer125.xml"/><Relationship Id="rId434" Type="http://schemas.openxmlformats.org/officeDocument/2006/relationships/header" Target="header205.xml"/><Relationship Id="rId33" Type="http://schemas.openxmlformats.org/officeDocument/2006/relationships/hyperlink" Target="http://www.cdc.gov/travel" TargetMode="External"/><Relationship Id="rId129" Type="http://schemas.openxmlformats.org/officeDocument/2006/relationships/header" Target="header59.xml"/><Relationship Id="rId280" Type="http://schemas.openxmlformats.org/officeDocument/2006/relationships/hyperlink" Target="http://www.aap.org" TargetMode="External"/><Relationship Id="rId336" Type="http://schemas.openxmlformats.org/officeDocument/2006/relationships/footer" Target="footer158.xml"/><Relationship Id="rId75" Type="http://schemas.openxmlformats.org/officeDocument/2006/relationships/header" Target="header34.xml"/><Relationship Id="rId140" Type="http://schemas.openxmlformats.org/officeDocument/2006/relationships/header" Target="header65.xml"/><Relationship Id="rId182" Type="http://schemas.openxmlformats.org/officeDocument/2006/relationships/footer" Target="footer85.xml"/><Relationship Id="rId378" Type="http://schemas.openxmlformats.org/officeDocument/2006/relationships/footer" Target="footer178.xml"/><Relationship Id="rId403" Type="http://schemas.openxmlformats.org/officeDocument/2006/relationships/footer" Target="footer189.xml"/><Relationship Id="rId6" Type="http://schemas.openxmlformats.org/officeDocument/2006/relationships/endnotes" Target="endnotes.xml"/><Relationship Id="rId238" Type="http://schemas.openxmlformats.org/officeDocument/2006/relationships/footer" Target="footer113.xml"/><Relationship Id="rId445" Type="http://schemas.openxmlformats.org/officeDocument/2006/relationships/header" Target="header210.xml"/><Relationship Id="rId291" Type="http://schemas.openxmlformats.org/officeDocument/2006/relationships/footer" Target="footer135.xml"/><Relationship Id="rId305" Type="http://schemas.openxmlformats.org/officeDocument/2006/relationships/header" Target="header143.xml"/><Relationship Id="rId347" Type="http://schemas.openxmlformats.org/officeDocument/2006/relationships/header" Target="header164.xml"/><Relationship Id="rId44" Type="http://schemas.openxmlformats.org/officeDocument/2006/relationships/header" Target="header19.xml"/><Relationship Id="rId86" Type="http://schemas.openxmlformats.org/officeDocument/2006/relationships/footer" Target="footer39.xml"/><Relationship Id="rId151" Type="http://schemas.openxmlformats.org/officeDocument/2006/relationships/header" Target="header70.xml"/><Relationship Id="rId389" Type="http://schemas.openxmlformats.org/officeDocument/2006/relationships/header" Target="header184.xml"/><Relationship Id="rId193" Type="http://schemas.openxmlformats.org/officeDocument/2006/relationships/footer" Target="footer90.xml"/><Relationship Id="rId207" Type="http://schemas.openxmlformats.org/officeDocument/2006/relationships/header" Target="header98.xml"/><Relationship Id="rId249" Type="http://schemas.openxmlformats.org/officeDocument/2006/relationships/footer" Target="footer117.xml"/><Relationship Id="rId414" Type="http://schemas.openxmlformats.org/officeDocument/2006/relationships/header" Target="header195.xml"/><Relationship Id="rId13" Type="http://schemas.openxmlformats.org/officeDocument/2006/relationships/footer" Target="footer3.xml"/><Relationship Id="rId109" Type="http://schemas.openxmlformats.org/officeDocument/2006/relationships/hyperlink" Target="http://www.cdc.gov/nchstp/dstd/Reports_Publications/" TargetMode="External"/><Relationship Id="rId260" Type="http://schemas.openxmlformats.org/officeDocument/2006/relationships/hyperlink" Target="http://www.cdc.gov/ncidod/dvrd/qfever/" TargetMode="External"/><Relationship Id="rId316" Type="http://schemas.openxmlformats.org/officeDocument/2006/relationships/header" Target="header149.xml"/><Relationship Id="rId55" Type="http://schemas.openxmlformats.org/officeDocument/2006/relationships/footer" Target="footer23.xml"/><Relationship Id="rId97" Type="http://schemas.openxmlformats.org/officeDocument/2006/relationships/footer" Target="footer44.xml"/><Relationship Id="rId120" Type="http://schemas.openxmlformats.org/officeDocument/2006/relationships/footer" Target="footer54.xml"/><Relationship Id="rId358" Type="http://schemas.openxmlformats.org/officeDocument/2006/relationships/hyperlink" Target="http://www.bt.cdc.gov" TargetMode="External"/><Relationship Id="rId162" Type="http://schemas.openxmlformats.org/officeDocument/2006/relationships/header" Target="header76.xml"/><Relationship Id="rId218" Type="http://schemas.openxmlformats.org/officeDocument/2006/relationships/footer" Target="footer103.xml"/><Relationship Id="rId425" Type="http://schemas.openxmlformats.org/officeDocument/2006/relationships/footer" Target="footer200.xml"/><Relationship Id="rId271" Type="http://schemas.openxmlformats.org/officeDocument/2006/relationships/footer" Target="footer126.xml"/><Relationship Id="rId24" Type="http://schemas.openxmlformats.org/officeDocument/2006/relationships/footer" Target="footer9.xml"/><Relationship Id="rId66" Type="http://schemas.openxmlformats.org/officeDocument/2006/relationships/footer" Target="footer29.xml"/><Relationship Id="rId131" Type="http://schemas.openxmlformats.org/officeDocument/2006/relationships/footer" Target="footer59.xml"/><Relationship Id="rId327" Type="http://schemas.openxmlformats.org/officeDocument/2006/relationships/header" Target="header154.xml"/><Relationship Id="rId369" Type="http://schemas.openxmlformats.org/officeDocument/2006/relationships/header" Target="header174.xml"/><Relationship Id="rId173" Type="http://schemas.openxmlformats.org/officeDocument/2006/relationships/footer" Target="footer80.xml"/><Relationship Id="rId229" Type="http://schemas.openxmlformats.org/officeDocument/2006/relationships/header" Target="header109.xml"/><Relationship Id="rId380" Type="http://schemas.openxmlformats.org/officeDocument/2006/relationships/header" Target="header179.xml"/><Relationship Id="rId436" Type="http://schemas.openxmlformats.org/officeDocument/2006/relationships/footer" Target="footer205.xml"/><Relationship Id="rId240" Type="http://schemas.openxmlformats.org/officeDocument/2006/relationships/header" Target="header115.xml"/><Relationship Id="rId35" Type="http://schemas.openxmlformats.org/officeDocument/2006/relationships/header" Target="header15.xml"/><Relationship Id="rId77" Type="http://schemas.openxmlformats.org/officeDocument/2006/relationships/footer" Target="footer34.xml"/><Relationship Id="rId100" Type="http://schemas.openxmlformats.org/officeDocument/2006/relationships/footer" Target="footer46.xml"/><Relationship Id="rId282" Type="http://schemas.openxmlformats.org/officeDocument/2006/relationships/header" Target="header132.xml"/><Relationship Id="rId338" Type="http://schemas.openxmlformats.org/officeDocument/2006/relationships/header" Target="header160.xml"/><Relationship Id="rId8" Type="http://schemas.openxmlformats.org/officeDocument/2006/relationships/header" Target="header2.xml"/><Relationship Id="rId142" Type="http://schemas.openxmlformats.org/officeDocument/2006/relationships/footer" Target="footer65.xml"/><Relationship Id="rId184" Type="http://schemas.openxmlformats.org/officeDocument/2006/relationships/header" Target="header87.xml"/><Relationship Id="rId391" Type="http://schemas.openxmlformats.org/officeDocument/2006/relationships/footer" Target="footer184.xml"/><Relationship Id="rId405" Type="http://schemas.openxmlformats.org/officeDocument/2006/relationships/image" Target="media/image2.jpeg"/><Relationship Id="rId447" Type="http://schemas.openxmlformats.org/officeDocument/2006/relationships/header" Target="header211.xml"/><Relationship Id="rId251" Type="http://schemas.openxmlformats.org/officeDocument/2006/relationships/footer" Target="footer118.xml"/><Relationship Id="rId46" Type="http://schemas.openxmlformats.org/officeDocument/2006/relationships/footer" Target="footer19.xml"/><Relationship Id="rId293" Type="http://schemas.openxmlformats.org/officeDocument/2006/relationships/header" Target="header137.xml"/><Relationship Id="rId307" Type="http://schemas.openxmlformats.org/officeDocument/2006/relationships/footer" Target="footer143.xml"/><Relationship Id="rId349" Type="http://schemas.openxmlformats.org/officeDocument/2006/relationships/header" Target="header165.xml"/><Relationship Id="rId88" Type="http://schemas.openxmlformats.org/officeDocument/2006/relationships/footer" Target="footer40.xml"/><Relationship Id="rId111" Type="http://schemas.openxmlformats.org/officeDocument/2006/relationships/header" Target="header51.xml"/><Relationship Id="rId153" Type="http://schemas.openxmlformats.org/officeDocument/2006/relationships/footer" Target="footer70.xml"/><Relationship Id="rId195" Type="http://schemas.openxmlformats.org/officeDocument/2006/relationships/header" Target="header92.xml"/><Relationship Id="rId209" Type="http://schemas.openxmlformats.org/officeDocument/2006/relationships/header" Target="header99.xml"/><Relationship Id="rId360" Type="http://schemas.openxmlformats.org/officeDocument/2006/relationships/header" Target="header170.xml"/><Relationship Id="rId416" Type="http://schemas.openxmlformats.org/officeDocument/2006/relationships/header" Target="header196.xml"/><Relationship Id="rId220" Type="http://schemas.openxmlformats.org/officeDocument/2006/relationships/header" Target="header105.xml"/><Relationship Id="rId15" Type="http://schemas.openxmlformats.org/officeDocument/2006/relationships/header" Target="header5.xml"/><Relationship Id="rId57" Type="http://schemas.openxmlformats.org/officeDocument/2006/relationships/header" Target="header25.xml"/><Relationship Id="rId262" Type="http://schemas.openxmlformats.org/officeDocument/2006/relationships/header" Target="header123.xml"/><Relationship Id="rId318" Type="http://schemas.openxmlformats.org/officeDocument/2006/relationships/footer" Target="footer149.xml"/><Relationship Id="rId99" Type="http://schemas.openxmlformats.org/officeDocument/2006/relationships/header" Target="header46.xml"/><Relationship Id="rId122" Type="http://schemas.openxmlformats.org/officeDocument/2006/relationships/footer" Target="footer55.xml"/><Relationship Id="rId164" Type="http://schemas.openxmlformats.org/officeDocument/2006/relationships/footer" Target="footer76.xml"/><Relationship Id="rId371" Type="http://schemas.openxmlformats.org/officeDocument/2006/relationships/footer" Target="footer174.xml"/><Relationship Id="rId427" Type="http://schemas.openxmlformats.org/officeDocument/2006/relationships/header" Target="header202.xml"/><Relationship Id="rId26" Type="http://schemas.openxmlformats.org/officeDocument/2006/relationships/header" Target="header11.xml"/><Relationship Id="rId231" Type="http://schemas.openxmlformats.org/officeDocument/2006/relationships/footer" Target="footer109.xml"/><Relationship Id="rId273" Type="http://schemas.openxmlformats.org/officeDocument/2006/relationships/header" Target="header128.xml"/><Relationship Id="rId329" Type="http://schemas.openxmlformats.org/officeDocument/2006/relationships/footer" Target="footer154.xml"/><Relationship Id="rId68" Type="http://schemas.openxmlformats.org/officeDocument/2006/relationships/header" Target="header31.xml"/><Relationship Id="rId133" Type="http://schemas.openxmlformats.org/officeDocument/2006/relationships/header" Target="header61.xml"/><Relationship Id="rId175" Type="http://schemas.openxmlformats.org/officeDocument/2006/relationships/header" Target="header82.xml"/><Relationship Id="rId340" Type="http://schemas.openxmlformats.org/officeDocument/2006/relationships/footer" Target="footer160.xml"/><Relationship Id="rId200" Type="http://schemas.openxmlformats.org/officeDocument/2006/relationships/footer" Target="footer94.xml"/><Relationship Id="rId382" Type="http://schemas.openxmlformats.org/officeDocument/2006/relationships/footer" Target="footer179.xml"/><Relationship Id="rId438" Type="http://schemas.openxmlformats.org/officeDocument/2006/relationships/header" Target="header207.xml"/><Relationship Id="rId242" Type="http://schemas.openxmlformats.org/officeDocument/2006/relationships/footer" Target="footer115.xml"/><Relationship Id="rId284" Type="http://schemas.openxmlformats.org/officeDocument/2006/relationships/footer" Target="footer132.xml"/><Relationship Id="rId37" Type="http://schemas.openxmlformats.org/officeDocument/2006/relationships/footer" Target="footer15.xml"/><Relationship Id="rId79" Type="http://schemas.openxmlformats.org/officeDocument/2006/relationships/header" Target="header36.xml"/><Relationship Id="rId102" Type="http://schemas.openxmlformats.org/officeDocument/2006/relationships/header" Target="header48.xml"/><Relationship Id="rId144" Type="http://schemas.openxmlformats.org/officeDocument/2006/relationships/header" Target="header67.xml"/><Relationship Id="rId90" Type="http://schemas.openxmlformats.org/officeDocument/2006/relationships/header" Target="header42.xml"/><Relationship Id="rId186" Type="http://schemas.openxmlformats.org/officeDocument/2006/relationships/footer" Target="footer87.xml"/><Relationship Id="rId351" Type="http://schemas.openxmlformats.org/officeDocument/2006/relationships/footer" Target="footer165.xml"/><Relationship Id="rId393" Type="http://schemas.openxmlformats.org/officeDocument/2006/relationships/header" Target="header186.xml"/><Relationship Id="rId407" Type="http://schemas.openxmlformats.org/officeDocument/2006/relationships/header" Target="header192.xml"/><Relationship Id="rId449" Type="http://schemas.openxmlformats.org/officeDocument/2006/relationships/footer" Target="footer211.xml"/><Relationship Id="rId211" Type="http://schemas.openxmlformats.org/officeDocument/2006/relationships/footer" Target="footer99.xml"/><Relationship Id="rId253" Type="http://schemas.openxmlformats.org/officeDocument/2006/relationships/hyperlink" Target="http://www.fda.gov/cber/whatsnew.htm" TargetMode="External"/><Relationship Id="rId295" Type="http://schemas.openxmlformats.org/officeDocument/2006/relationships/header" Target="header138.xml"/><Relationship Id="rId309" Type="http://schemas.openxmlformats.org/officeDocument/2006/relationships/header" Target="header145.xml"/><Relationship Id="rId48" Type="http://schemas.openxmlformats.org/officeDocument/2006/relationships/hyperlink" Target="http://www.immunize.org/laws" TargetMode="External"/><Relationship Id="rId113" Type="http://schemas.openxmlformats.org/officeDocument/2006/relationships/footer" Target="footer51.xml"/><Relationship Id="rId320" Type="http://schemas.openxmlformats.org/officeDocument/2006/relationships/header" Target="header151.xml"/><Relationship Id="rId155" Type="http://schemas.openxmlformats.org/officeDocument/2006/relationships/header" Target="header72.xml"/><Relationship Id="rId197" Type="http://schemas.openxmlformats.org/officeDocument/2006/relationships/header" Target="header93.xml"/><Relationship Id="rId362" Type="http://schemas.openxmlformats.org/officeDocument/2006/relationships/footer" Target="footer170.xml"/><Relationship Id="rId418" Type="http://schemas.openxmlformats.org/officeDocument/2006/relationships/footer" Target="footer196.xml"/><Relationship Id="rId222" Type="http://schemas.openxmlformats.org/officeDocument/2006/relationships/footer" Target="footer105.xml"/><Relationship Id="rId264" Type="http://schemas.openxmlformats.org/officeDocument/2006/relationships/footer" Target="footer123.xml"/><Relationship Id="rId17" Type="http://schemas.openxmlformats.org/officeDocument/2006/relationships/footer" Target="footer5.xml"/><Relationship Id="rId59" Type="http://schemas.openxmlformats.org/officeDocument/2006/relationships/footer" Target="footer25.xml"/><Relationship Id="rId124" Type="http://schemas.openxmlformats.org/officeDocument/2006/relationships/header" Target="header57.xml"/><Relationship Id="rId70" Type="http://schemas.openxmlformats.org/officeDocument/2006/relationships/footer" Target="footer31.xml"/><Relationship Id="rId166" Type="http://schemas.openxmlformats.org/officeDocument/2006/relationships/header" Target="header78.xml"/><Relationship Id="rId331" Type="http://schemas.openxmlformats.org/officeDocument/2006/relationships/header" Target="header156.xml"/><Relationship Id="rId373" Type="http://schemas.openxmlformats.org/officeDocument/2006/relationships/header" Target="header176.xml"/><Relationship Id="rId429" Type="http://schemas.openxmlformats.org/officeDocument/2006/relationships/footer" Target="footer202.xml"/><Relationship Id="rId1" Type="http://schemas.openxmlformats.org/officeDocument/2006/relationships/numbering" Target="numbering.xml"/><Relationship Id="rId233" Type="http://schemas.openxmlformats.org/officeDocument/2006/relationships/header" Target="header111.xml"/><Relationship Id="rId440" Type="http://schemas.openxmlformats.org/officeDocument/2006/relationships/footer" Target="footer207.xml"/><Relationship Id="rId28" Type="http://schemas.openxmlformats.org/officeDocument/2006/relationships/footer" Target="footer11.xml"/><Relationship Id="rId275" Type="http://schemas.openxmlformats.org/officeDocument/2006/relationships/footer" Target="footer128.xml"/><Relationship Id="rId300" Type="http://schemas.openxmlformats.org/officeDocument/2006/relationships/footer" Target="footer140.xml"/><Relationship Id="rId81" Type="http://schemas.openxmlformats.org/officeDocument/2006/relationships/footer" Target="footer36.xml"/><Relationship Id="rId135" Type="http://schemas.openxmlformats.org/officeDocument/2006/relationships/footer" Target="footer61.xml"/><Relationship Id="rId177" Type="http://schemas.openxmlformats.org/officeDocument/2006/relationships/footer" Target="footer82.xml"/><Relationship Id="rId342" Type="http://schemas.openxmlformats.org/officeDocument/2006/relationships/footer" Target="footer161.xml"/><Relationship Id="rId384" Type="http://schemas.openxmlformats.org/officeDocument/2006/relationships/header" Target="header181.xml"/><Relationship Id="rId202" Type="http://schemas.openxmlformats.org/officeDocument/2006/relationships/footer" Target="footer95.xml"/><Relationship Id="rId244" Type="http://schemas.openxmlformats.org/officeDocument/2006/relationships/hyperlink" Target="http://www.cjdsurveillance.com" TargetMode="External"/><Relationship Id="rId39" Type="http://schemas.openxmlformats.org/officeDocument/2006/relationships/footer" Target="footer16.xml"/><Relationship Id="rId286" Type="http://schemas.openxmlformats.org/officeDocument/2006/relationships/header" Target="header134.xml"/><Relationship Id="rId451"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mailto:SEARCH@cdc.gov" TargetMode="External"/><Relationship Id="rId2" Type="http://schemas.openxmlformats.org/officeDocument/2006/relationships/hyperlink" Target="http://www.hivatis.org" TargetMode="External"/><Relationship Id="rId1" Type="http://schemas.openxmlformats.org/officeDocument/2006/relationships/hyperlink" Target="http://www.cdc.gov/travel/malinfo.htm" TargetMode="External"/><Relationship Id="rId4" Type="http://schemas.openxmlformats.org/officeDocument/2006/relationships/hyperlink" Target="http://www.cdc.gov/ncidod/hip/default.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132791</Words>
  <Characters>731681</Characters>
  <Application>Microsoft Office Word</Application>
  <DocSecurity>0</DocSecurity>
  <Lines>13065</Lines>
  <Paragraphs>4237</Paragraphs>
  <ScaleCrop>false</ScaleCrop>
  <Company/>
  <LinksUpToDate>false</LinksUpToDate>
  <CharactersWithSpaces>860235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Nicu Tata</dc:creator>
  <cp:keywords/>
  <dc:description/>
  <cp:lastModifiedBy>Nicu Tata</cp:lastModifiedBy>
  <cp:revision>1</cp:revision>
  <dcterms:created xsi:type="dcterms:W3CDTF">2026-05-03T19:08:00Z</dcterms:created>
  <dcterms:modified xsi:type="dcterms:W3CDTF">2026-05-03T19:08:00Z</dcterms:modified>
</cp:coreProperties>
</file>