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Monte Carlo malla hexagonal (d = 45 m)</w:t>
      </w:r>
    </w:p>
    <w:p>
      <w:r>
        <w:t>Ensayos Monte Carlo: 1000</w:t>
      </w:r>
    </w:p>
    <w:p>
      <w:r>
        <w:t>Ángulo óptimo (grados): 41.93</w:t>
      </w:r>
    </w:p>
    <w:p>
      <w:r>
        <w:t>Offset óptimo: 43.42, 9.98</w:t>
      </w:r>
    </w:p>
    <w:p>
      <w:r>
        <w:t>Total de puntos dentro: 23</w:t>
      </w:r>
    </w:p>
    <w:p>
      <w:r>
        <w:t>Polígono y origen:</w:t>
      </w:r>
    </w:p>
    <w:p>
      <w:r>
        <w:drawing>
          <wp:inline xmlns:a="http://schemas.openxmlformats.org/drawingml/2006/main" xmlns:pic="http://schemas.openxmlformats.org/drawingml/2006/picture">
            <wp:extent cx="5040000" cy="4365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ejor_ori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Puntos dentro del polígono:</w:t>
      </w:r>
    </w:p>
    <w:p>
      <w:r>
        <w:drawing>
          <wp:inline xmlns:a="http://schemas.openxmlformats.org/drawingml/2006/main" xmlns:pic="http://schemas.openxmlformats.org/drawingml/2006/picture">
            <wp:extent cx="5040000" cy="4371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ejor_pu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71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