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04" w:line="256" w:lineRule="auto"/>
        <w:ind w:left="-5" w:right="-9"/>
        <w:jc w:val="both"/>
      </w:pPr>
      <w:r>
        <w:rPr>
          <w:rFonts w:ascii="Arial" w:eastAsia="Arial" w:hAnsi="Arial" w:cs="Arial"/>
          <w:sz w:val="22"/>
          <w:szCs w:val="22"/>
        </w:rPr>
        <w:t xml:space="preserve">This appendix sets out the benefits SkyDrive delivers and, addressing assessment feedback, makes explicit the line of sight from the project's component-level results to aircraft-level and fleet-level benefit, then quantifies the environmental, economic and strategic value to the UK. The figures used here are consistent with the rest of the application.</w:t>
      </w:r>
    </w:p>
    <w:p>
      <w:pPr>
        <w:spacing w:before="130" w:after="60" w:line="240" w:lineRule="auto"/>
        <w:jc w:val="center"/>
      </w:pPr>
      <w:r>
        <w:rPr>
          <w:rFonts w:ascii="Arial" w:hAnsi="Arial" w:cs="Arial"/>
          <w:b/>
          <w:color w:val="00508B"/>
          <w:sz w:val="19"/>
        </w:rPr>
        <w:t xml:space="preserve">Table 1. </w:t>
      </w:r>
      <w:r>
        <w:rPr>
          <w:rFonts w:ascii="Arial" w:hAnsi="Arial" w:cs="Arial"/>
          <w:color w:val="00508B"/>
          <w:sz w:val="19"/>
        </w:rPr>
        <w:t xml:space="preserve">Benefits at a glance, with the source of each in this appendix</w:t>
      </w:r>
    </w:p>
    <w:tbl>
      <w:tblPr>
        <w:tblStyle w:val="TableGrid"/>
        <w:tblW w:w="10204" w:type="dxa"/>
        <w:tblInd w:w="0" w:type="dxa"/>
        <w:tblCellMar>
          <w:top w:w="10" w:type="dxa"/>
          <w:right w:w="83" w:type="dxa"/>
        </w:tblCellMar>
        <w:tblLook w:val="04A0" w:firstRow="1" w:lastRow="0" w:firstColumn="1" w:lastColumn="0" w:noHBand="0" w:noVBand="1"/>
      </w:tblPr>
      <w:tblGrid>
        <w:gridCol w:w="1900"/>
        <w:gridCol w:w="5050"/>
        <w:gridCol w:w="3254"/>
      </w:tblGrid>
      <w:tr>
        <w:trPr>
          <w:cantSplit/>
          <w:trHeight w:val="340"/>
        </w:trPr>
        <w:tc>
          <w:tcPr>
            <w:tcW w:w="1900" w:type="dxa"/>
            <w:tcBorders>
              <w:top w:val="single" w:sz="6" w:space="0" w:color="000000"/>
              <w:left w:val="nil"/>
              <w:bottom w:val="single" w:sz="6" w:space="0" w:color="000000"/>
              <w:right w:val="nil"/>
            </w:tcBorders>
            <w:shd w:val="clear" w:color="auto" w:fill="00B050"/>
          </w:tcPr>
          <w:p>
            <w:pPr>
              <w:spacing w:before="20" w:after="20" w:line="240" w:lineRule="auto"/>
              <w:ind w:left="70" w:right="50"/>
              <w:jc w:val="left"/>
            </w:pPr>
            <w:r>
              <w:rPr>
                <w:rFonts w:ascii="Arial" w:hAnsi="Arial" w:cs="Arial"/>
                <w:b/>
                <w:color w:val="FFFFFF"/>
                <w:sz w:val="20"/>
              </w:rPr>
              <w:t xml:space="preserve">Benefit</w:t>
            </w:r>
          </w:p>
        </w:tc>
        <w:tc>
          <w:tcPr>
            <w:tcW w:w="5050" w:type="dxa"/>
            <w:tcBorders>
              <w:top w:val="single" w:sz="6" w:space="0" w:color="000000"/>
              <w:left w:val="nil"/>
              <w:bottom w:val="single" w:sz="6" w:space="0" w:color="000000"/>
              <w:right w:val="nil"/>
            </w:tcBorders>
            <w:shd w:val="clear" w:color="auto" w:fill="00B050"/>
          </w:tcPr>
          <w:p>
            <w:pPr>
              <w:spacing w:before="20" w:after="20" w:line="240" w:lineRule="auto"/>
              <w:ind w:left="70" w:right="50"/>
              <w:jc w:val="left"/>
            </w:pPr>
            <w:r>
              <w:rPr>
                <w:rFonts w:ascii="Arial" w:hAnsi="Arial" w:cs="Arial"/>
                <w:b/>
                <w:color w:val="FFFFFF"/>
                <w:sz w:val="20"/>
              </w:rPr>
              <w:t xml:space="preserve">Headline outcome</w:t>
            </w:r>
          </w:p>
        </w:tc>
        <w:tc>
          <w:tcPr>
            <w:tcW w:w="3254" w:type="dxa"/>
            <w:tcBorders>
              <w:top w:val="single" w:sz="6" w:space="0" w:color="000000"/>
              <w:left w:val="nil"/>
              <w:bottom w:val="single" w:sz="6" w:space="0" w:color="000000"/>
              <w:right w:val="nil"/>
            </w:tcBorders>
            <w:shd w:val="clear" w:color="auto" w:fill="00B050"/>
          </w:tcPr>
          <w:p>
            <w:pPr>
              <w:spacing w:before="20" w:after="20" w:line="240" w:lineRule="auto"/>
              <w:ind w:left="70" w:right="50"/>
              <w:jc w:val="left"/>
            </w:pPr>
            <w:r>
              <w:rPr>
                <w:rFonts w:ascii="Arial" w:hAnsi="Arial" w:cs="Arial"/>
                <w:b/>
                <w:color w:val="FFFFFF"/>
                <w:sz w:val="20"/>
              </w:rPr>
              <w:t xml:space="preserve">Where it comes from</w:t>
            </w:r>
          </w:p>
        </w:tc>
      </w:tr>
      <w:tr>
        <w:trPr>
          <w:cantSplit/>
        </w:trPr>
        <w:tc>
          <w:tcPr>
            <w:tcW w:w="1900" w:type="dxa"/>
            <w:tcBorders>
              <w:top w:val="single" w:sz="6" w:space="0" w:color="000000"/>
              <w:left w:val="nil"/>
              <w:bottom w:val="single" w:sz="6" w:space="0" w:color="000000"/>
              <w:right w:val="nil"/>
            </w:tcBorders>
          </w:tcPr>
          <w:p>
            <w:pPr>
              <w:spacing w:before="20" w:after="20" w:line="240" w:lineRule="auto"/>
              <w:ind w:left="70" w:right="50"/>
              <w:jc w:val="left"/>
            </w:pPr>
            <w:r>
              <w:rPr>
                <w:rFonts w:ascii="Arial" w:hAnsi="Arial" w:cs="Arial"/>
                <w:sz w:val="20"/>
              </w:rPr>
              <w:t xml:space="preserve">Aircraft-level</w:t>
            </w:r>
          </w:p>
        </w:tc>
        <w:tc>
          <w:tcPr>
            <w:tcW w:w="5050" w:type="dxa"/>
            <w:tcBorders>
              <w:top w:val="single" w:sz="6" w:space="0" w:color="000000"/>
              <w:left w:val="nil"/>
              <w:bottom w:val="single" w:sz="6" w:space="0" w:color="000000"/>
              <w:right w:val="nil"/>
            </w:tcBorders>
          </w:tcPr>
          <w:p>
            <w:pPr>
              <w:spacing w:before="20" w:after="20" w:line="240" w:lineRule="auto"/>
              <w:ind w:left="70" w:right="50"/>
              <w:jc w:val="left"/>
            </w:pPr>
            <w:r>
              <w:rPr>
                <w:rFonts w:ascii="Arial" w:hAnsi="Arial" w:cs="Arial"/>
                <w:sz w:val="20"/>
              </w:rPr>
              <w:t xml:space="preserve">30 to 80 versus 150 to 200 gCO₂ per passenger-km; extended range or payload</w:t>
            </w:r>
          </w:p>
        </w:tc>
        <w:tc>
          <w:tcPr>
            <w:tcW w:w="3254" w:type="dxa"/>
            <w:tcBorders>
              <w:top w:val="single" w:sz="6" w:space="0" w:color="000000"/>
              <w:left w:val="nil"/>
              <w:bottom w:val="single" w:sz="6" w:space="0" w:color="000000"/>
              <w:right w:val="nil"/>
            </w:tcBorders>
          </w:tcPr>
          <w:p>
            <w:pPr>
              <w:spacing w:before="20" w:after="20" w:line="240" w:lineRule="auto"/>
              <w:ind w:left="70" w:right="50"/>
              <w:jc w:val="left"/>
            </w:pPr>
            <w:r>
              <w:rPr>
                <w:rFonts w:ascii="Arial" w:hAnsi="Arial" w:cs="Arial"/>
                <w:sz w:val="20"/>
              </w:rPr>
              <w:t xml:space="preserve">Efficiency above 97% and mass above 15 kW/kg (Section 7.1)</w:t>
            </w:r>
          </w:p>
        </w:tc>
      </w:tr>
      <w:tr>
        <w:trPr>
          <w:cantSplit/>
        </w:trPr>
        <w:tc>
          <w:tcPr>
            <w:tcW w:w="1900" w:type="dxa"/>
            <w:tcBorders>
              <w:top w:val="single" w:sz="6" w:space="0" w:color="000000"/>
              <w:left w:val="nil"/>
              <w:bottom w:val="single" w:sz="6" w:space="0" w:color="000000"/>
              <w:right w:val="nil"/>
            </w:tcBorders>
          </w:tcPr>
          <w:p>
            <w:pPr>
              <w:spacing w:before="20" w:after="20" w:line="240" w:lineRule="auto"/>
              <w:ind w:left="70" w:right="50"/>
              <w:jc w:val="left"/>
            </w:pPr>
            <w:r>
              <w:rPr>
                <w:rFonts w:ascii="Arial" w:hAnsi="Arial" w:cs="Arial"/>
                <w:sz w:val="20"/>
              </w:rPr>
              <w:t xml:space="preserve">Environmental, fleet</w:t>
            </w:r>
          </w:p>
        </w:tc>
        <w:tc>
          <w:tcPr>
            <w:tcW w:w="5050" w:type="dxa"/>
            <w:tcBorders>
              <w:top w:val="single" w:sz="6" w:space="0" w:color="000000"/>
              <w:left w:val="nil"/>
              <w:bottom w:val="single" w:sz="6" w:space="0" w:color="000000"/>
              <w:right w:val="nil"/>
            </w:tcBorders>
          </w:tcPr>
          <w:p>
            <w:pPr>
              <w:spacing w:before="20" w:after="20" w:line="240" w:lineRule="auto"/>
              <w:ind w:left="70" w:right="50"/>
              <w:jc w:val="left"/>
            </w:pPr>
            <w:r>
              <w:rPr>
                <w:rFonts w:ascii="Arial" w:hAnsi="Arial" w:cs="Arial"/>
                <w:sz w:val="20"/>
              </w:rPr>
              <w:t xml:space="preserve">Over 400,000 tCO₂ a year abated by 2040; about 900 t per 100 kW unit</w:t>
            </w:r>
          </w:p>
        </w:tc>
        <w:tc>
          <w:tcPr>
            <w:tcW w:w="3254" w:type="dxa"/>
            <w:tcBorders>
              <w:top w:val="single" w:sz="6" w:space="0" w:color="000000"/>
              <w:left w:val="nil"/>
              <w:bottom w:val="single" w:sz="6" w:space="0" w:color="000000"/>
              <w:right w:val="nil"/>
            </w:tcBorders>
          </w:tcPr>
          <w:p>
            <w:pPr>
              <w:spacing w:before="20" w:after="20" w:line="240" w:lineRule="auto"/>
              <w:ind w:left="70" w:right="50"/>
              <w:jc w:val="left"/>
            </w:pPr>
            <w:r>
              <w:rPr>
                <w:rFonts w:ascii="Arial" w:hAnsi="Arial" w:cs="Arial"/>
                <w:sz w:val="20"/>
              </w:rPr>
              <w:t xml:space="preserve">5% short-haul capture; per unit at 1,000 flight hours (7.2)</w:t>
            </w:r>
          </w:p>
        </w:tc>
      </w:tr>
      <w:tr>
        <w:trPr>
          <w:cantSplit/>
        </w:trPr>
        <w:tc>
          <w:tcPr>
            <w:tcW w:w="1900" w:type="dxa"/>
            <w:tcBorders>
              <w:top w:val="single" w:sz="6" w:space="0" w:color="000000"/>
              <w:left w:val="nil"/>
              <w:bottom w:val="single" w:sz="6" w:space="0" w:color="000000"/>
              <w:right w:val="nil"/>
            </w:tcBorders>
          </w:tcPr>
          <w:p>
            <w:pPr>
              <w:spacing w:before="20" w:after="20" w:line="240" w:lineRule="auto"/>
              <w:ind w:left="70" w:right="50"/>
              <w:jc w:val="left"/>
            </w:pPr>
            <w:r>
              <w:rPr>
                <w:rFonts w:ascii="Arial" w:hAnsi="Arial" w:cs="Arial"/>
                <w:sz w:val="20"/>
              </w:rPr>
              <w:t xml:space="preserve">Economic</w:t>
            </w:r>
          </w:p>
        </w:tc>
        <w:tc>
          <w:tcPr>
            <w:tcW w:w="5050" w:type="dxa"/>
            <w:tcBorders>
              <w:top w:val="single" w:sz="6" w:space="0" w:color="000000"/>
              <w:left w:val="nil"/>
              <w:bottom w:val="single" w:sz="6" w:space="0" w:color="000000"/>
              <w:right w:val="nil"/>
            </w:tcBorders>
          </w:tcPr>
          <w:p>
            <w:pPr>
              <w:spacing w:before="20" w:after="20" w:line="240" w:lineRule="auto"/>
              <w:ind w:left="70" w:right="50"/>
              <w:jc w:val="left"/>
            </w:pPr>
            <w:r>
              <w:rPr>
                <w:rFonts w:ascii="Arial" w:hAnsi="Arial" w:cs="Arial"/>
                <w:sz w:val="20"/>
              </w:rPr>
              <w:t xml:space="preserve">Around 1,220 UK jobs and £268m revenue by 2040; £37m reinvested</w:t>
            </w:r>
          </w:p>
        </w:tc>
        <w:tc>
          <w:tcPr>
            <w:tcW w:w="3254" w:type="dxa"/>
            <w:tcBorders>
              <w:top w:val="single" w:sz="6" w:space="0" w:color="000000"/>
              <w:left w:val="nil"/>
              <w:bottom w:val="single" w:sz="6" w:space="0" w:color="000000"/>
              <w:right w:val="nil"/>
            </w:tcBorders>
          </w:tcPr>
          <w:p>
            <w:pPr>
              <w:spacing w:before="20" w:after="20" w:line="240" w:lineRule="auto"/>
              <w:ind w:left="70" w:right="50"/>
              <w:jc w:val="left"/>
            </w:pPr>
            <w:r>
              <w:rPr>
                <w:rFonts w:ascii="Arial" w:hAnsi="Arial" w:cs="Arial"/>
                <w:sz w:val="20"/>
              </w:rPr>
              <w:t xml:space="preserve">Lean model with ONS multiplier 1.72; export-led (7.3)</w:t>
            </w:r>
          </w:p>
        </w:tc>
      </w:tr>
      <w:tr>
        <w:trPr>
          <w:cantSplit/>
        </w:trPr>
        <w:tc>
          <w:tcPr>
            <w:tcW w:w="1900" w:type="dxa"/>
            <w:tcBorders>
              <w:top w:val="single" w:sz="6" w:space="0" w:color="000000"/>
              <w:left w:val="nil"/>
              <w:bottom w:val="single" w:sz="6" w:space="0" w:color="000000"/>
              <w:right w:val="nil"/>
            </w:tcBorders>
          </w:tcPr>
          <w:p>
            <w:pPr>
              <w:spacing w:before="20" w:after="20" w:line="240" w:lineRule="auto"/>
              <w:ind w:left="70" w:right="50"/>
              <w:jc w:val="left"/>
            </w:pPr>
            <w:r>
              <w:rPr>
                <w:rFonts w:ascii="Arial" w:hAnsi="Arial" w:cs="Arial"/>
                <w:sz w:val="20"/>
              </w:rPr>
              <w:t xml:space="preserve">Strategic</w:t>
            </w:r>
          </w:p>
        </w:tc>
        <w:tc>
          <w:tcPr>
            <w:tcW w:w="5050" w:type="dxa"/>
            <w:tcBorders>
              <w:top w:val="single" w:sz="6" w:space="0" w:color="000000"/>
              <w:left w:val="nil"/>
              <w:bottom w:val="single" w:sz="6" w:space="0" w:color="000000"/>
              <w:right w:val="nil"/>
            </w:tcBorders>
          </w:tcPr>
          <w:p>
            <w:pPr>
              <w:spacing w:before="20" w:after="20" w:line="240" w:lineRule="auto"/>
              <w:ind w:left="70" w:right="50"/>
              <w:jc w:val="left"/>
            </w:pPr>
            <w:r>
              <w:rPr>
                <w:rFonts w:ascii="Arial" w:hAnsi="Arial" w:cs="Arial"/>
                <w:sz w:val="20"/>
              </w:rPr>
              <w:t xml:space="preserve">Sovereign UK propulsion capability, at TRL6 by around 2029</w:t>
            </w:r>
          </w:p>
        </w:tc>
        <w:tc>
          <w:tcPr>
            <w:tcW w:w="3254" w:type="dxa"/>
            <w:tcBorders>
              <w:top w:val="single" w:sz="6" w:space="0" w:color="000000"/>
              <w:left w:val="nil"/>
              <w:bottom w:val="single" w:sz="6" w:space="0" w:color="000000"/>
              <w:right w:val="nil"/>
            </w:tcBorders>
          </w:tcPr>
          <w:p>
            <w:pPr>
              <w:spacing w:before="20" w:after="20" w:line="240" w:lineRule="auto"/>
              <w:ind w:left="70" w:right="50"/>
              <w:jc w:val="left"/>
            </w:pPr>
            <w:r>
              <w:rPr>
                <w:rFonts w:ascii="Arial" w:hAnsi="Arial" w:cs="Arial"/>
                <w:sz w:val="20"/>
              </w:rPr>
              <w:t xml:space="preserve">ATI Zero-Carbon priorities, ahead of the ~2030 point (7.5)</w:t>
            </w:r>
          </w:p>
        </w:tc>
      </w:tr>
    </w:tbl>
    <w:p>
      <w:pPr>
        <w:spacing w:before="168" w:after="104" w:line="256" w:lineRule="auto"/>
        <w:ind w:left="-5" w:right="-9"/>
        <w:jc w:val="both"/>
      </w:pPr>
      <w:r>
        <w:rPr>
          <w:rFonts w:ascii="Arial" w:eastAsia="Arial" w:hAnsi="Arial" w:cs="Arial"/>
          <w:sz w:val="22"/>
          <w:szCs w:val="22"/>
          <w:b/>
          <w:color w:val="000000" w:themeColor="text1"/>
        </w:rPr>
        <w:t xml:space="preserve">7.1. Line of Sight and Scalability, from Component Performance to Aircraft-Level Benefit: </w:t>
      </w:r>
      <w:r>
        <w:rPr>
          <w:rFonts w:ascii="Arial" w:eastAsia="Arial" w:hAnsi="Arial" w:cs="Arial"/>
          <w:sz w:val="22"/>
          <w:szCs w:val="22"/>
        </w:rPr>
        <w:t xml:space="preserve">A central recommendation from assessment was to show how the targeted component improvements unlock the aircraft-level benefits stated in the application. The two levers are efficiency and mass (Figure 1). At over 97% system efficiency (motor at or above 96%, inverter at or above 98%), electrical losses through the powertrain are materially reduced, lowering the energy and, in hybrid configurations, the fuel required for a given mission. Against a representative incumbent integrated drive at around 95% system efficiency, which is about 5% loss, SkyDrive operating above 97% cuts loss to under 3%, a reduction in energy loss of the order of 40%, which is the figure stated in the application, with a correspondingly lower fuel burn in hybrid operation. At over 15 kW/kg active-material density and over 1.5 kW/kg at system level, the installation is substantially lighter than incumbent equivalents, and on weight-critical regional and sub-regional aircraft each kilogramme removed from the powertrain is returned to payload or battery energy, improving range and payload fraction. These map to concrete aircraft-level outcomes: approximately 900 tonnes of CO₂ saved per 100 kW unit each year, an intensity of 30 to 80 gCO₂ per passenger-kilometre against 150 to 200 for an equivalent turboprop, and extended range or payload on the short sectors that define early commercial viability. As an illustration, on a representative 100 kW, 100 kWh installation the combined efficiency and mass gains save around 47 kg against the current state of the art, which, redirected to battery capacity or payload, delivers 10 to 15% more range or useful load. The same fault-tolerant architecture is the basis for scaling to higher power: the power-electronics topology, the control and functional-safety framework and the thermal approach are reused across power levels, while the magnetic circuit, switch count and cooling are re-sized for each step (100 kW, then 250 to 500 kW, then MW-class), giving an engineered route to the higher-power regional and single-aisle hybrid propulsion that delivers the largest fleet benefit.</w:t>
      </w:r>
    </w:p>
    <w:p>
      <w:pPr>
        <w:spacing w:before="70" w:after="18"/>
        <w:jc w:val="center"/>
      </w:pPr>
      <w:r>
        <w:rPr>
          <w:noProof/>
        </w:rPr>
        <w:drawing>
          <wp:inline distT="0" distB="0" distL="0" distR="0">
            <wp:extent cx="6300000" cy="3150000"/>
            <wp:effectExtent l="0" t="0" r="0" b="0"/>
            <wp:docPr id="91" name="Figure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g91.png"/>
                    <pic:cNvPicPr/>
                  </pic:nvPicPr>
                  <pic:blipFill>
                    <a:blip r:embed="rId22"/>
                    <a:stretch>
                      <a:fillRect/>
                    </a:stretch>
                  </pic:blipFill>
                  <pic:spPr>
                    <a:xfrm>
                      <a:off x="0" y="0"/>
                      <a:ext cx="6300000" cy="3150000"/>
                    </a:xfrm>
                    <a:prstGeom prst="rect">
                      <a:avLst/>
                    </a:prstGeom>
                  </pic:spPr>
                </pic:pic>
              </a:graphicData>
            </a:graphic>
          </wp:inline>
        </w:drawing>
      </w:r>
    </w:p>
    <w:p>
      <w:pPr>
        <w:spacing w:before="18" w:after="70" w:line="240" w:lineRule="auto"/>
        <w:jc w:val="center"/>
      </w:pPr>
      <w:r>
        <w:rPr>
          <w:rFonts w:ascii="Arial" w:hAnsi="Arial" w:cs="Arial"/>
          <w:i/>
          <w:color w:val="404040"/>
          <w:sz w:val="19"/>
        </w:rPr>
        <w:t xml:space="preserve">Figure 1. Line of sight from validated component performance, through the efficiency and mass levers, to aircraft-level and fleet benefit.</w:t>
      </w:r>
    </w:p>
    <w:p>
      <w:pPr>
        <w:spacing w:before="168" w:after="104" w:line="256" w:lineRule="auto"/>
        <w:ind w:left="-5" w:right="-9"/>
        <w:jc w:val="both"/>
      </w:pPr>
      <w:r>
        <w:rPr>
          <w:rFonts w:ascii="Arial" w:eastAsia="Arial" w:hAnsi="Arial" w:cs="Arial"/>
          <w:sz w:val="22"/>
          <w:szCs w:val="22"/>
          <w:b/>
          <w:color w:val="000000" w:themeColor="text1"/>
        </w:rPr>
        <w:t xml:space="preserve">7.2. Environmental and Fleet-Level Benefits: </w:t>
      </w:r>
      <w:r>
        <w:rPr>
          <w:rFonts w:ascii="Arial" w:eastAsia="Arial" w:hAnsi="Arial" w:cs="Arial"/>
          <w:sz w:val="22"/>
          <w:szCs w:val="22"/>
        </w:rPr>
        <w:t xml:space="preserve">Electrification of propulsion delivers a step change in aircraft emissions, and SkyDrive provides the powertrain that makes it certifiable (Figure 2). At unit level, a 100 kW SkyDrive replacing a turboshaft of comparable duty saves approximately 900 tonnes of CO₂ a year at 1,000 flight hours. At fleet level, capturing around 5% of the short-haul market would abate more than 400,000 tonnes of CO₂ a year by 2040. Per-mission intensity falls from roughly 150 to 200 gCO₂ per passenger-kilometre for a turboprop to 30 to 80 for an electric commuter, and lifecycle emissions shift from the ten-thousand-plus tonnes a fossil regional aircraft emits over its life, dominated by fuel, to a few hundred tonnes dominated by manufacture. Per flight hour, a small electric aircraft emits a few tens of kilogrammes of CO₂ against roughly 0.2 to 0.5 tonnes for a comparable turboprop. Electric operation also reduces airport noise by approximately 10 to 15 dB and eliminates NOx at the point of use. Social benefits follow: skilled regional jobs in the Midlands and South-East aerospace clusters, STEM engagement through UCL-led PhD and MSc training, and public confidence in greener aviation built through demonstrator flights. These outcomes align directly with the Jet Zero strategy and the UK's Net Zero 2050 commitment.</w:t>
      </w:r>
    </w:p>
    <w:p>
      <w:pPr>
        <w:spacing w:before="70" w:after="18"/>
        <w:jc w:val="center"/>
      </w:pPr>
      <w:r>
        <w:rPr>
          <w:noProof/>
        </w:rPr>
        <w:drawing>
          <wp:inline distT="0" distB="0" distL="0" distR="0">
            <wp:extent cx="6300000" cy="2767000"/>
            <wp:effectExtent l="0" t="0" r="0" b="0"/>
            <wp:docPr id="92" name="Figure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g92.png"/>
                    <pic:cNvPicPr/>
                  </pic:nvPicPr>
                  <pic:blipFill>
                    <a:blip r:embed="rId23"/>
                    <a:stretch>
                      <a:fillRect/>
                    </a:stretch>
                  </pic:blipFill>
                  <pic:spPr>
                    <a:xfrm>
                      <a:off x="0" y="0"/>
                      <a:ext cx="6300000" cy="2767000"/>
                    </a:xfrm>
                    <a:prstGeom prst="rect">
                      <a:avLst/>
                    </a:prstGeom>
                  </pic:spPr>
                </pic:pic>
              </a:graphicData>
            </a:graphic>
          </wp:inline>
        </w:drawing>
      </w:r>
    </w:p>
    <w:p>
      <w:pPr>
        <w:spacing w:before="18" w:after="70" w:line="240" w:lineRule="auto"/>
        <w:jc w:val="center"/>
      </w:pPr>
      <w:r>
        <w:rPr>
          <w:rFonts w:ascii="Arial" w:hAnsi="Arial" w:cs="Arial"/>
          <w:i/>
          <w:color w:val="404040"/>
          <w:sz w:val="19"/>
        </w:rPr>
        <w:t xml:space="preserve">Figure 2. Aircraft CO₂ intensity, electric and hybrid versus conventional, across the classes SkyDrive's propulsion addresses.</w:t>
      </w:r>
    </w:p>
    <w:p>
      <w:pPr>
        <w:spacing w:before="168" w:after="104" w:line="256" w:lineRule="auto"/>
        <w:ind w:left="-5" w:right="-9"/>
        <w:jc w:val="both"/>
      </w:pPr>
      <w:r>
        <w:rPr>
          <w:rFonts w:ascii="Arial" w:eastAsia="Arial" w:hAnsi="Arial" w:cs="Arial"/>
          <w:sz w:val="22"/>
          <w:szCs w:val="22"/>
          <w:b/>
          <w:color w:val="000000" w:themeColor="text1"/>
        </w:rPr>
        <w:t xml:space="preserve">7.3. Economic Benefits, Investment, Jobs and Revenue: </w:t>
      </w:r>
      <w:r>
        <w:rPr>
          <w:rFonts w:ascii="Arial" w:eastAsia="Arial" w:hAnsi="Arial" w:cs="Arial"/>
          <w:sz w:val="22"/>
          <w:szCs w:val="22"/>
        </w:rPr>
        <w:t xml:space="preserve">SkyDrive is an R&amp;D programme of approximately £1.9m over three years that de-risks the propulsion subsystem ahead of industrialisation, and no capital is sought in the ATI application. The project is part-funded by approximately £0.42m of industrial match funding, evidencing commercial commitment and risk-sharing. Post-project industrialisation and certification over 2029 to 2032 is estimated at £37m, front-loaded in capital equipment such as test rigs, automated motor winding, inverter assembly lines and aerospace-grade thermal facilities, with operating expenditure rising as production scales and a continuing tail of certification spend (Figure 3).</w:t>
      </w:r>
    </w:p>
    <w:p>
      <w:pPr>
        <w:spacing w:before="70" w:after="18"/>
        <w:jc w:val="center"/>
      </w:pPr>
      <w:r>
        <w:rPr>
          <w:noProof/>
        </w:rPr>
        <w:drawing>
          <wp:inline distT="0" distB="0" distL="0" distR="0">
            <wp:extent cx="6300000" cy="2767000"/>
            <wp:effectExtent l="0" t="0" r="0" b="0"/>
            <wp:docPr id="93" name="Figure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g93.png"/>
                    <pic:cNvPicPr/>
                  </pic:nvPicPr>
                  <pic:blipFill>
                    <a:blip r:embed="rId24"/>
                    <a:stretch>
                      <a:fillRect/>
                    </a:stretch>
                  </pic:blipFill>
                  <pic:spPr>
                    <a:xfrm>
                      <a:off x="0" y="0"/>
                      <a:ext cx="6300000" cy="2767000"/>
                    </a:xfrm>
                    <a:prstGeom prst="rect">
                      <a:avLst/>
                    </a:prstGeom>
                  </pic:spPr>
                </pic:pic>
              </a:graphicData>
            </a:graphic>
          </wp:inline>
        </w:drawing>
      </w:r>
    </w:p>
    <w:p>
      <w:pPr>
        <w:spacing w:before="18" w:after="70" w:line="240" w:lineRule="auto"/>
        <w:jc w:val="center"/>
      </w:pPr>
      <w:r>
        <w:rPr>
          <w:rFonts w:ascii="Arial" w:hAnsi="Arial" w:cs="Arial"/>
          <w:i/>
          <w:color w:val="404040"/>
          <w:sz w:val="19"/>
        </w:rPr>
        <w:t xml:space="preserve">Figure 3. Post-project industrialisation and certification investment, 2029 to 2032 (£37m total), by category and year.</w:t>
      </w:r>
    </w:p>
    <w:p>
      <w:pPr>
        <w:spacing w:before="0" w:after="104" w:line="256" w:lineRule="auto"/>
        <w:ind w:left="-5" w:right="-9"/>
        <w:jc w:val="both"/>
      </w:pPr>
      <w:r>
        <w:rPr>
          <w:rFonts w:ascii="Arial" w:eastAsia="Arial" w:hAnsi="Arial" w:cs="Arial"/>
          <w:sz w:val="22"/>
          <w:szCs w:val="22"/>
        </w:rPr>
        <w:t xml:space="preserve">Employment is created across the consortium and its supply chain. The consortium operates a lean design-and-integration model, retaining design authority, final assembly, test and aftermarket while placing volume component manufacture with the UK supply chain, so the partners' own headcount stays modest while the supply chain carries the volume. On this basis direct UK employment is built bottom-up to approximately 450 by 2040 (iNetic around 280, ARC around 150, UCL around 20), and the ONS aerospace employment multiplier of 1.72 adds approximately 770 indirect roles, taking total UK employment to around 1,220 (Figure 4). The roles span power-electronics and systems engineering, test and validation, certification, manufacturing and aftermarket, concentrated in the Midlands and South-East aerospace clusters. Commercial revenue is forecast to grow to approximately £130m by 2036 and £268m by 2040, of which around £200m a year is export. Set against the ATI contribution of approximately £1.50m, the return is substantial: on the ATI's estimate every £1 of aerospace R&amp;D leverages around £14 of whole-economy output.</w:t>
      </w:r>
    </w:p>
    <w:p>
      <w:pPr>
        <w:spacing w:before="70" w:after="18"/>
        <w:jc w:val="center"/>
      </w:pPr>
      <w:r>
        <w:rPr>
          <w:noProof/>
        </w:rPr>
        <w:drawing>
          <wp:inline distT="0" distB="0" distL="0" distR="0">
            <wp:extent cx="6300000" cy="2937000"/>
            <wp:effectExtent l="0" t="0" r="0" b="0"/>
            <wp:docPr id="95" name="Figure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g95.png"/>
                    <pic:cNvPicPr/>
                  </pic:nvPicPr>
                  <pic:blipFill>
                    <a:blip r:embed="rId20"/>
                    <a:stretch>
                      <a:fillRect/>
                    </a:stretch>
                  </pic:blipFill>
                  <pic:spPr>
                    <a:xfrm>
                      <a:off x="0" y="0"/>
                      <a:ext cx="6300000" cy="2937000"/>
                    </a:xfrm>
                    <a:prstGeom prst="rect">
                      <a:avLst/>
                    </a:prstGeom>
                  </pic:spPr>
                </pic:pic>
              </a:graphicData>
            </a:graphic>
          </wp:inline>
        </w:drawing>
      </w:r>
    </w:p>
    <w:p>
      <w:pPr>
        <w:spacing w:before="18" w:after="70" w:line="240" w:lineRule="auto"/>
        <w:jc w:val="center"/>
      </w:pPr>
      <w:r>
        <w:rPr>
          <w:rFonts w:ascii="Arial" w:hAnsi="Arial" w:cs="Arial"/>
          <w:i/>
          <w:color w:val="404040"/>
          <w:sz w:val="19"/>
        </w:rPr>
        <w:t xml:space="preserve">Figure 4. Projected UK employment and revenue growth to 2040, consistent with the bid's established figures.</w:t>
      </w:r>
    </w:p>
    <w:p>
      <w:pPr>
        <w:spacing w:before="168" w:after="104" w:line="256" w:lineRule="auto"/>
        <w:ind w:left="-5" w:right="-9"/>
        <w:jc w:val="both"/>
      </w:pPr>
      <w:r>
        <w:rPr>
          <w:rFonts w:ascii="Arial" w:eastAsia="Arial" w:hAnsi="Arial" w:cs="Arial"/>
          <w:sz w:val="22"/>
          <w:szCs w:val="22"/>
          <w:b/>
          <w:color w:val="000000" w:themeColor="text1"/>
        </w:rPr>
        <w:t xml:space="preserve">7.4. Intellectual Property, Knowledge and Skills: </w:t>
      </w:r>
      <w:r>
        <w:rPr>
          <w:rFonts w:ascii="Arial" w:eastAsia="Arial" w:hAnsi="Arial" w:cs="Arial"/>
          <w:sz w:val="22"/>
          <w:szCs w:val="22"/>
        </w:rPr>
        <w:t xml:space="preserve">Foreground IP is owned and managed by iNetic and protected through three patent families (multiphase inverter topology, integrated thermal management, and fault-tolerant control), with licensing options for original-equipment manufacturers seeking modular electric-propulsion blocks. Knowledge creation includes UCL-led peer-reviewed publications, contributions to SAE and IEC standards, and five PhD completions, while Eaton's participation in the SAE AE-7/AE-10 activity carries project learning into the standards that govern aerospace electrical power systems, giving SkyDrive influence over the compliance baselines its products must meet. The skills pipeline, five PhD completions, MSc project integration and technician training through ARC and UCL, builds the specialist workforce that electric-propulsion roles will require, while public-facing dissemination through demonstrator activity and aerospace events such as the Farnborough International Airshow and ATI conferences builds confidence in greener aviation.</w:t>
      </w:r>
    </w:p>
    <w:p>
      <w:pPr>
        <w:spacing w:before="168" w:after="104" w:line="256" w:lineRule="auto"/>
        <w:ind w:left="-5" w:right="-9"/>
        <w:jc w:val="both"/>
      </w:pPr>
      <w:r>
        <w:rPr>
          <w:rFonts w:ascii="Arial" w:eastAsia="Arial" w:hAnsi="Arial" w:cs="Arial"/>
          <w:sz w:val="22"/>
          <w:szCs w:val="22"/>
          <w:b/>
          <w:color w:val="000000" w:themeColor="text1"/>
        </w:rPr>
        <w:t xml:space="preserve">7.5. Strategic and UK Benefits, and Alignment with the ATI 2026 Strategy: </w:t>
      </w:r>
      <w:r>
        <w:rPr>
          <w:rFonts w:ascii="Arial" w:eastAsia="Arial" w:hAnsi="Arial" w:cs="Arial"/>
          <w:sz w:val="22"/>
          <w:szCs w:val="22"/>
        </w:rPr>
        <w:t xml:space="preserve">SkyDrive's benefits extend to national strategic capability. The project re-shores propulsion capability, reducing dependence on overseas supply, and builds sovereign capability in electrical machines, power systems and electric propulsion, all named ATI priorities. It matures Zero-Carbon roadmap technologies, including the lightweight electric propulsion unit, high-voltage power systems and rare-earth-free motor, reaching TRL6 ahead of the approximately 2030 readiness point for next-generation programmes. By anchoring this capability in the UK during early market formation, SkyDrive contributes to the strategy's ambition to double UK aerospace market share by 2035 and to the six-fold growth in UK propulsion value, to over US$17 billion a year, that it projects to 2050, while supporting the levelling-up agenda. The larger prize the strategy identifies is the next-generation single-aisle aircraft, close to 70 percent of the more than 65,000 deliveries expected to 2050, and it is precisely the higher-power hybrid propulsion that SkyDrive scales toward which positions the UK supply chain for that opportunity. The project also leaves durable national capability behind it: ARC's flight-representative Pegasus environment provides a UK facility for distributed-propulsion validation that other developers can draw on, and the commitment to UK subcontractors, with four key companies and a base of more than 40 domestic suppliers identified, re-shores high-value manufacturing rather than importing it.</w:t>
      </w:r>
    </w:p>
    <w:p>
      <w:pPr>
        <w:spacing w:before="168" w:after="104" w:line="256" w:lineRule="auto"/>
        <w:ind w:left="-5" w:right="-9"/>
        <w:jc w:val="both"/>
      </w:pPr>
      <w:r>
        <w:rPr>
          <w:rFonts w:ascii="Arial" w:eastAsia="Arial" w:hAnsi="Arial" w:cs="Arial"/>
          <w:sz w:val="22"/>
          <w:szCs w:val="22"/>
          <w:b/>
          <w:color w:val="000000" w:themeColor="text1"/>
        </w:rPr>
        <w:t xml:space="preserve">7.6. Commercialisation and Market Roadmap: </w:t>
      </w:r>
      <w:r>
        <w:rPr>
          <w:rFonts w:ascii="Arial" w:eastAsia="Arial" w:hAnsi="Arial" w:cs="Arial"/>
          <w:sz w:val="22"/>
          <w:szCs w:val="22"/>
        </w:rPr>
        <w:t xml:space="preserve">The benefits are realised along a staged trajectory from validation to market and on to higher power. Validation to TRL6 completes by around 2029; industrialisation and certification run from 2029 to 2032; market entry from 2031 addresses hybrid trainers, advanced air-mobility platforms and regional demonstrators; and higher-power derivatives, at 250 to 500 kW and subsequently MW-class, are developed from the mid-2030s for sub-regional and single-aisle hybrid platforms, with larger-platform integration anticipated toward 2040. Each step reuses the datasets, verification artefacts and design workflows generated at TRL6, reducing the cost and risk of adoption for downstream platforms and bringing the wider benefits forward.</w:t>
      </w:r>
    </w:p>
    <w:p>
      <w:pPr>
        <w:spacing w:before="70" w:after="18"/>
        <w:jc w:val="center"/>
      </w:pPr>
      <w:r>
        <w:rPr>
          <w:noProof/>
        </w:rPr>
        <w:drawing>
          <wp:inline distT="0" distB="0" distL="0" distR="0">
            <wp:extent cx="6300000" cy="2386000"/>
            <wp:effectExtent l="0" t="0" r="0" b="0"/>
            <wp:docPr id="96" name="Figure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g96.png"/>
                    <pic:cNvPicPr/>
                  </pic:nvPicPr>
                  <pic:blipFill>
                    <a:blip r:embed="rId11"/>
                    <a:stretch>
                      <a:fillRect/>
                    </a:stretch>
                  </pic:blipFill>
                  <pic:spPr>
                    <a:xfrm>
                      <a:off x="0" y="0"/>
                      <a:ext cx="6300000" cy="2386000"/>
                    </a:xfrm>
                    <a:prstGeom prst="rect">
                      <a:avLst/>
                    </a:prstGeom>
                  </pic:spPr>
                </pic:pic>
              </a:graphicData>
            </a:graphic>
          </wp:inline>
        </w:drawing>
      </w:r>
    </w:p>
    <w:p>
      <w:pPr>
        <w:spacing w:before="18" w:after="70" w:line="240" w:lineRule="auto"/>
        <w:jc w:val="center"/>
      </w:pPr>
      <w:r>
        <w:rPr>
          <w:rFonts w:ascii="Arial" w:hAnsi="Arial" w:cs="Arial"/>
          <w:i/>
          <w:color w:val="404040"/>
          <w:sz w:val="19"/>
        </w:rPr>
        <w:t xml:space="preserve">Figure 5. SkyDrive commercialisation roadmap, from TRL6 validation on the Pegasus platform to higher-power derivatives.</w:t>
      </w:r>
    </w:p>
    <w:p>
      <w:pPr>
        <w:spacing w:before="110" w:after="104" w:line="256" w:lineRule="auto"/>
        <w:ind w:left="-5" w:right="-9"/>
        <w:jc w:val="both"/>
      </w:pPr>
      <w:r>
        <w:rPr>
          <w:rFonts w:ascii="Arial" w:eastAsia="Arial" w:hAnsi="Arial" w:cs="Arial"/>
          <w:sz w:val="22"/>
          <w:szCs w:val="22"/>
        </w:rPr>
        <w:t xml:space="preserve">These environmental benefits are robust to assumptions about grid carbon intensity. The mass and efficiency gains reduce energy demand regardless of how that energy is generated, so the per-mission and lifecycle reductions hold on the current UK grid and improve further as it decarbonises toward 2050, while in hybrid configurations the same gains reduce fuel burn directly. The economic and strategic benefits are similarly resilient, resting on a lean, supply-chain-led delivery model and on sovereign capability that retains high-value activity in the UK rather than importing it.</w:t>
      </w:r>
    </w:p>
    <w:p>
      <w:pPr>
        <w:spacing w:before="120" w:after="104" w:line="256" w:lineRule="auto"/>
        <w:ind w:left="-5" w:right="-9"/>
        <w:jc w:val="both"/>
      </w:pPr>
      <w:r>
        <w:rPr>
          <w:rFonts w:ascii="Arial" w:eastAsia="Arial" w:hAnsi="Arial" w:cs="Arial"/>
          <w:sz w:val="22"/>
          <w:szCs w:val="22"/>
        </w:rPr>
        <w:t xml:space="preserve">Taken together, these benefits span the aircraft, the environment, the UK economy and national strategy: a TRL6-validated propulsion subsystem with a clear line of sight to aircraft-level benefit; substantial CO₂ abatement at unit and fleet level; around 1,220 UK jobs and export-led revenue; and a sovereign capability that places the UK supply chain in line for the next-generation hybrid-electric opportunity, in step with the ATI 2026 strategy and Net Zero 2050.</w:t>
      </w:r>
    </w:p>
    <w:sectPr w:rsidR="003C53E2" w:rsidRPr="003C53E2" w:rsidSect="00E47639">
      <w:headerReference w:type="default" r:id="rId12"/>
      <w:footerReference w:type="default" r:id="rId13"/>
      <w:pgSz w:w="11906" w:h="16838"/>
      <w:pgMar w:top="851" w:right="851" w:bottom="851"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73D78" w14:textId="77777777" w:rsidR="00931369" w:rsidRDefault="00931369" w:rsidP="00AA347F">
      <w:pPr>
        <w:spacing w:after="0" w:line="240" w:lineRule="auto"/>
      </w:pPr>
      <w:r>
        <w:separator/>
      </w:r>
    </w:p>
  </w:endnote>
  <w:endnote w:type="continuationSeparator" w:id="0">
    <w:p w14:paraId="2D888627" w14:textId="77777777" w:rsidR="00931369" w:rsidRDefault="00931369" w:rsidP="00AA347F">
      <w:pPr>
        <w:spacing w:after="0" w:line="240" w:lineRule="auto"/>
      </w:pPr>
      <w:r>
        <w:continuationSeparator/>
      </w:r>
    </w:p>
  </w:endnote>
  <w:endnote w:type="continuationNotice" w:id="1">
    <w:p w14:paraId="3CE178B5" w14:textId="77777777" w:rsidR="00931369" w:rsidRDefault="0093136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8575716"/>
      <w:docPartObj>
        <w:docPartGallery w:val="Page Numbers (Bottom of Page)"/>
        <w:docPartUnique/>
      </w:docPartObj>
    </w:sdtPr>
    <w:sdtEndPr>
      <w:rPr>
        <w:noProof/>
      </w:rPr>
    </w:sdtEndPr>
    <w:sdtContent>
      <w:p w14:paraId="323B8B50" w14:textId="49BB9A23" w:rsidR="00007171" w:rsidRDefault="00007171">
        <w:pPr>
          <w:pStyle w:val="Footer"/>
          <w:jc w:val="right"/>
        </w:pPr>
        <w:r>
          <w:t xml:space="preserve">Page </w:t>
        </w:r>
        <w:r>
          <w:fldChar w:fldCharType="begin"/>
        </w:r>
        <w:r>
          <w:instrText xml:space="preserve"> PAGE   \* MERGEFORMAT </w:instrText>
        </w:r>
        <w:r>
          <w:fldChar w:fldCharType="separate"/>
        </w:r>
        <w:r>
          <w:rPr>
            <w:noProof/>
          </w:rPr>
          <w:t>2</w:t>
        </w:r>
        <w:r>
          <w:rPr>
            <w:noProof/>
          </w:rPr>
          <w:fldChar w:fldCharType="end"/>
        </w:r>
        <w:r>
          <w:rPr>
            <w:noProof/>
          </w:rPr>
          <w:t xml:space="preserve"> of </w:t>
        </w:r>
        <w:r>
          <w:fldChar w:fldCharType="begin"/>
        </w:r>
        <w:r>
          <w:instrText xml:space="preserve"> NUMPAGES   \* MERGEFORMAT </w:instrText>
        </w:r>
        <w:r>
          <w:fldChar w:fldCharType="separate"/>
        </w:r>
        <w:r>
          <w:rPr>
            <w:noProof/>
          </w:rPr>
          <w:t>5</w:t>
        </w:r>
        <w:r>
          <w:rPr>
            <w:noProof/>
          </w:rPr>
          <w:fldChar w:fldCharType="end"/>
        </w:r>
      </w:p>
    </w:sdtContent>
  </w:sdt>
  <w:p w14:paraId="758D4B8E" w14:textId="4243C9FE" w:rsidR="1A254B19" w:rsidRDefault="1A254B19" w:rsidP="1A254B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2ADD5" w14:textId="77777777" w:rsidR="00931369" w:rsidRPr="00D121C1" w:rsidRDefault="00931369" w:rsidP="00D121C1">
      <w:pPr>
        <w:spacing w:after="0" w:line="80" w:lineRule="exact"/>
        <w:rPr>
          <w:sz w:val="8"/>
          <w:szCs w:val="8"/>
        </w:rPr>
      </w:pPr>
      <w:r w:rsidRPr="00D121C1">
        <w:rPr>
          <w:sz w:val="8"/>
          <w:szCs w:val="8"/>
        </w:rPr>
        <w:separator/>
      </w:r>
    </w:p>
  </w:footnote>
  <w:footnote w:type="continuationSeparator" w:id="0">
    <w:p w14:paraId="5C391FA3" w14:textId="77777777" w:rsidR="00931369" w:rsidRPr="00D121C1" w:rsidRDefault="00931369" w:rsidP="00D121C1">
      <w:pPr>
        <w:spacing w:after="0" w:line="80" w:lineRule="exact"/>
        <w:rPr>
          <w:sz w:val="8"/>
          <w:szCs w:val="8"/>
        </w:rPr>
      </w:pPr>
      <w:r w:rsidRPr="00D121C1">
        <w:rPr>
          <w:sz w:val="8"/>
          <w:szCs w:val="8"/>
        </w:rPr>
        <w:continuationSeparator/>
      </w:r>
    </w:p>
  </w:footnote>
  <w:footnote w:type="continuationNotice" w:id="1">
    <w:p w14:paraId="35DA4D04" w14:textId="77777777" w:rsidR="00931369" w:rsidRPr="00D121C1" w:rsidRDefault="00931369" w:rsidP="00D121C1">
      <w:pPr>
        <w:spacing w:after="0" w:line="80" w:lineRule="exact"/>
        <w:rPr>
          <w:sz w:val="8"/>
          <w:szCs w:val="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021E5" w14:textId="330CA945" w:rsidR="00AA347F" w:rsidRPr="000A7D5F" w:rsidRDefault="00727F50" w:rsidP="006A0F01">
    <w:pPr>
      <w:pStyle w:val="Header"/>
      <w:tabs>
        <w:tab w:val="clear" w:pos="9026"/>
        <w:tab w:val="right" w:pos="10204"/>
      </w:tabs>
      <w:spacing w:line="360" w:lineRule="auto"/>
      <w:rPr>
        <w:rFonts w:ascii="Arial" w:hAnsi="Arial" w:cs="Arial"/>
        <w:color w:val="3B3838" w:themeColor="background2" w:themeShade="40"/>
      </w:rPr>
    </w:pPr>
    <w:r>
      <w:rPr>
        <w:rFonts w:ascii="Arial" w:hAnsi="Arial" w:cs="Arial"/>
        <w:b/>
        <w:color w:val="3B3838" w:themeColor="background2" w:themeShade="40"/>
      </w:rPr>
      <w:t xml:space="preserve">10192096 </w:t>
    </w:r>
    <w:r w:rsidR="00411FF4">
      <w:rPr>
        <w:rFonts w:ascii="Arial" w:hAnsi="Arial" w:cs="Arial"/>
        <w:b/>
        <w:color w:val="3B3838" w:themeColor="background2" w:themeShade="40"/>
      </w:rPr>
      <w:t>SkyDrive</w:t>
    </w:r>
    <w:r w:rsidR="00AA347F" w:rsidRPr="000A7D5F">
      <w:rPr>
        <w:rFonts w:ascii="Arial" w:hAnsi="Arial" w:cs="Arial"/>
        <w:color w:val="3B3838" w:themeColor="background2" w:themeShade="40"/>
      </w:rPr>
      <w:tab/>
    </w:r>
    <w:r w:rsidR="00AA347F" w:rsidRPr="000A7D5F">
      <w:rPr>
        <w:color w:val="3B3838" w:themeColor="background2" w:themeShade="40"/>
      </w:rPr>
      <w:tab/>
    </w:r>
    <w:r w:rsidR="00AA347F" w:rsidRPr="000A7D5F">
      <w:rPr>
        <w:rFonts w:ascii="Arial" w:hAnsi="Arial" w:cs="Arial"/>
        <w:b/>
        <w:color w:val="3B3838" w:themeColor="background2" w:themeShade="40"/>
      </w:rPr>
      <w:t>Appendix Q</w:t>
    </w:r>
    <w:r w:rsidR="004A3F40">
      <w:rPr>
        <w:rFonts w:ascii="Arial" w:hAnsi="Arial" w:cs="Arial"/>
        <w:b/>
        <w:color w:val="3B3838" w:themeColor="background2" w:themeShade="40"/>
      </w:rPr>
      <w:t>7</w:t>
    </w:r>
    <w:r w:rsidR="00783C61">
      <w:rPr>
        <w:rFonts w:ascii="Arial" w:hAnsi="Arial" w:cs="Arial"/>
        <w:b/>
        <w:color w:val="3B3838" w:themeColor="background2" w:themeShade="40"/>
      </w:rPr>
      <w:t xml:space="preserve"> – </w:t>
    </w:r>
    <w:r w:rsidR="00D36BC6">
      <w:rPr>
        <w:rFonts w:ascii="Arial" w:hAnsi="Arial" w:cs="Arial"/>
        <w:b/>
        <w:color w:val="3B3838" w:themeColor="background2" w:themeShade="40"/>
      </w:rPr>
      <w:t>Benefits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D7F93"/>
    <w:multiLevelType w:val="multilevel"/>
    <w:tmpl w:val="E908803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b/>
        <w:bCs/>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718F5422"/>
    <w:multiLevelType w:val="multilevel"/>
    <w:tmpl w:val="A75AD37E"/>
    <w:lvl w:ilvl="0">
      <w:start w:val="9"/>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999163643">
    <w:abstractNumId w:val="0"/>
  </w:num>
  <w:num w:numId="2" w16cid:durableId="233055827">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E1F"/>
    <w:rsid w:val="00003A0E"/>
    <w:rsid w:val="00004F31"/>
    <w:rsid w:val="00005C8B"/>
    <w:rsid w:val="00006759"/>
    <w:rsid w:val="00007171"/>
    <w:rsid w:val="000101E0"/>
    <w:rsid w:val="000116C2"/>
    <w:rsid w:val="000135F4"/>
    <w:rsid w:val="00015742"/>
    <w:rsid w:val="00017670"/>
    <w:rsid w:val="000223EE"/>
    <w:rsid w:val="00024DF9"/>
    <w:rsid w:val="00030068"/>
    <w:rsid w:val="000306C8"/>
    <w:rsid w:val="000319A1"/>
    <w:rsid w:val="00032B7A"/>
    <w:rsid w:val="000348E9"/>
    <w:rsid w:val="00035167"/>
    <w:rsid w:val="000356A2"/>
    <w:rsid w:val="00036F40"/>
    <w:rsid w:val="00040DFD"/>
    <w:rsid w:val="000453EF"/>
    <w:rsid w:val="000459A9"/>
    <w:rsid w:val="00045A08"/>
    <w:rsid w:val="0004745B"/>
    <w:rsid w:val="00047CFA"/>
    <w:rsid w:val="0005079B"/>
    <w:rsid w:val="00050FA3"/>
    <w:rsid w:val="0005228C"/>
    <w:rsid w:val="00052FF3"/>
    <w:rsid w:val="000601C8"/>
    <w:rsid w:val="00060284"/>
    <w:rsid w:val="00060AC3"/>
    <w:rsid w:val="000619D5"/>
    <w:rsid w:val="000627EB"/>
    <w:rsid w:val="00062815"/>
    <w:rsid w:val="00063913"/>
    <w:rsid w:val="00063F52"/>
    <w:rsid w:val="0006499C"/>
    <w:rsid w:val="000662A6"/>
    <w:rsid w:val="00071EB1"/>
    <w:rsid w:val="00072FB9"/>
    <w:rsid w:val="0007309E"/>
    <w:rsid w:val="00073F77"/>
    <w:rsid w:val="00074C75"/>
    <w:rsid w:val="00075101"/>
    <w:rsid w:val="0007627C"/>
    <w:rsid w:val="00076C54"/>
    <w:rsid w:val="0007753E"/>
    <w:rsid w:val="00077B0A"/>
    <w:rsid w:val="000822B9"/>
    <w:rsid w:val="00085A29"/>
    <w:rsid w:val="000861CE"/>
    <w:rsid w:val="00086559"/>
    <w:rsid w:val="00087322"/>
    <w:rsid w:val="000873B4"/>
    <w:rsid w:val="00090C40"/>
    <w:rsid w:val="0009103E"/>
    <w:rsid w:val="0009103F"/>
    <w:rsid w:val="00091261"/>
    <w:rsid w:val="00091DAF"/>
    <w:rsid w:val="00093296"/>
    <w:rsid w:val="000962B7"/>
    <w:rsid w:val="00096945"/>
    <w:rsid w:val="000A0DAF"/>
    <w:rsid w:val="000A14B0"/>
    <w:rsid w:val="000A529D"/>
    <w:rsid w:val="000A56D9"/>
    <w:rsid w:val="000A5D08"/>
    <w:rsid w:val="000A6724"/>
    <w:rsid w:val="000A7D5F"/>
    <w:rsid w:val="000B0117"/>
    <w:rsid w:val="000B1122"/>
    <w:rsid w:val="000B22A8"/>
    <w:rsid w:val="000B236C"/>
    <w:rsid w:val="000B2887"/>
    <w:rsid w:val="000B42B4"/>
    <w:rsid w:val="000B740D"/>
    <w:rsid w:val="000B7DE6"/>
    <w:rsid w:val="000C00D2"/>
    <w:rsid w:val="000C172B"/>
    <w:rsid w:val="000C2E85"/>
    <w:rsid w:val="000C6341"/>
    <w:rsid w:val="000D007E"/>
    <w:rsid w:val="000D0C3B"/>
    <w:rsid w:val="000D41D7"/>
    <w:rsid w:val="000D4DCF"/>
    <w:rsid w:val="000D5964"/>
    <w:rsid w:val="000E11C7"/>
    <w:rsid w:val="000E27D7"/>
    <w:rsid w:val="000E44B8"/>
    <w:rsid w:val="000E46A5"/>
    <w:rsid w:val="000E5B55"/>
    <w:rsid w:val="000E671F"/>
    <w:rsid w:val="000F6751"/>
    <w:rsid w:val="000F72AE"/>
    <w:rsid w:val="00102C81"/>
    <w:rsid w:val="0010748E"/>
    <w:rsid w:val="001102BA"/>
    <w:rsid w:val="001106A7"/>
    <w:rsid w:val="00111415"/>
    <w:rsid w:val="00113201"/>
    <w:rsid w:val="00117CED"/>
    <w:rsid w:val="00121BF0"/>
    <w:rsid w:val="00121D9E"/>
    <w:rsid w:val="001238E8"/>
    <w:rsid w:val="00125197"/>
    <w:rsid w:val="001251DA"/>
    <w:rsid w:val="00127A4F"/>
    <w:rsid w:val="00130EFA"/>
    <w:rsid w:val="00132B88"/>
    <w:rsid w:val="00133ABD"/>
    <w:rsid w:val="00136EFE"/>
    <w:rsid w:val="0014161E"/>
    <w:rsid w:val="00141DC7"/>
    <w:rsid w:val="00143FBD"/>
    <w:rsid w:val="00144149"/>
    <w:rsid w:val="001447A5"/>
    <w:rsid w:val="00144FB8"/>
    <w:rsid w:val="0014626A"/>
    <w:rsid w:val="00152070"/>
    <w:rsid w:val="00156452"/>
    <w:rsid w:val="001566F6"/>
    <w:rsid w:val="00156C19"/>
    <w:rsid w:val="00161B35"/>
    <w:rsid w:val="00161FC8"/>
    <w:rsid w:val="00162DC0"/>
    <w:rsid w:val="00163022"/>
    <w:rsid w:val="00163C5B"/>
    <w:rsid w:val="00164BA1"/>
    <w:rsid w:val="00165375"/>
    <w:rsid w:val="00165FB3"/>
    <w:rsid w:val="001663CF"/>
    <w:rsid w:val="00166B16"/>
    <w:rsid w:val="00166C2E"/>
    <w:rsid w:val="00167A56"/>
    <w:rsid w:val="00171A32"/>
    <w:rsid w:val="00172D50"/>
    <w:rsid w:val="001730AB"/>
    <w:rsid w:val="001730E7"/>
    <w:rsid w:val="00182A33"/>
    <w:rsid w:val="00182D1A"/>
    <w:rsid w:val="00183891"/>
    <w:rsid w:val="00185216"/>
    <w:rsid w:val="00185A77"/>
    <w:rsid w:val="00187FAF"/>
    <w:rsid w:val="00190285"/>
    <w:rsid w:val="001913EE"/>
    <w:rsid w:val="0019245B"/>
    <w:rsid w:val="0019340D"/>
    <w:rsid w:val="00195180"/>
    <w:rsid w:val="00196428"/>
    <w:rsid w:val="001A0899"/>
    <w:rsid w:val="001A2053"/>
    <w:rsid w:val="001A4958"/>
    <w:rsid w:val="001A4A8A"/>
    <w:rsid w:val="001A70CF"/>
    <w:rsid w:val="001A71FF"/>
    <w:rsid w:val="001B02AF"/>
    <w:rsid w:val="001B0A7C"/>
    <w:rsid w:val="001B3083"/>
    <w:rsid w:val="001B3A35"/>
    <w:rsid w:val="001B3AE1"/>
    <w:rsid w:val="001B42A0"/>
    <w:rsid w:val="001B4526"/>
    <w:rsid w:val="001B6013"/>
    <w:rsid w:val="001B628C"/>
    <w:rsid w:val="001B69AD"/>
    <w:rsid w:val="001C0195"/>
    <w:rsid w:val="001C0E93"/>
    <w:rsid w:val="001C1128"/>
    <w:rsid w:val="001C1CE4"/>
    <w:rsid w:val="001C33B3"/>
    <w:rsid w:val="001C4F3E"/>
    <w:rsid w:val="001C5479"/>
    <w:rsid w:val="001C5A2F"/>
    <w:rsid w:val="001D08D3"/>
    <w:rsid w:val="001D2978"/>
    <w:rsid w:val="001D39F1"/>
    <w:rsid w:val="001D493A"/>
    <w:rsid w:val="001D4D95"/>
    <w:rsid w:val="001D57CA"/>
    <w:rsid w:val="001D6DA0"/>
    <w:rsid w:val="001D703D"/>
    <w:rsid w:val="001E4525"/>
    <w:rsid w:val="001E5A63"/>
    <w:rsid w:val="001E63C8"/>
    <w:rsid w:val="001E6EA0"/>
    <w:rsid w:val="001E6F44"/>
    <w:rsid w:val="001F02CF"/>
    <w:rsid w:val="001F09E7"/>
    <w:rsid w:val="001F1D28"/>
    <w:rsid w:val="001F2FF8"/>
    <w:rsid w:val="001F371E"/>
    <w:rsid w:val="001F410F"/>
    <w:rsid w:val="001F42B1"/>
    <w:rsid w:val="001F61B1"/>
    <w:rsid w:val="001F7751"/>
    <w:rsid w:val="00202526"/>
    <w:rsid w:val="00204347"/>
    <w:rsid w:val="00205A83"/>
    <w:rsid w:val="002066D5"/>
    <w:rsid w:val="00206D33"/>
    <w:rsid w:val="002115EC"/>
    <w:rsid w:val="00212F7A"/>
    <w:rsid w:val="002130E0"/>
    <w:rsid w:val="0021380A"/>
    <w:rsid w:val="002160B6"/>
    <w:rsid w:val="00222672"/>
    <w:rsid w:val="00225277"/>
    <w:rsid w:val="00225D82"/>
    <w:rsid w:val="00226536"/>
    <w:rsid w:val="00226B4A"/>
    <w:rsid w:val="002276F5"/>
    <w:rsid w:val="0023127A"/>
    <w:rsid w:val="00234A42"/>
    <w:rsid w:val="00235B64"/>
    <w:rsid w:val="00237BBE"/>
    <w:rsid w:val="002404FF"/>
    <w:rsid w:val="00242B90"/>
    <w:rsid w:val="00245749"/>
    <w:rsid w:val="00245BD6"/>
    <w:rsid w:val="00245F06"/>
    <w:rsid w:val="002462C8"/>
    <w:rsid w:val="0025226D"/>
    <w:rsid w:val="00252313"/>
    <w:rsid w:val="00253C03"/>
    <w:rsid w:val="0025622C"/>
    <w:rsid w:val="00257F57"/>
    <w:rsid w:val="00260681"/>
    <w:rsid w:val="00260F5D"/>
    <w:rsid w:val="002646B5"/>
    <w:rsid w:val="0026735A"/>
    <w:rsid w:val="002702A2"/>
    <w:rsid w:val="0027034B"/>
    <w:rsid w:val="0027057A"/>
    <w:rsid w:val="0027154D"/>
    <w:rsid w:val="002723D6"/>
    <w:rsid w:val="00272D1B"/>
    <w:rsid w:val="00274791"/>
    <w:rsid w:val="0027549B"/>
    <w:rsid w:val="0027643D"/>
    <w:rsid w:val="00283C2B"/>
    <w:rsid w:val="00283EE3"/>
    <w:rsid w:val="00284B1E"/>
    <w:rsid w:val="00284CC6"/>
    <w:rsid w:val="002860D5"/>
    <w:rsid w:val="00287487"/>
    <w:rsid w:val="00287D89"/>
    <w:rsid w:val="00290F29"/>
    <w:rsid w:val="002913F9"/>
    <w:rsid w:val="00292FA1"/>
    <w:rsid w:val="00295056"/>
    <w:rsid w:val="00295786"/>
    <w:rsid w:val="002A245F"/>
    <w:rsid w:val="002A2D1C"/>
    <w:rsid w:val="002B0E59"/>
    <w:rsid w:val="002B2832"/>
    <w:rsid w:val="002B3A8C"/>
    <w:rsid w:val="002B6CBD"/>
    <w:rsid w:val="002C05D0"/>
    <w:rsid w:val="002C0859"/>
    <w:rsid w:val="002C1DB5"/>
    <w:rsid w:val="002C5FC8"/>
    <w:rsid w:val="002D1103"/>
    <w:rsid w:val="002D1801"/>
    <w:rsid w:val="002D1E6E"/>
    <w:rsid w:val="002D3BBD"/>
    <w:rsid w:val="002D57E2"/>
    <w:rsid w:val="002D5A8F"/>
    <w:rsid w:val="002D60E0"/>
    <w:rsid w:val="002D62D0"/>
    <w:rsid w:val="002E1BEF"/>
    <w:rsid w:val="002E2B3F"/>
    <w:rsid w:val="002E42EC"/>
    <w:rsid w:val="002E4793"/>
    <w:rsid w:val="002E5989"/>
    <w:rsid w:val="002E5A43"/>
    <w:rsid w:val="002F002B"/>
    <w:rsid w:val="002F02FA"/>
    <w:rsid w:val="002F0C08"/>
    <w:rsid w:val="002F1EC2"/>
    <w:rsid w:val="002F1F0B"/>
    <w:rsid w:val="002F3367"/>
    <w:rsid w:val="002F49DC"/>
    <w:rsid w:val="002F4A3A"/>
    <w:rsid w:val="002F7225"/>
    <w:rsid w:val="00304567"/>
    <w:rsid w:val="003101D6"/>
    <w:rsid w:val="0031520E"/>
    <w:rsid w:val="003171AC"/>
    <w:rsid w:val="0032018D"/>
    <w:rsid w:val="0032054A"/>
    <w:rsid w:val="0032173F"/>
    <w:rsid w:val="00321F86"/>
    <w:rsid w:val="00323C24"/>
    <w:rsid w:val="00324D36"/>
    <w:rsid w:val="00326A32"/>
    <w:rsid w:val="00331A58"/>
    <w:rsid w:val="00332C70"/>
    <w:rsid w:val="0033565E"/>
    <w:rsid w:val="0034123E"/>
    <w:rsid w:val="003434E9"/>
    <w:rsid w:val="003448F6"/>
    <w:rsid w:val="00344C37"/>
    <w:rsid w:val="00346D12"/>
    <w:rsid w:val="00347F95"/>
    <w:rsid w:val="003524B0"/>
    <w:rsid w:val="003527A8"/>
    <w:rsid w:val="00353539"/>
    <w:rsid w:val="0035446D"/>
    <w:rsid w:val="00355F6D"/>
    <w:rsid w:val="00357CDA"/>
    <w:rsid w:val="00360CDF"/>
    <w:rsid w:val="00360F48"/>
    <w:rsid w:val="003619E8"/>
    <w:rsid w:val="00364657"/>
    <w:rsid w:val="00365B0C"/>
    <w:rsid w:val="0037092E"/>
    <w:rsid w:val="003711F8"/>
    <w:rsid w:val="00372CBC"/>
    <w:rsid w:val="0037501E"/>
    <w:rsid w:val="00377A9E"/>
    <w:rsid w:val="00385DD0"/>
    <w:rsid w:val="00386636"/>
    <w:rsid w:val="0038778F"/>
    <w:rsid w:val="00390209"/>
    <w:rsid w:val="0039029E"/>
    <w:rsid w:val="003904F7"/>
    <w:rsid w:val="00392792"/>
    <w:rsid w:val="00393D20"/>
    <w:rsid w:val="00394A5E"/>
    <w:rsid w:val="00394B44"/>
    <w:rsid w:val="00394D17"/>
    <w:rsid w:val="003971D9"/>
    <w:rsid w:val="00397B24"/>
    <w:rsid w:val="003A0BC8"/>
    <w:rsid w:val="003A196E"/>
    <w:rsid w:val="003A240A"/>
    <w:rsid w:val="003A2786"/>
    <w:rsid w:val="003A314E"/>
    <w:rsid w:val="003A3239"/>
    <w:rsid w:val="003A7059"/>
    <w:rsid w:val="003B004F"/>
    <w:rsid w:val="003B02F3"/>
    <w:rsid w:val="003B06B9"/>
    <w:rsid w:val="003B0858"/>
    <w:rsid w:val="003B0C4F"/>
    <w:rsid w:val="003B162B"/>
    <w:rsid w:val="003B1E9A"/>
    <w:rsid w:val="003B3531"/>
    <w:rsid w:val="003B357F"/>
    <w:rsid w:val="003B4F27"/>
    <w:rsid w:val="003B65DD"/>
    <w:rsid w:val="003C0872"/>
    <w:rsid w:val="003C1AAE"/>
    <w:rsid w:val="003C33E8"/>
    <w:rsid w:val="003C53E2"/>
    <w:rsid w:val="003D160A"/>
    <w:rsid w:val="003D6ABE"/>
    <w:rsid w:val="003E04E3"/>
    <w:rsid w:val="003E1A4F"/>
    <w:rsid w:val="003E29FA"/>
    <w:rsid w:val="003E3860"/>
    <w:rsid w:val="003E65F9"/>
    <w:rsid w:val="003F17B7"/>
    <w:rsid w:val="003F1973"/>
    <w:rsid w:val="003F26C3"/>
    <w:rsid w:val="003F39C8"/>
    <w:rsid w:val="003F5979"/>
    <w:rsid w:val="003F6EA4"/>
    <w:rsid w:val="003F6EE0"/>
    <w:rsid w:val="003F6EFD"/>
    <w:rsid w:val="00400F7A"/>
    <w:rsid w:val="00405781"/>
    <w:rsid w:val="00407AAD"/>
    <w:rsid w:val="00410453"/>
    <w:rsid w:val="00411895"/>
    <w:rsid w:val="004118D3"/>
    <w:rsid w:val="00411FF4"/>
    <w:rsid w:val="00412AA6"/>
    <w:rsid w:val="00412DCE"/>
    <w:rsid w:val="00413408"/>
    <w:rsid w:val="00413A80"/>
    <w:rsid w:val="00415408"/>
    <w:rsid w:val="00415943"/>
    <w:rsid w:val="00416A8C"/>
    <w:rsid w:val="00416B39"/>
    <w:rsid w:val="004176AC"/>
    <w:rsid w:val="004176DC"/>
    <w:rsid w:val="00420F1B"/>
    <w:rsid w:val="00421EB9"/>
    <w:rsid w:val="00427136"/>
    <w:rsid w:val="004306CE"/>
    <w:rsid w:val="004307B0"/>
    <w:rsid w:val="00432872"/>
    <w:rsid w:val="00433271"/>
    <w:rsid w:val="004340F8"/>
    <w:rsid w:val="004356C8"/>
    <w:rsid w:val="004363EA"/>
    <w:rsid w:val="00441789"/>
    <w:rsid w:val="00444D40"/>
    <w:rsid w:val="004458E4"/>
    <w:rsid w:val="00446CC4"/>
    <w:rsid w:val="00446F5F"/>
    <w:rsid w:val="004472F4"/>
    <w:rsid w:val="00450665"/>
    <w:rsid w:val="004510C8"/>
    <w:rsid w:val="00451DC0"/>
    <w:rsid w:val="00452614"/>
    <w:rsid w:val="00452AFA"/>
    <w:rsid w:val="00454983"/>
    <w:rsid w:val="0045660B"/>
    <w:rsid w:val="0045674D"/>
    <w:rsid w:val="004572EA"/>
    <w:rsid w:val="00457F92"/>
    <w:rsid w:val="004601ED"/>
    <w:rsid w:val="00460994"/>
    <w:rsid w:val="00463780"/>
    <w:rsid w:val="004645C8"/>
    <w:rsid w:val="00464739"/>
    <w:rsid w:val="004653A1"/>
    <w:rsid w:val="00472D80"/>
    <w:rsid w:val="004737EE"/>
    <w:rsid w:val="00475C64"/>
    <w:rsid w:val="00480F8C"/>
    <w:rsid w:val="00481A33"/>
    <w:rsid w:val="0048212E"/>
    <w:rsid w:val="00482E34"/>
    <w:rsid w:val="004838CB"/>
    <w:rsid w:val="00490992"/>
    <w:rsid w:val="00491FCB"/>
    <w:rsid w:val="00492047"/>
    <w:rsid w:val="00492F80"/>
    <w:rsid w:val="00493EEC"/>
    <w:rsid w:val="00496576"/>
    <w:rsid w:val="00496E7B"/>
    <w:rsid w:val="004A217D"/>
    <w:rsid w:val="004A21B3"/>
    <w:rsid w:val="004A31B7"/>
    <w:rsid w:val="004A3788"/>
    <w:rsid w:val="004A3F40"/>
    <w:rsid w:val="004A5FD3"/>
    <w:rsid w:val="004A625A"/>
    <w:rsid w:val="004A659C"/>
    <w:rsid w:val="004A75FE"/>
    <w:rsid w:val="004B22FA"/>
    <w:rsid w:val="004B5007"/>
    <w:rsid w:val="004B6377"/>
    <w:rsid w:val="004C1426"/>
    <w:rsid w:val="004C187B"/>
    <w:rsid w:val="004C4C09"/>
    <w:rsid w:val="004C576D"/>
    <w:rsid w:val="004C62FD"/>
    <w:rsid w:val="004D3EDC"/>
    <w:rsid w:val="004D610D"/>
    <w:rsid w:val="004E0822"/>
    <w:rsid w:val="004E0B51"/>
    <w:rsid w:val="004E34BE"/>
    <w:rsid w:val="004E3E91"/>
    <w:rsid w:val="004E4597"/>
    <w:rsid w:val="004E4B0A"/>
    <w:rsid w:val="004E5149"/>
    <w:rsid w:val="004F1543"/>
    <w:rsid w:val="00500351"/>
    <w:rsid w:val="005015F5"/>
    <w:rsid w:val="0050443A"/>
    <w:rsid w:val="005109D0"/>
    <w:rsid w:val="00511DC3"/>
    <w:rsid w:val="00512C43"/>
    <w:rsid w:val="00515B09"/>
    <w:rsid w:val="00516BD1"/>
    <w:rsid w:val="00516CE5"/>
    <w:rsid w:val="005175AB"/>
    <w:rsid w:val="00517F3F"/>
    <w:rsid w:val="00520972"/>
    <w:rsid w:val="00522AD9"/>
    <w:rsid w:val="0052406D"/>
    <w:rsid w:val="00524C03"/>
    <w:rsid w:val="005252F5"/>
    <w:rsid w:val="00526EA0"/>
    <w:rsid w:val="005272FA"/>
    <w:rsid w:val="00527B50"/>
    <w:rsid w:val="00530253"/>
    <w:rsid w:val="005302F0"/>
    <w:rsid w:val="00530533"/>
    <w:rsid w:val="00531730"/>
    <w:rsid w:val="005324E1"/>
    <w:rsid w:val="00534350"/>
    <w:rsid w:val="00534780"/>
    <w:rsid w:val="00534D1B"/>
    <w:rsid w:val="00534E6C"/>
    <w:rsid w:val="00540E06"/>
    <w:rsid w:val="00544994"/>
    <w:rsid w:val="0054644D"/>
    <w:rsid w:val="005471FB"/>
    <w:rsid w:val="00555D0F"/>
    <w:rsid w:val="00555D81"/>
    <w:rsid w:val="00557464"/>
    <w:rsid w:val="0055758D"/>
    <w:rsid w:val="00561066"/>
    <w:rsid w:val="005613E9"/>
    <w:rsid w:val="00562526"/>
    <w:rsid w:val="005669E4"/>
    <w:rsid w:val="00566DED"/>
    <w:rsid w:val="005703CF"/>
    <w:rsid w:val="00570F4A"/>
    <w:rsid w:val="00574020"/>
    <w:rsid w:val="00596A55"/>
    <w:rsid w:val="005976FE"/>
    <w:rsid w:val="00597E69"/>
    <w:rsid w:val="005A25C1"/>
    <w:rsid w:val="005A27F7"/>
    <w:rsid w:val="005A4A36"/>
    <w:rsid w:val="005A7126"/>
    <w:rsid w:val="005B0782"/>
    <w:rsid w:val="005B0A68"/>
    <w:rsid w:val="005B2410"/>
    <w:rsid w:val="005B45ED"/>
    <w:rsid w:val="005B5B12"/>
    <w:rsid w:val="005B6AC2"/>
    <w:rsid w:val="005C1E09"/>
    <w:rsid w:val="005C365C"/>
    <w:rsid w:val="005C43F4"/>
    <w:rsid w:val="005C7E84"/>
    <w:rsid w:val="005D0FA2"/>
    <w:rsid w:val="005D2A52"/>
    <w:rsid w:val="005E560B"/>
    <w:rsid w:val="005E6D92"/>
    <w:rsid w:val="005E7DD8"/>
    <w:rsid w:val="005F1257"/>
    <w:rsid w:val="005F30FC"/>
    <w:rsid w:val="005F463C"/>
    <w:rsid w:val="005F5036"/>
    <w:rsid w:val="00600138"/>
    <w:rsid w:val="00601A33"/>
    <w:rsid w:val="00604EC2"/>
    <w:rsid w:val="006055DF"/>
    <w:rsid w:val="0060626E"/>
    <w:rsid w:val="00610713"/>
    <w:rsid w:val="00610CDE"/>
    <w:rsid w:val="00611CDA"/>
    <w:rsid w:val="006123EB"/>
    <w:rsid w:val="006178F5"/>
    <w:rsid w:val="00620DD9"/>
    <w:rsid w:val="006237C8"/>
    <w:rsid w:val="0062482C"/>
    <w:rsid w:val="00625B95"/>
    <w:rsid w:val="00626335"/>
    <w:rsid w:val="00630718"/>
    <w:rsid w:val="00631C0B"/>
    <w:rsid w:val="00633DB9"/>
    <w:rsid w:val="00634280"/>
    <w:rsid w:val="00635F4B"/>
    <w:rsid w:val="00637A57"/>
    <w:rsid w:val="00640E03"/>
    <w:rsid w:val="006415A2"/>
    <w:rsid w:val="0064187E"/>
    <w:rsid w:val="00644BE7"/>
    <w:rsid w:val="006450DA"/>
    <w:rsid w:val="006461D2"/>
    <w:rsid w:val="0065092D"/>
    <w:rsid w:val="00654B78"/>
    <w:rsid w:val="00655046"/>
    <w:rsid w:val="006566B9"/>
    <w:rsid w:val="006603E3"/>
    <w:rsid w:val="006606B8"/>
    <w:rsid w:val="006619FB"/>
    <w:rsid w:val="00665173"/>
    <w:rsid w:val="00665CAE"/>
    <w:rsid w:val="006716AB"/>
    <w:rsid w:val="0067415F"/>
    <w:rsid w:val="0067516A"/>
    <w:rsid w:val="006808E6"/>
    <w:rsid w:val="00680C26"/>
    <w:rsid w:val="006859F3"/>
    <w:rsid w:val="00686E2D"/>
    <w:rsid w:val="00686F3C"/>
    <w:rsid w:val="00687AF3"/>
    <w:rsid w:val="00690B5E"/>
    <w:rsid w:val="006930DC"/>
    <w:rsid w:val="00693BAB"/>
    <w:rsid w:val="00694D4A"/>
    <w:rsid w:val="00695D89"/>
    <w:rsid w:val="00696426"/>
    <w:rsid w:val="006A0090"/>
    <w:rsid w:val="006A04A6"/>
    <w:rsid w:val="006A0CA1"/>
    <w:rsid w:val="006A0F01"/>
    <w:rsid w:val="006A2931"/>
    <w:rsid w:val="006A324B"/>
    <w:rsid w:val="006A77AE"/>
    <w:rsid w:val="006B0A75"/>
    <w:rsid w:val="006B1757"/>
    <w:rsid w:val="006B217B"/>
    <w:rsid w:val="006B3304"/>
    <w:rsid w:val="006B3679"/>
    <w:rsid w:val="006B574E"/>
    <w:rsid w:val="006B6D48"/>
    <w:rsid w:val="006B774F"/>
    <w:rsid w:val="006C16B3"/>
    <w:rsid w:val="006C17F5"/>
    <w:rsid w:val="006C275A"/>
    <w:rsid w:val="006D0000"/>
    <w:rsid w:val="006D14B3"/>
    <w:rsid w:val="006D23EF"/>
    <w:rsid w:val="006D28FA"/>
    <w:rsid w:val="006D2DD7"/>
    <w:rsid w:val="006D5532"/>
    <w:rsid w:val="006D5E95"/>
    <w:rsid w:val="006D60FC"/>
    <w:rsid w:val="006E0123"/>
    <w:rsid w:val="006E0E34"/>
    <w:rsid w:val="006E3448"/>
    <w:rsid w:val="006E37C0"/>
    <w:rsid w:val="006E562D"/>
    <w:rsid w:val="006F1B56"/>
    <w:rsid w:val="006F3770"/>
    <w:rsid w:val="006F4F79"/>
    <w:rsid w:val="006F7081"/>
    <w:rsid w:val="006F71C7"/>
    <w:rsid w:val="006F7C56"/>
    <w:rsid w:val="0070359C"/>
    <w:rsid w:val="00705950"/>
    <w:rsid w:val="00707E43"/>
    <w:rsid w:val="00713E3C"/>
    <w:rsid w:val="00715B28"/>
    <w:rsid w:val="0071798F"/>
    <w:rsid w:val="00721906"/>
    <w:rsid w:val="0072345A"/>
    <w:rsid w:val="007253C4"/>
    <w:rsid w:val="00727534"/>
    <w:rsid w:val="00727F50"/>
    <w:rsid w:val="00735CF8"/>
    <w:rsid w:val="00740972"/>
    <w:rsid w:val="007431BE"/>
    <w:rsid w:val="007469F2"/>
    <w:rsid w:val="00751E28"/>
    <w:rsid w:val="00755278"/>
    <w:rsid w:val="00755B03"/>
    <w:rsid w:val="007566A2"/>
    <w:rsid w:val="00761714"/>
    <w:rsid w:val="00761F05"/>
    <w:rsid w:val="0076437B"/>
    <w:rsid w:val="007648FB"/>
    <w:rsid w:val="00764975"/>
    <w:rsid w:val="007673BD"/>
    <w:rsid w:val="00775359"/>
    <w:rsid w:val="0077544C"/>
    <w:rsid w:val="00776DCA"/>
    <w:rsid w:val="00777A0F"/>
    <w:rsid w:val="007807E9"/>
    <w:rsid w:val="00783C61"/>
    <w:rsid w:val="0078569C"/>
    <w:rsid w:val="00786075"/>
    <w:rsid w:val="00787CDB"/>
    <w:rsid w:val="00792620"/>
    <w:rsid w:val="007931B0"/>
    <w:rsid w:val="00793E15"/>
    <w:rsid w:val="00794FA8"/>
    <w:rsid w:val="00796700"/>
    <w:rsid w:val="007968BC"/>
    <w:rsid w:val="007A05CA"/>
    <w:rsid w:val="007A0C02"/>
    <w:rsid w:val="007A12E6"/>
    <w:rsid w:val="007A2D65"/>
    <w:rsid w:val="007A32F1"/>
    <w:rsid w:val="007A5301"/>
    <w:rsid w:val="007A6522"/>
    <w:rsid w:val="007A6A0F"/>
    <w:rsid w:val="007A72CF"/>
    <w:rsid w:val="007A7427"/>
    <w:rsid w:val="007B0A50"/>
    <w:rsid w:val="007B1F52"/>
    <w:rsid w:val="007B2CBF"/>
    <w:rsid w:val="007B5093"/>
    <w:rsid w:val="007B6260"/>
    <w:rsid w:val="007B6CEA"/>
    <w:rsid w:val="007C0AA7"/>
    <w:rsid w:val="007C0DE2"/>
    <w:rsid w:val="007C52E5"/>
    <w:rsid w:val="007C7867"/>
    <w:rsid w:val="007D291E"/>
    <w:rsid w:val="007D5162"/>
    <w:rsid w:val="007D5EF6"/>
    <w:rsid w:val="007E1F7B"/>
    <w:rsid w:val="007E241C"/>
    <w:rsid w:val="007E28E6"/>
    <w:rsid w:val="007E2C43"/>
    <w:rsid w:val="007E5042"/>
    <w:rsid w:val="007E54A2"/>
    <w:rsid w:val="007F43F7"/>
    <w:rsid w:val="007F4B30"/>
    <w:rsid w:val="007F5A24"/>
    <w:rsid w:val="007F6458"/>
    <w:rsid w:val="007F756B"/>
    <w:rsid w:val="007F7BAD"/>
    <w:rsid w:val="00800F6D"/>
    <w:rsid w:val="008031EA"/>
    <w:rsid w:val="008032C5"/>
    <w:rsid w:val="00803680"/>
    <w:rsid w:val="008040F8"/>
    <w:rsid w:val="0080424A"/>
    <w:rsid w:val="00804D00"/>
    <w:rsid w:val="008051D9"/>
    <w:rsid w:val="0081257E"/>
    <w:rsid w:val="008125BC"/>
    <w:rsid w:val="008150DB"/>
    <w:rsid w:val="008227E7"/>
    <w:rsid w:val="008238C3"/>
    <w:rsid w:val="00823E90"/>
    <w:rsid w:val="008246B7"/>
    <w:rsid w:val="00824BC4"/>
    <w:rsid w:val="008259E5"/>
    <w:rsid w:val="008304C7"/>
    <w:rsid w:val="00833EE1"/>
    <w:rsid w:val="00836F9E"/>
    <w:rsid w:val="00837E45"/>
    <w:rsid w:val="00844FAC"/>
    <w:rsid w:val="00845377"/>
    <w:rsid w:val="00847F71"/>
    <w:rsid w:val="0085166A"/>
    <w:rsid w:val="00851D0F"/>
    <w:rsid w:val="00853A1B"/>
    <w:rsid w:val="0085500C"/>
    <w:rsid w:val="00855C1A"/>
    <w:rsid w:val="00860FB2"/>
    <w:rsid w:val="00861489"/>
    <w:rsid w:val="00861899"/>
    <w:rsid w:val="00861A0B"/>
    <w:rsid w:val="00861CDC"/>
    <w:rsid w:val="00866769"/>
    <w:rsid w:val="0086789C"/>
    <w:rsid w:val="00870B47"/>
    <w:rsid w:val="00870DDA"/>
    <w:rsid w:val="0087130D"/>
    <w:rsid w:val="00871A4A"/>
    <w:rsid w:val="00872D18"/>
    <w:rsid w:val="00875376"/>
    <w:rsid w:val="00875E71"/>
    <w:rsid w:val="00883E72"/>
    <w:rsid w:val="00884BD8"/>
    <w:rsid w:val="00885018"/>
    <w:rsid w:val="00885171"/>
    <w:rsid w:val="00885B07"/>
    <w:rsid w:val="00885F8A"/>
    <w:rsid w:val="00886209"/>
    <w:rsid w:val="00890C96"/>
    <w:rsid w:val="00892518"/>
    <w:rsid w:val="00893AA2"/>
    <w:rsid w:val="00896A7F"/>
    <w:rsid w:val="008A0A86"/>
    <w:rsid w:val="008A1530"/>
    <w:rsid w:val="008A1D81"/>
    <w:rsid w:val="008A25CE"/>
    <w:rsid w:val="008A3534"/>
    <w:rsid w:val="008A3E52"/>
    <w:rsid w:val="008A4674"/>
    <w:rsid w:val="008A6543"/>
    <w:rsid w:val="008B02E4"/>
    <w:rsid w:val="008B39CB"/>
    <w:rsid w:val="008B47B1"/>
    <w:rsid w:val="008B4864"/>
    <w:rsid w:val="008B5819"/>
    <w:rsid w:val="008B6E26"/>
    <w:rsid w:val="008C125E"/>
    <w:rsid w:val="008D0243"/>
    <w:rsid w:val="008D0E89"/>
    <w:rsid w:val="008D1EE1"/>
    <w:rsid w:val="008D3F10"/>
    <w:rsid w:val="008D431E"/>
    <w:rsid w:val="008E01E2"/>
    <w:rsid w:val="008E0651"/>
    <w:rsid w:val="008E0C91"/>
    <w:rsid w:val="008E54CA"/>
    <w:rsid w:val="008E6050"/>
    <w:rsid w:val="008E6DD3"/>
    <w:rsid w:val="008F0F1A"/>
    <w:rsid w:val="008F2EC4"/>
    <w:rsid w:val="008F6CF7"/>
    <w:rsid w:val="0090102D"/>
    <w:rsid w:val="0090225C"/>
    <w:rsid w:val="00902AD7"/>
    <w:rsid w:val="00905779"/>
    <w:rsid w:val="00905CC3"/>
    <w:rsid w:val="00907A89"/>
    <w:rsid w:val="0091232F"/>
    <w:rsid w:val="0091454F"/>
    <w:rsid w:val="00920F96"/>
    <w:rsid w:val="00925741"/>
    <w:rsid w:val="00927088"/>
    <w:rsid w:val="00927F9B"/>
    <w:rsid w:val="00931369"/>
    <w:rsid w:val="00932A6F"/>
    <w:rsid w:val="009414A0"/>
    <w:rsid w:val="009429C7"/>
    <w:rsid w:val="00943C91"/>
    <w:rsid w:val="00950FBF"/>
    <w:rsid w:val="00951C0F"/>
    <w:rsid w:val="00955370"/>
    <w:rsid w:val="0095771C"/>
    <w:rsid w:val="0096594A"/>
    <w:rsid w:val="009673BB"/>
    <w:rsid w:val="00967CCC"/>
    <w:rsid w:val="00971A95"/>
    <w:rsid w:val="009734EB"/>
    <w:rsid w:val="0097483E"/>
    <w:rsid w:val="0097567E"/>
    <w:rsid w:val="009759E9"/>
    <w:rsid w:val="0097654C"/>
    <w:rsid w:val="00976EEA"/>
    <w:rsid w:val="00977620"/>
    <w:rsid w:val="00982114"/>
    <w:rsid w:val="00982303"/>
    <w:rsid w:val="00984540"/>
    <w:rsid w:val="00987A93"/>
    <w:rsid w:val="00990153"/>
    <w:rsid w:val="00991B83"/>
    <w:rsid w:val="009936A5"/>
    <w:rsid w:val="009943B0"/>
    <w:rsid w:val="00994E3C"/>
    <w:rsid w:val="0099622D"/>
    <w:rsid w:val="0099625A"/>
    <w:rsid w:val="009976F1"/>
    <w:rsid w:val="009A0058"/>
    <w:rsid w:val="009A13FB"/>
    <w:rsid w:val="009A14D7"/>
    <w:rsid w:val="009A3814"/>
    <w:rsid w:val="009A3830"/>
    <w:rsid w:val="009A3F4E"/>
    <w:rsid w:val="009A6B9A"/>
    <w:rsid w:val="009A734C"/>
    <w:rsid w:val="009A7E34"/>
    <w:rsid w:val="009B2EE3"/>
    <w:rsid w:val="009B54D2"/>
    <w:rsid w:val="009B5E94"/>
    <w:rsid w:val="009C0EB3"/>
    <w:rsid w:val="009C13A2"/>
    <w:rsid w:val="009C2715"/>
    <w:rsid w:val="009C31B4"/>
    <w:rsid w:val="009C4E3A"/>
    <w:rsid w:val="009C5C29"/>
    <w:rsid w:val="009C763D"/>
    <w:rsid w:val="009D3F06"/>
    <w:rsid w:val="009D4DA2"/>
    <w:rsid w:val="009D4DAD"/>
    <w:rsid w:val="009D6A00"/>
    <w:rsid w:val="009D6E3F"/>
    <w:rsid w:val="009E0380"/>
    <w:rsid w:val="009E2C44"/>
    <w:rsid w:val="009E4560"/>
    <w:rsid w:val="009E68AC"/>
    <w:rsid w:val="009E6A1D"/>
    <w:rsid w:val="009F2F54"/>
    <w:rsid w:val="009F3A12"/>
    <w:rsid w:val="009F4F08"/>
    <w:rsid w:val="00A0048D"/>
    <w:rsid w:val="00A0161F"/>
    <w:rsid w:val="00A02F01"/>
    <w:rsid w:val="00A03A92"/>
    <w:rsid w:val="00A0577B"/>
    <w:rsid w:val="00A10652"/>
    <w:rsid w:val="00A1105B"/>
    <w:rsid w:val="00A12FF8"/>
    <w:rsid w:val="00A147BC"/>
    <w:rsid w:val="00A167A6"/>
    <w:rsid w:val="00A17512"/>
    <w:rsid w:val="00A17C50"/>
    <w:rsid w:val="00A212B1"/>
    <w:rsid w:val="00A228C3"/>
    <w:rsid w:val="00A22F91"/>
    <w:rsid w:val="00A23EAF"/>
    <w:rsid w:val="00A243F1"/>
    <w:rsid w:val="00A24D2D"/>
    <w:rsid w:val="00A254EE"/>
    <w:rsid w:val="00A256D8"/>
    <w:rsid w:val="00A25E58"/>
    <w:rsid w:val="00A30E41"/>
    <w:rsid w:val="00A34DAF"/>
    <w:rsid w:val="00A35B9B"/>
    <w:rsid w:val="00A36478"/>
    <w:rsid w:val="00A418C4"/>
    <w:rsid w:val="00A46C02"/>
    <w:rsid w:val="00A46DB6"/>
    <w:rsid w:val="00A52962"/>
    <w:rsid w:val="00A56DC4"/>
    <w:rsid w:val="00A5754B"/>
    <w:rsid w:val="00A62033"/>
    <w:rsid w:val="00A66453"/>
    <w:rsid w:val="00A709A1"/>
    <w:rsid w:val="00A70FA5"/>
    <w:rsid w:val="00A71120"/>
    <w:rsid w:val="00A7593E"/>
    <w:rsid w:val="00A772D6"/>
    <w:rsid w:val="00A80A42"/>
    <w:rsid w:val="00A87470"/>
    <w:rsid w:val="00A91288"/>
    <w:rsid w:val="00A91AF2"/>
    <w:rsid w:val="00A91B2C"/>
    <w:rsid w:val="00A9543B"/>
    <w:rsid w:val="00AA00EF"/>
    <w:rsid w:val="00AA017D"/>
    <w:rsid w:val="00AA2F5F"/>
    <w:rsid w:val="00AA347F"/>
    <w:rsid w:val="00AA4C81"/>
    <w:rsid w:val="00AA5542"/>
    <w:rsid w:val="00AA63FC"/>
    <w:rsid w:val="00AA755C"/>
    <w:rsid w:val="00AB0510"/>
    <w:rsid w:val="00AB16CE"/>
    <w:rsid w:val="00AB2B46"/>
    <w:rsid w:val="00AB319F"/>
    <w:rsid w:val="00AB33B0"/>
    <w:rsid w:val="00AB41E6"/>
    <w:rsid w:val="00AC0D89"/>
    <w:rsid w:val="00AC0EE0"/>
    <w:rsid w:val="00AC5AED"/>
    <w:rsid w:val="00AC61DB"/>
    <w:rsid w:val="00AC733F"/>
    <w:rsid w:val="00AC7532"/>
    <w:rsid w:val="00AC75E0"/>
    <w:rsid w:val="00AD0110"/>
    <w:rsid w:val="00AD0DD4"/>
    <w:rsid w:val="00AD4A28"/>
    <w:rsid w:val="00AD4FB7"/>
    <w:rsid w:val="00AE01C7"/>
    <w:rsid w:val="00AE0D5F"/>
    <w:rsid w:val="00AE1F9E"/>
    <w:rsid w:val="00AE3F07"/>
    <w:rsid w:val="00AE4FF3"/>
    <w:rsid w:val="00AE6E24"/>
    <w:rsid w:val="00AE7B45"/>
    <w:rsid w:val="00AF2092"/>
    <w:rsid w:val="00AF4D91"/>
    <w:rsid w:val="00AF600D"/>
    <w:rsid w:val="00B01191"/>
    <w:rsid w:val="00B01506"/>
    <w:rsid w:val="00B0406C"/>
    <w:rsid w:val="00B10684"/>
    <w:rsid w:val="00B12188"/>
    <w:rsid w:val="00B20200"/>
    <w:rsid w:val="00B21202"/>
    <w:rsid w:val="00B21F1C"/>
    <w:rsid w:val="00B23017"/>
    <w:rsid w:val="00B24F2E"/>
    <w:rsid w:val="00B26CAC"/>
    <w:rsid w:val="00B30333"/>
    <w:rsid w:val="00B3239D"/>
    <w:rsid w:val="00B3304F"/>
    <w:rsid w:val="00B335BD"/>
    <w:rsid w:val="00B33A63"/>
    <w:rsid w:val="00B3561B"/>
    <w:rsid w:val="00B371BA"/>
    <w:rsid w:val="00B4000B"/>
    <w:rsid w:val="00B407DD"/>
    <w:rsid w:val="00B40AE6"/>
    <w:rsid w:val="00B44E23"/>
    <w:rsid w:val="00B46AE3"/>
    <w:rsid w:val="00B5061B"/>
    <w:rsid w:val="00B5151A"/>
    <w:rsid w:val="00B516A6"/>
    <w:rsid w:val="00B52484"/>
    <w:rsid w:val="00B52EFC"/>
    <w:rsid w:val="00B56221"/>
    <w:rsid w:val="00B5687F"/>
    <w:rsid w:val="00B61FE9"/>
    <w:rsid w:val="00B66123"/>
    <w:rsid w:val="00B6668F"/>
    <w:rsid w:val="00B6691E"/>
    <w:rsid w:val="00B67A7F"/>
    <w:rsid w:val="00B74CE3"/>
    <w:rsid w:val="00B75031"/>
    <w:rsid w:val="00B777FA"/>
    <w:rsid w:val="00B805D1"/>
    <w:rsid w:val="00B8068D"/>
    <w:rsid w:val="00B806DE"/>
    <w:rsid w:val="00B8078D"/>
    <w:rsid w:val="00B82C9B"/>
    <w:rsid w:val="00B84838"/>
    <w:rsid w:val="00B879F8"/>
    <w:rsid w:val="00B91FDD"/>
    <w:rsid w:val="00B9206C"/>
    <w:rsid w:val="00B924F6"/>
    <w:rsid w:val="00B92744"/>
    <w:rsid w:val="00B95E0D"/>
    <w:rsid w:val="00B968D2"/>
    <w:rsid w:val="00B96F92"/>
    <w:rsid w:val="00B97D0B"/>
    <w:rsid w:val="00BA190C"/>
    <w:rsid w:val="00BA3906"/>
    <w:rsid w:val="00BA4532"/>
    <w:rsid w:val="00BA7C4F"/>
    <w:rsid w:val="00BB05B1"/>
    <w:rsid w:val="00BB1D9E"/>
    <w:rsid w:val="00BB640E"/>
    <w:rsid w:val="00BB65F8"/>
    <w:rsid w:val="00BB7D85"/>
    <w:rsid w:val="00BC1125"/>
    <w:rsid w:val="00BC1E3B"/>
    <w:rsid w:val="00BC4C76"/>
    <w:rsid w:val="00BC5478"/>
    <w:rsid w:val="00BD042C"/>
    <w:rsid w:val="00BD0E2E"/>
    <w:rsid w:val="00BD2936"/>
    <w:rsid w:val="00BD2AC7"/>
    <w:rsid w:val="00BD4899"/>
    <w:rsid w:val="00BD54CC"/>
    <w:rsid w:val="00BD58E4"/>
    <w:rsid w:val="00BD64F6"/>
    <w:rsid w:val="00BD69F2"/>
    <w:rsid w:val="00BD714A"/>
    <w:rsid w:val="00BD7799"/>
    <w:rsid w:val="00BE00AF"/>
    <w:rsid w:val="00BE0C17"/>
    <w:rsid w:val="00BE14B3"/>
    <w:rsid w:val="00BE29E4"/>
    <w:rsid w:val="00BE2E1F"/>
    <w:rsid w:val="00BE3164"/>
    <w:rsid w:val="00BE44E7"/>
    <w:rsid w:val="00BE56E7"/>
    <w:rsid w:val="00BE6881"/>
    <w:rsid w:val="00BE7250"/>
    <w:rsid w:val="00BF0A61"/>
    <w:rsid w:val="00BF0AFA"/>
    <w:rsid w:val="00BF0D06"/>
    <w:rsid w:val="00BF27B3"/>
    <w:rsid w:val="00BF322B"/>
    <w:rsid w:val="00BF5711"/>
    <w:rsid w:val="00BF75FB"/>
    <w:rsid w:val="00C01441"/>
    <w:rsid w:val="00C0209A"/>
    <w:rsid w:val="00C0253B"/>
    <w:rsid w:val="00C03D73"/>
    <w:rsid w:val="00C045EC"/>
    <w:rsid w:val="00C04F6B"/>
    <w:rsid w:val="00C05839"/>
    <w:rsid w:val="00C05DBA"/>
    <w:rsid w:val="00C100B8"/>
    <w:rsid w:val="00C10224"/>
    <w:rsid w:val="00C21981"/>
    <w:rsid w:val="00C220A8"/>
    <w:rsid w:val="00C23D51"/>
    <w:rsid w:val="00C251D4"/>
    <w:rsid w:val="00C2763D"/>
    <w:rsid w:val="00C31623"/>
    <w:rsid w:val="00C33111"/>
    <w:rsid w:val="00C40453"/>
    <w:rsid w:val="00C41E81"/>
    <w:rsid w:val="00C4222A"/>
    <w:rsid w:val="00C42834"/>
    <w:rsid w:val="00C440A8"/>
    <w:rsid w:val="00C45394"/>
    <w:rsid w:val="00C45D2A"/>
    <w:rsid w:val="00C50547"/>
    <w:rsid w:val="00C537AE"/>
    <w:rsid w:val="00C554ED"/>
    <w:rsid w:val="00C55EED"/>
    <w:rsid w:val="00C57C82"/>
    <w:rsid w:val="00C60B50"/>
    <w:rsid w:val="00C60CBD"/>
    <w:rsid w:val="00C60F10"/>
    <w:rsid w:val="00C6110D"/>
    <w:rsid w:val="00C62153"/>
    <w:rsid w:val="00C622E2"/>
    <w:rsid w:val="00C62D61"/>
    <w:rsid w:val="00C674AD"/>
    <w:rsid w:val="00C71CB6"/>
    <w:rsid w:val="00C72325"/>
    <w:rsid w:val="00C7432A"/>
    <w:rsid w:val="00C74646"/>
    <w:rsid w:val="00C74735"/>
    <w:rsid w:val="00C747C4"/>
    <w:rsid w:val="00C75628"/>
    <w:rsid w:val="00C75930"/>
    <w:rsid w:val="00C774AE"/>
    <w:rsid w:val="00C77AD3"/>
    <w:rsid w:val="00C85F7A"/>
    <w:rsid w:val="00C87217"/>
    <w:rsid w:val="00C87CE3"/>
    <w:rsid w:val="00C87F14"/>
    <w:rsid w:val="00C90285"/>
    <w:rsid w:val="00C90648"/>
    <w:rsid w:val="00C90F1D"/>
    <w:rsid w:val="00C92CA1"/>
    <w:rsid w:val="00C93561"/>
    <w:rsid w:val="00C95414"/>
    <w:rsid w:val="00C96781"/>
    <w:rsid w:val="00C97CC0"/>
    <w:rsid w:val="00C97E0A"/>
    <w:rsid w:val="00CA08E1"/>
    <w:rsid w:val="00CA3652"/>
    <w:rsid w:val="00CA7CAD"/>
    <w:rsid w:val="00CB06B8"/>
    <w:rsid w:val="00CB1A74"/>
    <w:rsid w:val="00CB3DB7"/>
    <w:rsid w:val="00CB4623"/>
    <w:rsid w:val="00CB5989"/>
    <w:rsid w:val="00CB6F4A"/>
    <w:rsid w:val="00CC1D03"/>
    <w:rsid w:val="00CC472C"/>
    <w:rsid w:val="00CD1689"/>
    <w:rsid w:val="00CD7EAB"/>
    <w:rsid w:val="00CE0240"/>
    <w:rsid w:val="00CE42FD"/>
    <w:rsid w:val="00CE766F"/>
    <w:rsid w:val="00CF050A"/>
    <w:rsid w:val="00CF2F58"/>
    <w:rsid w:val="00CF3263"/>
    <w:rsid w:val="00CF5044"/>
    <w:rsid w:val="00CF5181"/>
    <w:rsid w:val="00CF57E8"/>
    <w:rsid w:val="00CF6EA6"/>
    <w:rsid w:val="00CF772E"/>
    <w:rsid w:val="00CF79A1"/>
    <w:rsid w:val="00CF7D0E"/>
    <w:rsid w:val="00D008AE"/>
    <w:rsid w:val="00D0178F"/>
    <w:rsid w:val="00D0334E"/>
    <w:rsid w:val="00D0396F"/>
    <w:rsid w:val="00D049C1"/>
    <w:rsid w:val="00D07108"/>
    <w:rsid w:val="00D121C1"/>
    <w:rsid w:val="00D15704"/>
    <w:rsid w:val="00D17037"/>
    <w:rsid w:val="00D22218"/>
    <w:rsid w:val="00D23DEB"/>
    <w:rsid w:val="00D2448E"/>
    <w:rsid w:val="00D2465E"/>
    <w:rsid w:val="00D2659B"/>
    <w:rsid w:val="00D26AC4"/>
    <w:rsid w:val="00D35C9B"/>
    <w:rsid w:val="00D36BC6"/>
    <w:rsid w:val="00D4346B"/>
    <w:rsid w:val="00D43B2D"/>
    <w:rsid w:val="00D454B1"/>
    <w:rsid w:val="00D522D6"/>
    <w:rsid w:val="00D559DC"/>
    <w:rsid w:val="00D5693D"/>
    <w:rsid w:val="00D579E0"/>
    <w:rsid w:val="00D601E9"/>
    <w:rsid w:val="00D604FB"/>
    <w:rsid w:val="00D64C05"/>
    <w:rsid w:val="00D65ACC"/>
    <w:rsid w:val="00D6670A"/>
    <w:rsid w:val="00D70DC3"/>
    <w:rsid w:val="00D70FC5"/>
    <w:rsid w:val="00D71693"/>
    <w:rsid w:val="00D71BBC"/>
    <w:rsid w:val="00D73896"/>
    <w:rsid w:val="00D73D69"/>
    <w:rsid w:val="00D7446E"/>
    <w:rsid w:val="00D76128"/>
    <w:rsid w:val="00D773B1"/>
    <w:rsid w:val="00D7779D"/>
    <w:rsid w:val="00D82EE1"/>
    <w:rsid w:val="00D831AD"/>
    <w:rsid w:val="00D8399A"/>
    <w:rsid w:val="00D843D7"/>
    <w:rsid w:val="00D843E8"/>
    <w:rsid w:val="00D90457"/>
    <w:rsid w:val="00D910C7"/>
    <w:rsid w:val="00D93CA5"/>
    <w:rsid w:val="00D952E3"/>
    <w:rsid w:val="00D95D4E"/>
    <w:rsid w:val="00D96515"/>
    <w:rsid w:val="00DA0CA5"/>
    <w:rsid w:val="00DA0D2F"/>
    <w:rsid w:val="00DA193A"/>
    <w:rsid w:val="00DA1CA2"/>
    <w:rsid w:val="00DA24DA"/>
    <w:rsid w:val="00DA312E"/>
    <w:rsid w:val="00DA60C8"/>
    <w:rsid w:val="00DA62F6"/>
    <w:rsid w:val="00DA6D2A"/>
    <w:rsid w:val="00DA7B86"/>
    <w:rsid w:val="00DB52F0"/>
    <w:rsid w:val="00DB54B6"/>
    <w:rsid w:val="00DB5D15"/>
    <w:rsid w:val="00DC086A"/>
    <w:rsid w:val="00DC151A"/>
    <w:rsid w:val="00DC6645"/>
    <w:rsid w:val="00DD08EF"/>
    <w:rsid w:val="00DD0CCB"/>
    <w:rsid w:val="00DD1CDE"/>
    <w:rsid w:val="00DD1CE5"/>
    <w:rsid w:val="00DD3C25"/>
    <w:rsid w:val="00DD6CA7"/>
    <w:rsid w:val="00DD6F7B"/>
    <w:rsid w:val="00DD7069"/>
    <w:rsid w:val="00DE0657"/>
    <w:rsid w:val="00DE0D58"/>
    <w:rsid w:val="00DE506C"/>
    <w:rsid w:val="00DE6248"/>
    <w:rsid w:val="00DE63F0"/>
    <w:rsid w:val="00DF1778"/>
    <w:rsid w:val="00E00BE2"/>
    <w:rsid w:val="00E03181"/>
    <w:rsid w:val="00E04E7D"/>
    <w:rsid w:val="00E04F21"/>
    <w:rsid w:val="00E0740E"/>
    <w:rsid w:val="00E07B8F"/>
    <w:rsid w:val="00E07C46"/>
    <w:rsid w:val="00E10170"/>
    <w:rsid w:val="00E1061D"/>
    <w:rsid w:val="00E10A4D"/>
    <w:rsid w:val="00E1121C"/>
    <w:rsid w:val="00E11D33"/>
    <w:rsid w:val="00E1270B"/>
    <w:rsid w:val="00E12C85"/>
    <w:rsid w:val="00E130BD"/>
    <w:rsid w:val="00E13C2D"/>
    <w:rsid w:val="00E15693"/>
    <w:rsid w:val="00E16395"/>
    <w:rsid w:val="00E2603B"/>
    <w:rsid w:val="00E2683F"/>
    <w:rsid w:val="00E26AF6"/>
    <w:rsid w:val="00E27143"/>
    <w:rsid w:val="00E34A8C"/>
    <w:rsid w:val="00E36B93"/>
    <w:rsid w:val="00E40F02"/>
    <w:rsid w:val="00E41412"/>
    <w:rsid w:val="00E42813"/>
    <w:rsid w:val="00E4629F"/>
    <w:rsid w:val="00E46491"/>
    <w:rsid w:val="00E47639"/>
    <w:rsid w:val="00E505CF"/>
    <w:rsid w:val="00E54535"/>
    <w:rsid w:val="00E562EB"/>
    <w:rsid w:val="00E57A52"/>
    <w:rsid w:val="00E60762"/>
    <w:rsid w:val="00E62D37"/>
    <w:rsid w:val="00E663B0"/>
    <w:rsid w:val="00E70623"/>
    <w:rsid w:val="00E73305"/>
    <w:rsid w:val="00E76EA4"/>
    <w:rsid w:val="00E82325"/>
    <w:rsid w:val="00E824B1"/>
    <w:rsid w:val="00E83E97"/>
    <w:rsid w:val="00E83F46"/>
    <w:rsid w:val="00E85741"/>
    <w:rsid w:val="00E8575F"/>
    <w:rsid w:val="00E86F4F"/>
    <w:rsid w:val="00E91235"/>
    <w:rsid w:val="00E91DBF"/>
    <w:rsid w:val="00E92ED1"/>
    <w:rsid w:val="00E95A5E"/>
    <w:rsid w:val="00E96C38"/>
    <w:rsid w:val="00E96FA5"/>
    <w:rsid w:val="00EA30CF"/>
    <w:rsid w:val="00EA486C"/>
    <w:rsid w:val="00EA596B"/>
    <w:rsid w:val="00EA6812"/>
    <w:rsid w:val="00EA7DA0"/>
    <w:rsid w:val="00EB1D03"/>
    <w:rsid w:val="00EB3180"/>
    <w:rsid w:val="00EB3C8E"/>
    <w:rsid w:val="00EB4E5C"/>
    <w:rsid w:val="00EC1C94"/>
    <w:rsid w:val="00EC45E1"/>
    <w:rsid w:val="00EC5433"/>
    <w:rsid w:val="00EC59B5"/>
    <w:rsid w:val="00EC7E15"/>
    <w:rsid w:val="00ED0489"/>
    <w:rsid w:val="00ED0F1A"/>
    <w:rsid w:val="00ED2058"/>
    <w:rsid w:val="00ED2364"/>
    <w:rsid w:val="00ED345F"/>
    <w:rsid w:val="00ED37AC"/>
    <w:rsid w:val="00ED4B04"/>
    <w:rsid w:val="00ED4B91"/>
    <w:rsid w:val="00ED4F32"/>
    <w:rsid w:val="00ED56B6"/>
    <w:rsid w:val="00ED6034"/>
    <w:rsid w:val="00ED6308"/>
    <w:rsid w:val="00EE1D59"/>
    <w:rsid w:val="00EE370B"/>
    <w:rsid w:val="00EE4029"/>
    <w:rsid w:val="00EE4332"/>
    <w:rsid w:val="00EE495F"/>
    <w:rsid w:val="00EE59F4"/>
    <w:rsid w:val="00EE74DF"/>
    <w:rsid w:val="00EF08F3"/>
    <w:rsid w:val="00EF3838"/>
    <w:rsid w:val="00EF62C6"/>
    <w:rsid w:val="00EF6426"/>
    <w:rsid w:val="00EF67BA"/>
    <w:rsid w:val="00EF6C10"/>
    <w:rsid w:val="00F007B3"/>
    <w:rsid w:val="00F01F27"/>
    <w:rsid w:val="00F027B2"/>
    <w:rsid w:val="00F02B46"/>
    <w:rsid w:val="00F03D61"/>
    <w:rsid w:val="00F053DE"/>
    <w:rsid w:val="00F07F68"/>
    <w:rsid w:val="00F10A34"/>
    <w:rsid w:val="00F11DD9"/>
    <w:rsid w:val="00F12412"/>
    <w:rsid w:val="00F12605"/>
    <w:rsid w:val="00F1399C"/>
    <w:rsid w:val="00F15D53"/>
    <w:rsid w:val="00F16685"/>
    <w:rsid w:val="00F16B2E"/>
    <w:rsid w:val="00F2330F"/>
    <w:rsid w:val="00F23522"/>
    <w:rsid w:val="00F24832"/>
    <w:rsid w:val="00F266B4"/>
    <w:rsid w:val="00F26CFF"/>
    <w:rsid w:val="00F31647"/>
    <w:rsid w:val="00F31666"/>
    <w:rsid w:val="00F34A8A"/>
    <w:rsid w:val="00F3765F"/>
    <w:rsid w:val="00F376E1"/>
    <w:rsid w:val="00F408F7"/>
    <w:rsid w:val="00F452E6"/>
    <w:rsid w:val="00F4599B"/>
    <w:rsid w:val="00F5082E"/>
    <w:rsid w:val="00F52452"/>
    <w:rsid w:val="00F5480E"/>
    <w:rsid w:val="00F551DC"/>
    <w:rsid w:val="00F60457"/>
    <w:rsid w:val="00F60DD5"/>
    <w:rsid w:val="00F625C5"/>
    <w:rsid w:val="00F646A8"/>
    <w:rsid w:val="00F64934"/>
    <w:rsid w:val="00F65A8A"/>
    <w:rsid w:val="00F65CEE"/>
    <w:rsid w:val="00F6623D"/>
    <w:rsid w:val="00F67E5B"/>
    <w:rsid w:val="00F719C7"/>
    <w:rsid w:val="00F746E6"/>
    <w:rsid w:val="00F74A59"/>
    <w:rsid w:val="00F758A7"/>
    <w:rsid w:val="00F77DC7"/>
    <w:rsid w:val="00F80790"/>
    <w:rsid w:val="00F823E8"/>
    <w:rsid w:val="00F82570"/>
    <w:rsid w:val="00F82B09"/>
    <w:rsid w:val="00F852D6"/>
    <w:rsid w:val="00F87B7B"/>
    <w:rsid w:val="00F91C99"/>
    <w:rsid w:val="00F92C25"/>
    <w:rsid w:val="00F92CC3"/>
    <w:rsid w:val="00F9615F"/>
    <w:rsid w:val="00F96927"/>
    <w:rsid w:val="00F97968"/>
    <w:rsid w:val="00FA3CE8"/>
    <w:rsid w:val="00FA5A87"/>
    <w:rsid w:val="00FB1AB1"/>
    <w:rsid w:val="00FB4961"/>
    <w:rsid w:val="00FB5B9A"/>
    <w:rsid w:val="00FB7689"/>
    <w:rsid w:val="00FB7F8F"/>
    <w:rsid w:val="00FC020F"/>
    <w:rsid w:val="00FC07F7"/>
    <w:rsid w:val="00FC50E2"/>
    <w:rsid w:val="00FC7517"/>
    <w:rsid w:val="00FD0E0D"/>
    <w:rsid w:val="00FD33F9"/>
    <w:rsid w:val="00FD66B8"/>
    <w:rsid w:val="00FD6B1D"/>
    <w:rsid w:val="00FD7A57"/>
    <w:rsid w:val="00FE00A3"/>
    <w:rsid w:val="00FE2042"/>
    <w:rsid w:val="00FE2B7E"/>
    <w:rsid w:val="00FE33CB"/>
    <w:rsid w:val="00FE3D7F"/>
    <w:rsid w:val="00FF5532"/>
    <w:rsid w:val="00FF6197"/>
    <w:rsid w:val="00FF63D8"/>
    <w:rsid w:val="00FF67BC"/>
    <w:rsid w:val="1A254B19"/>
    <w:rsid w:val="1C5741A5"/>
    <w:rsid w:val="21EA0FAA"/>
    <w:rsid w:val="4382B70B"/>
    <w:rsid w:val="72A5068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6174A"/>
  <w15:chartTrackingRefBased/>
  <w15:docId w15:val="{48D76EEA-8C03-B44C-9826-0483DBFA6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EEA"/>
    <w:rPr>
      <w:sz w:val="21"/>
    </w:rPr>
  </w:style>
  <w:style w:type="paragraph" w:styleId="Heading1">
    <w:name w:val="heading 1"/>
    <w:basedOn w:val="Normal"/>
    <w:next w:val="Normal"/>
    <w:link w:val="Heading1Char"/>
    <w:uiPriority w:val="9"/>
    <w:qFormat/>
    <w:rsid w:val="00687AF3"/>
    <w:pPr>
      <w:keepNext/>
      <w:keepLines/>
      <w:numPr>
        <w:numId w:val="1"/>
      </w:numPr>
      <w:pBdr>
        <w:bottom w:val="single" w:sz="4" w:space="1" w:color="auto"/>
      </w:pBdr>
      <w:spacing w:after="0" w:line="240" w:lineRule="auto"/>
      <w:outlineLvl w:val="0"/>
    </w:pPr>
    <w:rPr>
      <w:rFonts w:eastAsiaTheme="majorEastAsia" w:cstheme="minorHAnsi"/>
      <w:b/>
      <w:bCs/>
      <w:color w:val="4472C4" w:themeColor="accent1"/>
      <w:sz w:val="28"/>
      <w:szCs w:val="28"/>
    </w:rPr>
  </w:style>
  <w:style w:type="paragraph" w:styleId="Heading2">
    <w:name w:val="heading 2"/>
    <w:basedOn w:val="ListParagraph"/>
    <w:next w:val="Normal"/>
    <w:link w:val="Heading2Char"/>
    <w:uiPriority w:val="9"/>
    <w:unhideWhenUsed/>
    <w:qFormat/>
    <w:rsid w:val="00687AF3"/>
    <w:pPr>
      <w:numPr>
        <w:ilvl w:val="1"/>
        <w:numId w:val="1"/>
      </w:numPr>
      <w:spacing w:before="120" w:after="0" w:line="240" w:lineRule="auto"/>
      <w:outlineLvl w:val="1"/>
    </w:pPr>
    <w:rPr>
      <w:rFonts w:cstheme="minorHAnsi"/>
      <w:b/>
      <w:bCs/>
      <w:color w:val="ED7D31" w:themeColor="accent2"/>
      <w:sz w:val="24"/>
      <w:szCs w:val="24"/>
    </w:rPr>
  </w:style>
  <w:style w:type="paragraph" w:styleId="Heading3">
    <w:name w:val="heading 3"/>
    <w:basedOn w:val="Normal"/>
    <w:next w:val="Normal"/>
    <w:link w:val="Heading3Char"/>
    <w:uiPriority w:val="9"/>
    <w:unhideWhenUsed/>
    <w:qFormat/>
    <w:rsid w:val="00687AF3"/>
    <w:pPr>
      <w:keepNext/>
      <w:keepLines/>
      <w:numPr>
        <w:ilvl w:val="2"/>
        <w:numId w:val="1"/>
      </w:numPr>
      <w:spacing w:after="0" w:line="240" w:lineRule="auto"/>
      <w:contextualSpacing/>
      <w:outlineLvl w:val="2"/>
    </w:pPr>
    <w:rPr>
      <w:rFonts w:eastAsiaTheme="majorEastAsia" w:cstheme="minorHAnsi"/>
      <w:b/>
      <w:bCs/>
      <w:color w:val="ED7D31" w:themeColor="accent2"/>
    </w:rPr>
  </w:style>
  <w:style w:type="paragraph" w:styleId="Heading4">
    <w:name w:val="heading 4"/>
    <w:basedOn w:val="Heading3"/>
    <w:next w:val="Normal"/>
    <w:link w:val="Heading4Char"/>
    <w:uiPriority w:val="9"/>
    <w:unhideWhenUsed/>
    <w:qFormat/>
    <w:rsid w:val="00687AF3"/>
    <w:pPr>
      <w:numPr>
        <w:ilvl w:val="3"/>
      </w:numPr>
      <w:outlineLvl w:val="3"/>
    </w:pPr>
    <w:rPr>
      <w:rFonts w:asciiTheme="majorHAnsi" w:hAnsiTheme="majorHAnsi" w:cstheme="majorHAnsi"/>
      <w:i/>
      <w:iCs/>
    </w:rPr>
  </w:style>
  <w:style w:type="paragraph" w:styleId="Heading5">
    <w:name w:val="heading 5"/>
    <w:basedOn w:val="Normal"/>
    <w:next w:val="Normal"/>
    <w:link w:val="Heading5Char"/>
    <w:uiPriority w:val="9"/>
    <w:unhideWhenUsed/>
    <w:qFormat/>
    <w:rsid w:val="00687AF3"/>
    <w:pPr>
      <w:keepNext/>
      <w:keepLines/>
      <w:numPr>
        <w:ilvl w:val="4"/>
        <w:numId w:val="1"/>
      </w:numPr>
      <w:spacing w:before="40" w:after="0" w:line="240" w:lineRule="auto"/>
      <w:outlineLvl w:val="4"/>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87AF3"/>
    <w:rPr>
      <w:rFonts w:cstheme="minorHAnsi"/>
      <w:b/>
      <w:bCs/>
      <w:color w:val="ED7D31" w:themeColor="accent2"/>
      <w:sz w:val="24"/>
      <w:szCs w:val="24"/>
    </w:rPr>
  </w:style>
  <w:style w:type="character" w:styleId="Emphasis">
    <w:name w:val="Emphasis"/>
    <w:uiPriority w:val="20"/>
    <w:qFormat/>
    <w:rsid w:val="00687AF3"/>
    <w:rPr>
      <w:rFonts w:asciiTheme="minorHAnsi" w:hAnsiTheme="minorHAnsi"/>
      <w:b/>
      <w:bCs/>
      <w:i/>
      <w:iCs/>
      <w:color w:val="A5A5A5" w:themeColor="accent3"/>
    </w:rPr>
  </w:style>
  <w:style w:type="character" w:customStyle="1" w:styleId="Heading1Char">
    <w:name w:val="Heading 1 Char"/>
    <w:basedOn w:val="DefaultParagraphFont"/>
    <w:link w:val="Heading1"/>
    <w:uiPriority w:val="9"/>
    <w:rsid w:val="00687AF3"/>
    <w:rPr>
      <w:rFonts w:eastAsiaTheme="majorEastAsia" w:cstheme="minorHAnsi"/>
      <w:b/>
      <w:bCs/>
      <w:color w:val="4472C4" w:themeColor="accent1"/>
      <w:sz w:val="28"/>
      <w:szCs w:val="28"/>
    </w:rPr>
  </w:style>
  <w:style w:type="paragraph" w:styleId="ListParagraph">
    <w:name w:val="List Paragraph"/>
    <w:basedOn w:val="Normal"/>
    <w:uiPriority w:val="34"/>
    <w:qFormat/>
    <w:rsid w:val="00687AF3"/>
    <w:pPr>
      <w:ind w:left="720"/>
      <w:contextualSpacing/>
    </w:pPr>
  </w:style>
  <w:style w:type="character" w:customStyle="1" w:styleId="Heading3Char">
    <w:name w:val="Heading 3 Char"/>
    <w:basedOn w:val="DefaultParagraphFont"/>
    <w:link w:val="Heading3"/>
    <w:uiPriority w:val="9"/>
    <w:rsid w:val="00687AF3"/>
    <w:rPr>
      <w:rFonts w:eastAsiaTheme="majorEastAsia" w:cstheme="minorHAnsi"/>
      <w:b/>
      <w:bCs/>
      <w:color w:val="ED7D31" w:themeColor="accent2"/>
      <w:sz w:val="21"/>
    </w:rPr>
  </w:style>
  <w:style w:type="character" w:customStyle="1" w:styleId="Heading4Char">
    <w:name w:val="Heading 4 Char"/>
    <w:basedOn w:val="DefaultParagraphFont"/>
    <w:link w:val="Heading4"/>
    <w:uiPriority w:val="9"/>
    <w:rsid w:val="00687AF3"/>
    <w:rPr>
      <w:rFonts w:asciiTheme="majorHAnsi" w:eastAsiaTheme="majorEastAsia" w:hAnsiTheme="majorHAnsi" w:cstheme="majorHAnsi"/>
      <w:b/>
      <w:bCs/>
      <w:i/>
      <w:iCs/>
      <w:color w:val="ED7D31" w:themeColor="accent2"/>
      <w:sz w:val="21"/>
    </w:rPr>
  </w:style>
  <w:style w:type="character" w:customStyle="1" w:styleId="Heading5Char">
    <w:name w:val="Heading 5 Char"/>
    <w:basedOn w:val="DefaultParagraphFont"/>
    <w:link w:val="Heading5"/>
    <w:uiPriority w:val="9"/>
    <w:rsid w:val="00687AF3"/>
    <w:rPr>
      <w:rFonts w:asciiTheme="majorHAnsi" w:eastAsiaTheme="majorEastAsia" w:hAnsiTheme="majorHAnsi" w:cstheme="majorBidi"/>
      <w:i/>
      <w:iCs/>
      <w:color w:val="2F5496" w:themeColor="accent1" w:themeShade="BF"/>
      <w:sz w:val="21"/>
    </w:rPr>
  </w:style>
  <w:style w:type="paragraph" w:styleId="FootnoteText">
    <w:name w:val="footnote text"/>
    <w:basedOn w:val="Normal"/>
    <w:link w:val="FootnoteTextChar"/>
    <w:uiPriority w:val="99"/>
    <w:semiHidden/>
    <w:unhideWhenUsed/>
    <w:rsid w:val="00AA347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A347F"/>
    <w:rPr>
      <w:sz w:val="20"/>
      <w:szCs w:val="20"/>
    </w:rPr>
  </w:style>
  <w:style w:type="character" w:styleId="FootnoteReference">
    <w:name w:val="footnote reference"/>
    <w:basedOn w:val="DefaultParagraphFont"/>
    <w:uiPriority w:val="99"/>
    <w:unhideWhenUsed/>
    <w:rsid w:val="00AA347F"/>
    <w:rPr>
      <w:vertAlign w:val="superscript"/>
    </w:rPr>
  </w:style>
  <w:style w:type="character" w:styleId="Hyperlink">
    <w:name w:val="Hyperlink"/>
    <w:basedOn w:val="DefaultParagraphFont"/>
    <w:uiPriority w:val="99"/>
    <w:unhideWhenUsed/>
    <w:rsid w:val="00AA347F"/>
    <w:rPr>
      <w:color w:val="0563C1" w:themeColor="hyperlink"/>
      <w:u w:val="single"/>
    </w:rPr>
  </w:style>
  <w:style w:type="table" w:customStyle="1" w:styleId="GridTable4-Accent41">
    <w:name w:val="Grid Table 4 - Accent 41"/>
    <w:basedOn w:val="TableNormal"/>
    <w:next w:val="GridTable4-Accent4"/>
    <w:uiPriority w:val="49"/>
    <w:rsid w:val="00AA347F"/>
    <w:pPr>
      <w:spacing w:after="0" w:line="240" w:lineRule="auto"/>
    </w:pPr>
    <w:tblPr>
      <w:tblStyleRowBandSize w:val="1"/>
      <w:tblStyleColBandSize w:val="1"/>
      <w:tblBorders>
        <w:top w:val="single" w:sz="4" w:space="0" w:color="70C2CE"/>
        <w:left w:val="single" w:sz="4" w:space="0" w:color="70C2CE"/>
        <w:bottom w:val="single" w:sz="4" w:space="0" w:color="70C2CE"/>
        <w:right w:val="single" w:sz="4" w:space="0" w:color="70C2CE"/>
        <w:insideH w:val="single" w:sz="4" w:space="0" w:color="70C2CE"/>
        <w:insideV w:val="single" w:sz="4" w:space="0" w:color="70C2CE"/>
      </w:tblBorders>
    </w:tblPr>
    <w:tblStylePr w:type="firstRow">
      <w:rPr>
        <w:b/>
        <w:bCs/>
        <w:color w:val="FFFFFF"/>
      </w:rPr>
      <w:tblPr/>
      <w:tcPr>
        <w:tcBorders>
          <w:top w:val="single" w:sz="4" w:space="0" w:color="31838F"/>
          <w:left w:val="single" w:sz="4" w:space="0" w:color="31838F"/>
          <w:bottom w:val="single" w:sz="4" w:space="0" w:color="31838F"/>
          <w:right w:val="single" w:sz="4" w:space="0" w:color="31838F"/>
          <w:insideH w:val="nil"/>
          <w:insideV w:val="nil"/>
        </w:tcBorders>
        <w:shd w:val="clear" w:color="auto" w:fill="31838F"/>
      </w:tcPr>
    </w:tblStylePr>
    <w:tblStylePr w:type="lastRow">
      <w:rPr>
        <w:b/>
        <w:bCs/>
      </w:rPr>
      <w:tblPr/>
      <w:tcPr>
        <w:tcBorders>
          <w:top w:val="double" w:sz="4" w:space="0" w:color="31838F"/>
        </w:tcBorders>
      </w:tcPr>
    </w:tblStylePr>
    <w:tblStylePr w:type="firstCol">
      <w:rPr>
        <w:b/>
        <w:bCs/>
      </w:rPr>
    </w:tblStylePr>
    <w:tblStylePr w:type="lastCol">
      <w:rPr>
        <w:b/>
        <w:bCs/>
      </w:rPr>
    </w:tblStylePr>
    <w:tblStylePr w:type="band1Vert">
      <w:tblPr/>
      <w:tcPr>
        <w:shd w:val="clear" w:color="auto" w:fill="CFEAEE"/>
      </w:tcPr>
    </w:tblStylePr>
    <w:tblStylePr w:type="band1Horz">
      <w:tblPr/>
      <w:tcPr>
        <w:shd w:val="clear" w:color="auto" w:fill="CFEAEE"/>
      </w:tcPr>
    </w:tblStylePr>
  </w:style>
  <w:style w:type="table" w:styleId="GridTable4-Accent4">
    <w:name w:val="Grid Table 4 Accent 4"/>
    <w:basedOn w:val="TableNormal"/>
    <w:uiPriority w:val="49"/>
    <w:rsid w:val="00AA347F"/>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4-Accent42">
    <w:name w:val="Grid Table 4 - Accent 42"/>
    <w:basedOn w:val="TableNormal"/>
    <w:next w:val="GridTable4-Accent4"/>
    <w:uiPriority w:val="49"/>
    <w:rsid w:val="00AA347F"/>
    <w:pPr>
      <w:spacing w:after="0" w:line="240" w:lineRule="auto"/>
    </w:pPr>
    <w:tblPr>
      <w:tblStyleRowBandSize w:val="1"/>
      <w:tblStyleColBandSize w:val="1"/>
      <w:tblBorders>
        <w:top w:val="single" w:sz="4" w:space="0" w:color="70C2CE"/>
        <w:left w:val="single" w:sz="4" w:space="0" w:color="70C2CE"/>
        <w:bottom w:val="single" w:sz="4" w:space="0" w:color="70C2CE"/>
        <w:right w:val="single" w:sz="4" w:space="0" w:color="70C2CE"/>
        <w:insideH w:val="single" w:sz="4" w:space="0" w:color="70C2CE"/>
        <w:insideV w:val="single" w:sz="4" w:space="0" w:color="70C2CE"/>
      </w:tblBorders>
    </w:tblPr>
    <w:tblStylePr w:type="firstRow">
      <w:rPr>
        <w:b/>
        <w:bCs/>
        <w:color w:val="FFFFFF"/>
      </w:rPr>
      <w:tblPr/>
      <w:tcPr>
        <w:tcBorders>
          <w:top w:val="single" w:sz="4" w:space="0" w:color="31838F"/>
          <w:left w:val="single" w:sz="4" w:space="0" w:color="31838F"/>
          <w:bottom w:val="single" w:sz="4" w:space="0" w:color="31838F"/>
          <w:right w:val="single" w:sz="4" w:space="0" w:color="31838F"/>
          <w:insideH w:val="nil"/>
          <w:insideV w:val="nil"/>
        </w:tcBorders>
        <w:shd w:val="clear" w:color="auto" w:fill="31838F"/>
      </w:tcPr>
    </w:tblStylePr>
    <w:tblStylePr w:type="lastRow">
      <w:rPr>
        <w:b/>
        <w:bCs/>
      </w:rPr>
      <w:tblPr/>
      <w:tcPr>
        <w:tcBorders>
          <w:top w:val="double" w:sz="4" w:space="0" w:color="31838F"/>
        </w:tcBorders>
      </w:tcPr>
    </w:tblStylePr>
    <w:tblStylePr w:type="firstCol">
      <w:rPr>
        <w:b/>
        <w:bCs/>
      </w:rPr>
    </w:tblStylePr>
    <w:tblStylePr w:type="lastCol">
      <w:rPr>
        <w:b/>
        <w:bCs/>
      </w:rPr>
    </w:tblStylePr>
    <w:tblStylePr w:type="band1Vert">
      <w:tblPr/>
      <w:tcPr>
        <w:shd w:val="clear" w:color="auto" w:fill="CFEAEE"/>
      </w:tcPr>
    </w:tblStylePr>
    <w:tblStylePr w:type="band1Horz">
      <w:tblPr/>
      <w:tcPr>
        <w:shd w:val="clear" w:color="auto" w:fill="CFEAEE"/>
      </w:tcPr>
    </w:tblStylePr>
  </w:style>
  <w:style w:type="paragraph" w:styleId="Caption">
    <w:name w:val="caption"/>
    <w:basedOn w:val="Normal"/>
    <w:next w:val="Normal"/>
    <w:uiPriority w:val="35"/>
    <w:unhideWhenUsed/>
    <w:qFormat/>
    <w:rsid w:val="00AA347F"/>
    <w:pPr>
      <w:spacing w:after="200" w:line="240" w:lineRule="auto"/>
    </w:pPr>
    <w:rPr>
      <w:i/>
      <w:iCs/>
      <w:color w:val="44546A" w:themeColor="text2"/>
      <w:sz w:val="18"/>
      <w:szCs w:val="18"/>
    </w:rPr>
  </w:style>
  <w:style w:type="paragraph" w:styleId="Header">
    <w:name w:val="header"/>
    <w:basedOn w:val="Normal"/>
    <w:link w:val="HeaderChar"/>
    <w:uiPriority w:val="99"/>
    <w:unhideWhenUsed/>
    <w:rsid w:val="00AA34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347F"/>
  </w:style>
  <w:style w:type="table" w:customStyle="1" w:styleId="GridTable4-Accent61">
    <w:name w:val="Grid Table 4 - Accent 61"/>
    <w:basedOn w:val="TableNormal"/>
    <w:next w:val="GridTable4-Accent6"/>
    <w:uiPriority w:val="49"/>
    <w:rsid w:val="00AA347F"/>
    <w:pPr>
      <w:spacing w:after="0" w:line="240" w:lineRule="auto"/>
    </w:pPr>
    <w:tblPr>
      <w:tblStyleRowBandSize w:val="1"/>
      <w:tblStyleColBandSize w:val="1"/>
      <w:tblBorders>
        <w:top w:val="single" w:sz="4" w:space="0" w:color="CCCACA"/>
        <w:left w:val="single" w:sz="4" w:space="0" w:color="CCCACA"/>
        <w:bottom w:val="single" w:sz="4" w:space="0" w:color="CCCACA"/>
        <w:right w:val="single" w:sz="4" w:space="0" w:color="CCCACA"/>
        <w:insideH w:val="single" w:sz="4" w:space="0" w:color="CCCACA"/>
        <w:insideV w:val="single" w:sz="4" w:space="0" w:color="CCCACA"/>
      </w:tblBorders>
    </w:tblPr>
    <w:tblStylePr w:type="firstRow">
      <w:rPr>
        <w:b/>
        <w:bCs/>
        <w:color w:val="FFFFFF"/>
      </w:rPr>
      <w:tblPr/>
      <w:tcPr>
        <w:tcBorders>
          <w:top w:val="single" w:sz="4" w:space="0" w:color="ABA7A7"/>
          <w:left w:val="single" w:sz="4" w:space="0" w:color="ABA7A7"/>
          <w:bottom w:val="single" w:sz="4" w:space="0" w:color="ABA7A7"/>
          <w:right w:val="single" w:sz="4" w:space="0" w:color="ABA7A7"/>
          <w:insideH w:val="nil"/>
          <w:insideV w:val="nil"/>
        </w:tcBorders>
        <w:shd w:val="clear" w:color="auto" w:fill="ABA7A7"/>
      </w:tcPr>
    </w:tblStylePr>
    <w:tblStylePr w:type="lastRow">
      <w:rPr>
        <w:b/>
        <w:bCs/>
      </w:rPr>
      <w:tblPr/>
      <w:tcPr>
        <w:tcBorders>
          <w:top w:val="double" w:sz="4" w:space="0" w:color="ABA7A7"/>
        </w:tcBorders>
      </w:tcPr>
    </w:tblStylePr>
    <w:tblStylePr w:type="firstCol">
      <w:rPr>
        <w:b/>
        <w:bCs/>
      </w:rPr>
    </w:tblStylePr>
    <w:tblStylePr w:type="lastCol">
      <w:rPr>
        <w:b/>
        <w:bCs/>
      </w:rPr>
    </w:tblStylePr>
    <w:tblStylePr w:type="band1Vert">
      <w:tblPr/>
      <w:tcPr>
        <w:shd w:val="clear" w:color="auto" w:fill="EEEDED"/>
      </w:tcPr>
    </w:tblStylePr>
    <w:tblStylePr w:type="band1Horz">
      <w:tblPr/>
      <w:tcPr>
        <w:shd w:val="clear" w:color="auto" w:fill="EEEDED"/>
      </w:tcPr>
    </w:tblStylePr>
  </w:style>
  <w:style w:type="table" w:styleId="GridTable4-Accent6">
    <w:name w:val="Grid Table 4 Accent 6"/>
    <w:basedOn w:val="TableNormal"/>
    <w:uiPriority w:val="49"/>
    <w:rsid w:val="00AA347F"/>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Accent3">
    <w:name w:val="List Table 3 Accent 3"/>
    <w:basedOn w:val="TableNormal"/>
    <w:uiPriority w:val="48"/>
    <w:rsid w:val="00AA347F"/>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styleId="CommentReference">
    <w:name w:val="annotation reference"/>
    <w:basedOn w:val="DefaultParagraphFont"/>
    <w:uiPriority w:val="99"/>
    <w:semiHidden/>
    <w:unhideWhenUsed/>
    <w:rsid w:val="00AA347F"/>
    <w:rPr>
      <w:sz w:val="16"/>
      <w:szCs w:val="16"/>
    </w:rPr>
  </w:style>
  <w:style w:type="paragraph" w:styleId="CommentText">
    <w:name w:val="annotation text"/>
    <w:basedOn w:val="Normal"/>
    <w:link w:val="CommentTextChar"/>
    <w:uiPriority w:val="99"/>
    <w:semiHidden/>
    <w:unhideWhenUsed/>
    <w:rsid w:val="00AA347F"/>
    <w:pPr>
      <w:spacing w:line="240" w:lineRule="auto"/>
    </w:pPr>
    <w:rPr>
      <w:sz w:val="20"/>
      <w:szCs w:val="20"/>
    </w:rPr>
  </w:style>
  <w:style w:type="character" w:customStyle="1" w:styleId="CommentTextChar">
    <w:name w:val="Comment Text Char"/>
    <w:basedOn w:val="DefaultParagraphFont"/>
    <w:link w:val="CommentText"/>
    <w:uiPriority w:val="99"/>
    <w:semiHidden/>
    <w:rsid w:val="00AA347F"/>
    <w:rPr>
      <w:sz w:val="20"/>
      <w:szCs w:val="20"/>
    </w:rPr>
  </w:style>
  <w:style w:type="paragraph" w:styleId="Footer">
    <w:name w:val="footer"/>
    <w:basedOn w:val="Normal"/>
    <w:link w:val="FooterChar"/>
    <w:uiPriority w:val="99"/>
    <w:unhideWhenUsed/>
    <w:rsid w:val="00D761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6128"/>
  </w:style>
  <w:style w:type="table" w:styleId="TableGrid">
    <w:name w:val="Table Grid"/>
    <w:basedOn w:val="TableNormal"/>
    <w:uiPriority w:val="39"/>
    <w:rsid w:val="00FB7F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E0B51"/>
    <w:pPr>
      <w:spacing w:after="0" w:line="240" w:lineRule="auto"/>
    </w:pPr>
    <w:rPr>
      <w:sz w:val="21"/>
    </w:rPr>
  </w:style>
  <w:style w:type="character" w:styleId="UnresolvedMention">
    <w:name w:val="Unresolved Mention"/>
    <w:basedOn w:val="DefaultParagraphFont"/>
    <w:uiPriority w:val="99"/>
    <w:semiHidden/>
    <w:unhideWhenUsed/>
    <w:rsid w:val="006603E3"/>
    <w:rPr>
      <w:color w:val="605E5C"/>
      <w:shd w:val="clear" w:color="auto" w:fill="E1DFDD"/>
    </w:rPr>
  </w:style>
  <w:style w:type="paragraph" w:styleId="EndnoteText">
    <w:name w:val="endnote text"/>
    <w:basedOn w:val="Normal"/>
    <w:link w:val="EndnoteTextChar"/>
    <w:uiPriority w:val="99"/>
    <w:semiHidden/>
    <w:unhideWhenUsed/>
    <w:rsid w:val="004645C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645C8"/>
    <w:rPr>
      <w:sz w:val="20"/>
      <w:szCs w:val="20"/>
    </w:rPr>
  </w:style>
  <w:style w:type="character" w:styleId="EndnoteReference">
    <w:name w:val="endnote reference"/>
    <w:basedOn w:val="DefaultParagraphFont"/>
    <w:uiPriority w:val="99"/>
    <w:semiHidden/>
    <w:unhideWhenUsed/>
    <w:rsid w:val="004645C8"/>
    <w:rPr>
      <w:vertAlign w:val="superscript"/>
    </w:rPr>
  </w:style>
  <w:style w:type="character" w:styleId="Strong">
    <w:name w:val="Strong"/>
    <w:basedOn w:val="DefaultParagraphFont"/>
    <w:uiPriority w:val="22"/>
    <w:qFormat/>
    <w:rsid w:val="002F02FA"/>
    <w:rPr>
      <w:b/>
      <w:bCs/>
    </w:rPr>
  </w:style>
  <w:style w:type="paragraph" w:styleId="NormalWeb">
    <w:name w:val="Normal (Web)"/>
    <w:basedOn w:val="Normal"/>
    <w:uiPriority w:val="99"/>
    <w:unhideWhenUsed/>
    <w:rsid w:val="002F02FA"/>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1">
    <w:name w:val="p1"/>
    <w:basedOn w:val="Normal"/>
    <w:rsid w:val="00EF3838"/>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p2">
    <w:name w:val="p2"/>
    <w:basedOn w:val="Normal"/>
    <w:rsid w:val="00EF3838"/>
    <w:pPr>
      <w:spacing w:before="100" w:beforeAutospacing="1" w:after="100" w:afterAutospacing="1" w:line="240" w:lineRule="auto"/>
    </w:pPr>
    <w:rPr>
      <w:rFonts w:ascii="Times New Roman" w:eastAsia="Times New Roman" w:hAnsi="Times New Roman" w:cs="Times New Roman"/>
      <w:sz w:val="24"/>
      <w:szCs w:val="24"/>
      <w:lang w:val="en-US"/>
    </w:rPr>
  </w:style>
  <w:style w:type="table" w:customStyle="1" w:styleId="TableGrid0">
    <w:name w:val="TableGrid"/>
    <w:rsid w:val="000E671F"/>
    <w:pPr>
      <w:spacing w:after="0" w:line="240" w:lineRule="auto"/>
    </w:pPr>
    <w:rPr>
      <w:rFonts w:eastAsiaTheme="minorEastAsia"/>
      <w:kern w:val="2"/>
      <w:sz w:val="24"/>
      <w:szCs w:val="24"/>
      <w:lang w:val="en-US"/>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7427">
      <w:bodyDiv w:val="1"/>
      <w:marLeft w:val="0"/>
      <w:marRight w:val="0"/>
      <w:marTop w:val="0"/>
      <w:marBottom w:val="0"/>
      <w:divBdr>
        <w:top w:val="none" w:sz="0" w:space="0" w:color="auto"/>
        <w:left w:val="none" w:sz="0" w:space="0" w:color="auto"/>
        <w:bottom w:val="none" w:sz="0" w:space="0" w:color="auto"/>
        <w:right w:val="none" w:sz="0" w:space="0" w:color="auto"/>
      </w:divBdr>
    </w:div>
    <w:div w:id="71585103">
      <w:bodyDiv w:val="1"/>
      <w:marLeft w:val="0"/>
      <w:marRight w:val="0"/>
      <w:marTop w:val="0"/>
      <w:marBottom w:val="0"/>
      <w:divBdr>
        <w:top w:val="none" w:sz="0" w:space="0" w:color="auto"/>
        <w:left w:val="none" w:sz="0" w:space="0" w:color="auto"/>
        <w:bottom w:val="none" w:sz="0" w:space="0" w:color="auto"/>
        <w:right w:val="none" w:sz="0" w:space="0" w:color="auto"/>
      </w:divBdr>
    </w:div>
    <w:div w:id="133105263">
      <w:bodyDiv w:val="1"/>
      <w:marLeft w:val="0"/>
      <w:marRight w:val="0"/>
      <w:marTop w:val="0"/>
      <w:marBottom w:val="0"/>
      <w:divBdr>
        <w:top w:val="none" w:sz="0" w:space="0" w:color="auto"/>
        <w:left w:val="none" w:sz="0" w:space="0" w:color="auto"/>
        <w:bottom w:val="none" w:sz="0" w:space="0" w:color="auto"/>
        <w:right w:val="none" w:sz="0" w:space="0" w:color="auto"/>
      </w:divBdr>
    </w:div>
    <w:div w:id="229386658">
      <w:bodyDiv w:val="1"/>
      <w:marLeft w:val="0"/>
      <w:marRight w:val="0"/>
      <w:marTop w:val="0"/>
      <w:marBottom w:val="0"/>
      <w:divBdr>
        <w:top w:val="none" w:sz="0" w:space="0" w:color="auto"/>
        <w:left w:val="none" w:sz="0" w:space="0" w:color="auto"/>
        <w:bottom w:val="none" w:sz="0" w:space="0" w:color="auto"/>
        <w:right w:val="none" w:sz="0" w:space="0" w:color="auto"/>
      </w:divBdr>
    </w:div>
    <w:div w:id="241332259">
      <w:bodyDiv w:val="1"/>
      <w:marLeft w:val="0"/>
      <w:marRight w:val="0"/>
      <w:marTop w:val="0"/>
      <w:marBottom w:val="0"/>
      <w:divBdr>
        <w:top w:val="none" w:sz="0" w:space="0" w:color="auto"/>
        <w:left w:val="none" w:sz="0" w:space="0" w:color="auto"/>
        <w:bottom w:val="none" w:sz="0" w:space="0" w:color="auto"/>
        <w:right w:val="none" w:sz="0" w:space="0" w:color="auto"/>
      </w:divBdr>
    </w:div>
    <w:div w:id="263077236">
      <w:bodyDiv w:val="1"/>
      <w:marLeft w:val="0"/>
      <w:marRight w:val="0"/>
      <w:marTop w:val="0"/>
      <w:marBottom w:val="0"/>
      <w:divBdr>
        <w:top w:val="none" w:sz="0" w:space="0" w:color="auto"/>
        <w:left w:val="none" w:sz="0" w:space="0" w:color="auto"/>
        <w:bottom w:val="none" w:sz="0" w:space="0" w:color="auto"/>
        <w:right w:val="none" w:sz="0" w:space="0" w:color="auto"/>
      </w:divBdr>
    </w:div>
    <w:div w:id="301350020">
      <w:bodyDiv w:val="1"/>
      <w:marLeft w:val="0"/>
      <w:marRight w:val="0"/>
      <w:marTop w:val="0"/>
      <w:marBottom w:val="0"/>
      <w:divBdr>
        <w:top w:val="none" w:sz="0" w:space="0" w:color="auto"/>
        <w:left w:val="none" w:sz="0" w:space="0" w:color="auto"/>
        <w:bottom w:val="none" w:sz="0" w:space="0" w:color="auto"/>
        <w:right w:val="none" w:sz="0" w:space="0" w:color="auto"/>
      </w:divBdr>
    </w:div>
    <w:div w:id="320891525">
      <w:bodyDiv w:val="1"/>
      <w:marLeft w:val="0"/>
      <w:marRight w:val="0"/>
      <w:marTop w:val="0"/>
      <w:marBottom w:val="0"/>
      <w:divBdr>
        <w:top w:val="none" w:sz="0" w:space="0" w:color="auto"/>
        <w:left w:val="none" w:sz="0" w:space="0" w:color="auto"/>
        <w:bottom w:val="none" w:sz="0" w:space="0" w:color="auto"/>
        <w:right w:val="none" w:sz="0" w:space="0" w:color="auto"/>
      </w:divBdr>
    </w:div>
    <w:div w:id="434403504">
      <w:bodyDiv w:val="1"/>
      <w:marLeft w:val="0"/>
      <w:marRight w:val="0"/>
      <w:marTop w:val="0"/>
      <w:marBottom w:val="0"/>
      <w:divBdr>
        <w:top w:val="none" w:sz="0" w:space="0" w:color="auto"/>
        <w:left w:val="none" w:sz="0" w:space="0" w:color="auto"/>
        <w:bottom w:val="none" w:sz="0" w:space="0" w:color="auto"/>
        <w:right w:val="none" w:sz="0" w:space="0" w:color="auto"/>
      </w:divBdr>
    </w:div>
    <w:div w:id="472336481">
      <w:bodyDiv w:val="1"/>
      <w:marLeft w:val="0"/>
      <w:marRight w:val="0"/>
      <w:marTop w:val="0"/>
      <w:marBottom w:val="0"/>
      <w:divBdr>
        <w:top w:val="none" w:sz="0" w:space="0" w:color="auto"/>
        <w:left w:val="none" w:sz="0" w:space="0" w:color="auto"/>
        <w:bottom w:val="none" w:sz="0" w:space="0" w:color="auto"/>
        <w:right w:val="none" w:sz="0" w:space="0" w:color="auto"/>
      </w:divBdr>
    </w:div>
    <w:div w:id="497891643">
      <w:bodyDiv w:val="1"/>
      <w:marLeft w:val="0"/>
      <w:marRight w:val="0"/>
      <w:marTop w:val="0"/>
      <w:marBottom w:val="0"/>
      <w:divBdr>
        <w:top w:val="none" w:sz="0" w:space="0" w:color="auto"/>
        <w:left w:val="none" w:sz="0" w:space="0" w:color="auto"/>
        <w:bottom w:val="none" w:sz="0" w:space="0" w:color="auto"/>
        <w:right w:val="none" w:sz="0" w:space="0" w:color="auto"/>
      </w:divBdr>
    </w:div>
    <w:div w:id="523635860">
      <w:bodyDiv w:val="1"/>
      <w:marLeft w:val="0"/>
      <w:marRight w:val="0"/>
      <w:marTop w:val="0"/>
      <w:marBottom w:val="0"/>
      <w:divBdr>
        <w:top w:val="none" w:sz="0" w:space="0" w:color="auto"/>
        <w:left w:val="none" w:sz="0" w:space="0" w:color="auto"/>
        <w:bottom w:val="none" w:sz="0" w:space="0" w:color="auto"/>
        <w:right w:val="none" w:sz="0" w:space="0" w:color="auto"/>
      </w:divBdr>
    </w:div>
    <w:div w:id="613170029">
      <w:bodyDiv w:val="1"/>
      <w:marLeft w:val="0"/>
      <w:marRight w:val="0"/>
      <w:marTop w:val="0"/>
      <w:marBottom w:val="0"/>
      <w:divBdr>
        <w:top w:val="none" w:sz="0" w:space="0" w:color="auto"/>
        <w:left w:val="none" w:sz="0" w:space="0" w:color="auto"/>
        <w:bottom w:val="none" w:sz="0" w:space="0" w:color="auto"/>
        <w:right w:val="none" w:sz="0" w:space="0" w:color="auto"/>
      </w:divBdr>
    </w:div>
    <w:div w:id="699745788">
      <w:bodyDiv w:val="1"/>
      <w:marLeft w:val="0"/>
      <w:marRight w:val="0"/>
      <w:marTop w:val="0"/>
      <w:marBottom w:val="0"/>
      <w:divBdr>
        <w:top w:val="none" w:sz="0" w:space="0" w:color="auto"/>
        <w:left w:val="none" w:sz="0" w:space="0" w:color="auto"/>
        <w:bottom w:val="none" w:sz="0" w:space="0" w:color="auto"/>
        <w:right w:val="none" w:sz="0" w:space="0" w:color="auto"/>
      </w:divBdr>
    </w:div>
    <w:div w:id="726564248">
      <w:bodyDiv w:val="1"/>
      <w:marLeft w:val="0"/>
      <w:marRight w:val="0"/>
      <w:marTop w:val="0"/>
      <w:marBottom w:val="0"/>
      <w:divBdr>
        <w:top w:val="none" w:sz="0" w:space="0" w:color="auto"/>
        <w:left w:val="none" w:sz="0" w:space="0" w:color="auto"/>
        <w:bottom w:val="none" w:sz="0" w:space="0" w:color="auto"/>
        <w:right w:val="none" w:sz="0" w:space="0" w:color="auto"/>
      </w:divBdr>
    </w:div>
    <w:div w:id="838348377">
      <w:bodyDiv w:val="1"/>
      <w:marLeft w:val="0"/>
      <w:marRight w:val="0"/>
      <w:marTop w:val="0"/>
      <w:marBottom w:val="0"/>
      <w:divBdr>
        <w:top w:val="none" w:sz="0" w:space="0" w:color="auto"/>
        <w:left w:val="none" w:sz="0" w:space="0" w:color="auto"/>
        <w:bottom w:val="none" w:sz="0" w:space="0" w:color="auto"/>
        <w:right w:val="none" w:sz="0" w:space="0" w:color="auto"/>
      </w:divBdr>
    </w:div>
    <w:div w:id="878007361">
      <w:bodyDiv w:val="1"/>
      <w:marLeft w:val="0"/>
      <w:marRight w:val="0"/>
      <w:marTop w:val="0"/>
      <w:marBottom w:val="0"/>
      <w:divBdr>
        <w:top w:val="none" w:sz="0" w:space="0" w:color="auto"/>
        <w:left w:val="none" w:sz="0" w:space="0" w:color="auto"/>
        <w:bottom w:val="none" w:sz="0" w:space="0" w:color="auto"/>
        <w:right w:val="none" w:sz="0" w:space="0" w:color="auto"/>
      </w:divBdr>
      <w:divsChild>
        <w:div w:id="1773698325">
          <w:marLeft w:val="0"/>
          <w:marRight w:val="0"/>
          <w:marTop w:val="0"/>
          <w:marBottom w:val="0"/>
          <w:divBdr>
            <w:top w:val="single" w:sz="2" w:space="0" w:color="auto"/>
            <w:left w:val="single" w:sz="2" w:space="0" w:color="auto"/>
            <w:bottom w:val="single" w:sz="6" w:space="0" w:color="auto"/>
            <w:right w:val="single" w:sz="2" w:space="0" w:color="auto"/>
          </w:divBdr>
          <w:divsChild>
            <w:div w:id="513151557">
              <w:marLeft w:val="0"/>
              <w:marRight w:val="0"/>
              <w:marTop w:val="100"/>
              <w:marBottom w:val="100"/>
              <w:divBdr>
                <w:top w:val="single" w:sz="2" w:space="0" w:color="D9D9E3"/>
                <w:left w:val="single" w:sz="2" w:space="0" w:color="D9D9E3"/>
                <w:bottom w:val="single" w:sz="2" w:space="0" w:color="D9D9E3"/>
                <w:right w:val="single" w:sz="2" w:space="0" w:color="D9D9E3"/>
              </w:divBdr>
              <w:divsChild>
                <w:div w:id="1093890707">
                  <w:marLeft w:val="0"/>
                  <w:marRight w:val="0"/>
                  <w:marTop w:val="0"/>
                  <w:marBottom w:val="0"/>
                  <w:divBdr>
                    <w:top w:val="single" w:sz="2" w:space="0" w:color="D9D9E3"/>
                    <w:left w:val="single" w:sz="2" w:space="0" w:color="D9D9E3"/>
                    <w:bottom w:val="single" w:sz="2" w:space="0" w:color="D9D9E3"/>
                    <w:right w:val="single" w:sz="2" w:space="0" w:color="D9D9E3"/>
                  </w:divBdr>
                  <w:divsChild>
                    <w:div w:id="328141219">
                      <w:marLeft w:val="0"/>
                      <w:marRight w:val="0"/>
                      <w:marTop w:val="0"/>
                      <w:marBottom w:val="0"/>
                      <w:divBdr>
                        <w:top w:val="single" w:sz="2" w:space="0" w:color="D9D9E3"/>
                        <w:left w:val="single" w:sz="2" w:space="0" w:color="D9D9E3"/>
                        <w:bottom w:val="single" w:sz="2" w:space="0" w:color="D9D9E3"/>
                        <w:right w:val="single" w:sz="2" w:space="0" w:color="D9D9E3"/>
                      </w:divBdr>
                      <w:divsChild>
                        <w:div w:id="2061127819">
                          <w:marLeft w:val="0"/>
                          <w:marRight w:val="0"/>
                          <w:marTop w:val="0"/>
                          <w:marBottom w:val="0"/>
                          <w:divBdr>
                            <w:top w:val="single" w:sz="2" w:space="0" w:color="D9D9E3"/>
                            <w:left w:val="single" w:sz="2" w:space="0" w:color="D9D9E3"/>
                            <w:bottom w:val="single" w:sz="2" w:space="0" w:color="D9D9E3"/>
                            <w:right w:val="single" w:sz="2" w:space="0" w:color="D9D9E3"/>
                          </w:divBdr>
                          <w:divsChild>
                            <w:div w:id="88040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11834067">
      <w:bodyDiv w:val="1"/>
      <w:marLeft w:val="0"/>
      <w:marRight w:val="0"/>
      <w:marTop w:val="0"/>
      <w:marBottom w:val="0"/>
      <w:divBdr>
        <w:top w:val="none" w:sz="0" w:space="0" w:color="auto"/>
        <w:left w:val="none" w:sz="0" w:space="0" w:color="auto"/>
        <w:bottom w:val="none" w:sz="0" w:space="0" w:color="auto"/>
        <w:right w:val="none" w:sz="0" w:space="0" w:color="auto"/>
      </w:divBdr>
    </w:div>
    <w:div w:id="1043558984">
      <w:bodyDiv w:val="1"/>
      <w:marLeft w:val="0"/>
      <w:marRight w:val="0"/>
      <w:marTop w:val="0"/>
      <w:marBottom w:val="0"/>
      <w:divBdr>
        <w:top w:val="none" w:sz="0" w:space="0" w:color="auto"/>
        <w:left w:val="none" w:sz="0" w:space="0" w:color="auto"/>
        <w:bottom w:val="none" w:sz="0" w:space="0" w:color="auto"/>
        <w:right w:val="none" w:sz="0" w:space="0" w:color="auto"/>
      </w:divBdr>
    </w:div>
    <w:div w:id="1057506339">
      <w:bodyDiv w:val="1"/>
      <w:marLeft w:val="0"/>
      <w:marRight w:val="0"/>
      <w:marTop w:val="0"/>
      <w:marBottom w:val="0"/>
      <w:divBdr>
        <w:top w:val="none" w:sz="0" w:space="0" w:color="auto"/>
        <w:left w:val="none" w:sz="0" w:space="0" w:color="auto"/>
        <w:bottom w:val="none" w:sz="0" w:space="0" w:color="auto"/>
        <w:right w:val="none" w:sz="0" w:space="0" w:color="auto"/>
      </w:divBdr>
    </w:div>
    <w:div w:id="1070495681">
      <w:bodyDiv w:val="1"/>
      <w:marLeft w:val="0"/>
      <w:marRight w:val="0"/>
      <w:marTop w:val="0"/>
      <w:marBottom w:val="0"/>
      <w:divBdr>
        <w:top w:val="none" w:sz="0" w:space="0" w:color="auto"/>
        <w:left w:val="none" w:sz="0" w:space="0" w:color="auto"/>
        <w:bottom w:val="none" w:sz="0" w:space="0" w:color="auto"/>
        <w:right w:val="none" w:sz="0" w:space="0" w:color="auto"/>
      </w:divBdr>
    </w:div>
    <w:div w:id="1141994491">
      <w:bodyDiv w:val="1"/>
      <w:marLeft w:val="0"/>
      <w:marRight w:val="0"/>
      <w:marTop w:val="0"/>
      <w:marBottom w:val="0"/>
      <w:divBdr>
        <w:top w:val="none" w:sz="0" w:space="0" w:color="auto"/>
        <w:left w:val="none" w:sz="0" w:space="0" w:color="auto"/>
        <w:bottom w:val="none" w:sz="0" w:space="0" w:color="auto"/>
        <w:right w:val="none" w:sz="0" w:space="0" w:color="auto"/>
      </w:divBdr>
    </w:div>
    <w:div w:id="1243904277">
      <w:bodyDiv w:val="1"/>
      <w:marLeft w:val="0"/>
      <w:marRight w:val="0"/>
      <w:marTop w:val="0"/>
      <w:marBottom w:val="0"/>
      <w:divBdr>
        <w:top w:val="none" w:sz="0" w:space="0" w:color="auto"/>
        <w:left w:val="none" w:sz="0" w:space="0" w:color="auto"/>
        <w:bottom w:val="none" w:sz="0" w:space="0" w:color="auto"/>
        <w:right w:val="none" w:sz="0" w:space="0" w:color="auto"/>
      </w:divBdr>
    </w:div>
    <w:div w:id="1284337479">
      <w:bodyDiv w:val="1"/>
      <w:marLeft w:val="0"/>
      <w:marRight w:val="0"/>
      <w:marTop w:val="0"/>
      <w:marBottom w:val="0"/>
      <w:divBdr>
        <w:top w:val="none" w:sz="0" w:space="0" w:color="auto"/>
        <w:left w:val="none" w:sz="0" w:space="0" w:color="auto"/>
        <w:bottom w:val="none" w:sz="0" w:space="0" w:color="auto"/>
        <w:right w:val="none" w:sz="0" w:space="0" w:color="auto"/>
      </w:divBdr>
    </w:div>
    <w:div w:id="1428816064">
      <w:bodyDiv w:val="1"/>
      <w:marLeft w:val="0"/>
      <w:marRight w:val="0"/>
      <w:marTop w:val="0"/>
      <w:marBottom w:val="0"/>
      <w:divBdr>
        <w:top w:val="none" w:sz="0" w:space="0" w:color="auto"/>
        <w:left w:val="none" w:sz="0" w:space="0" w:color="auto"/>
        <w:bottom w:val="none" w:sz="0" w:space="0" w:color="auto"/>
        <w:right w:val="none" w:sz="0" w:space="0" w:color="auto"/>
      </w:divBdr>
    </w:div>
    <w:div w:id="1488395257">
      <w:bodyDiv w:val="1"/>
      <w:marLeft w:val="0"/>
      <w:marRight w:val="0"/>
      <w:marTop w:val="0"/>
      <w:marBottom w:val="0"/>
      <w:divBdr>
        <w:top w:val="none" w:sz="0" w:space="0" w:color="auto"/>
        <w:left w:val="none" w:sz="0" w:space="0" w:color="auto"/>
        <w:bottom w:val="none" w:sz="0" w:space="0" w:color="auto"/>
        <w:right w:val="none" w:sz="0" w:space="0" w:color="auto"/>
      </w:divBdr>
    </w:div>
    <w:div w:id="1569683409">
      <w:bodyDiv w:val="1"/>
      <w:marLeft w:val="0"/>
      <w:marRight w:val="0"/>
      <w:marTop w:val="0"/>
      <w:marBottom w:val="0"/>
      <w:divBdr>
        <w:top w:val="none" w:sz="0" w:space="0" w:color="auto"/>
        <w:left w:val="none" w:sz="0" w:space="0" w:color="auto"/>
        <w:bottom w:val="none" w:sz="0" w:space="0" w:color="auto"/>
        <w:right w:val="none" w:sz="0" w:space="0" w:color="auto"/>
      </w:divBdr>
    </w:div>
    <w:div w:id="1611160157">
      <w:bodyDiv w:val="1"/>
      <w:marLeft w:val="0"/>
      <w:marRight w:val="0"/>
      <w:marTop w:val="0"/>
      <w:marBottom w:val="0"/>
      <w:divBdr>
        <w:top w:val="none" w:sz="0" w:space="0" w:color="auto"/>
        <w:left w:val="none" w:sz="0" w:space="0" w:color="auto"/>
        <w:bottom w:val="none" w:sz="0" w:space="0" w:color="auto"/>
        <w:right w:val="none" w:sz="0" w:space="0" w:color="auto"/>
      </w:divBdr>
    </w:div>
    <w:div w:id="1620600760">
      <w:bodyDiv w:val="1"/>
      <w:marLeft w:val="0"/>
      <w:marRight w:val="0"/>
      <w:marTop w:val="0"/>
      <w:marBottom w:val="0"/>
      <w:divBdr>
        <w:top w:val="none" w:sz="0" w:space="0" w:color="auto"/>
        <w:left w:val="none" w:sz="0" w:space="0" w:color="auto"/>
        <w:bottom w:val="none" w:sz="0" w:space="0" w:color="auto"/>
        <w:right w:val="none" w:sz="0" w:space="0" w:color="auto"/>
      </w:divBdr>
    </w:div>
    <w:div w:id="1707826424">
      <w:bodyDiv w:val="1"/>
      <w:marLeft w:val="0"/>
      <w:marRight w:val="0"/>
      <w:marTop w:val="0"/>
      <w:marBottom w:val="0"/>
      <w:divBdr>
        <w:top w:val="none" w:sz="0" w:space="0" w:color="auto"/>
        <w:left w:val="none" w:sz="0" w:space="0" w:color="auto"/>
        <w:bottom w:val="none" w:sz="0" w:space="0" w:color="auto"/>
        <w:right w:val="none" w:sz="0" w:space="0" w:color="auto"/>
      </w:divBdr>
    </w:div>
    <w:div w:id="1806924941">
      <w:bodyDiv w:val="1"/>
      <w:marLeft w:val="0"/>
      <w:marRight w:val="0"/>
      <w:marTop w:val="0"/>
      <w:marBottom w:val="0"/>
      <w:divBdr>
        <w:top w:val="none" w:sz="0" w:space="0" w:color="auto"/>
        <w:left w:val="none" w:sz="0" w:space="0" w:color="auto"/>
        <w:bottom w:val="none" w:sz="0" w:space="0" w:color="auto"/>
        <w:right w:val="none" w:sz="0" w:space="0" w:color="auto"/>
      </w:divBdr>
    </w:div>
    <w:div w:id="1808739524">
      <w:bodyDiv w:val="1"/>
      <w:marLeft w:val="0"/>
      <w:marRight w:val="0"/>
      <w:marTop w:val="0"/>
      <w:marBottom w:val="0"/>
      <w:divBdr>
        <w:top w:val="none" w:sz="0" w:space="0" w:color="auto"/>
        <w:left w:val="none" w:sz="0" w:space="0" w:color="auto"/>
        <w:bottom w:val="none" w:sz="0" w:space="0" w:color="auto"/>
        <w:right w:val="none" w:sz="0" w:space="0" w:color="auto"/>
      </w:divBdr>
    </w:div>
    <w:div w:id="1899590606">
      <w:bodyDiv w:val="1"/>
      <w:marLeft w:val="0"/>
      <w:marRight w:val="0"/>
      <w:marTop w:val="0"/>
      <w:marBottom w:val="0"/>
      <w:divBdr>
        <w:top w:val="none" w:sz="0" w:space="0" w:color="auto"/>
        <w:left w:val="none" w:sz="0" w:space="0" w:color="auto"/>
        <w:bottom w:val="none" w:sz="0" w:space="0" w:color="auto"/>
        <w:right w:val="none" w:sz="0" w:space="0" w:color="auto"/>
      </w:divBdr>
    </w:div>
    <w:div w:id="1965773465">
      <w:bodyDiv w:val="1"/>
      <w:marLeft w:val="0"/>
      <w:marRight w:val="0"/>
      <w:marTop w:val="0"/>
      <w:marBottom w:val="0"/>
      <w:divBdr>
        <w:top w:val="none" w:sz="0" w:space="0" w:color="auto"/>
        <w:left w:val="none" w:sz="0" w:space="0" w:color="auto"/>
        <w:bottom w:val="none" w:sz="0" w:space="0" w:color="auto"/>
        <w:right w:val="none" w:sz="0" w:space="0" w:color="auto"/>
      </w:divBdr>
    </w:div>
    <w:div w:id="2045279168">
      <w:bodyDiv w:val="1"/>
      <w:marLeft w:val="0"/>
      <w:marRight w:val="0"/>
      <w:marTop w:val="0"/>
      <w:marBottom w:val="0"/>
      <w:divBdr>
        <w:top w:val="none" w:sz="0" w:space="0" w:color="auto"/>
        <w:left w:val="none" w:sz="0" w:space="0" w:color="auto"/>
        <w:bottom w:val="none" w:sz="0" w:space="0" w:color="auto"/>
        <w:right w:val="none" w:sz="0" w:space="0" w:color="auto"/>
      </w:divBdr>
    </w:div>
    <w:div w:id="2075277890">
      <w:bodyDiv w:val="1"/>
      <w:marLeft w:val="0"/>
      <w:marRight w:val="0"/>
      <w:marTop w:val="0"/>
      <w:marBottom w:val="0"/>
      <w:divBdr>
        <w:top w:val="none" w:sz="0" w:space="0" w:color="auto"/>
        <w:left w:val="none" w:sz="0" w:space="0" w:color="auto"/>
        <w:bottom w:val="none" w:sz="0" w:space="0" w:color="auto"/>
        <w:right w:val="none" w:sz="0" w:space="0" w:color="auto"/>
      </w:divBdr>
    </w:div>
    <w:div w:id="2085104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fcd496c-df54-4358-8c8e-6fa5d8739ce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73D578CA4D5746B24F90B820600088" ma:contentTypeVersion="18" ma:contentTypeDescription="Create a new document." ma:contentTypeScope="" ma:versionID="0bfcce09a9b4c0f80899cfbee9dc1a27">
  <xsd:schema xmlns:xsd="http://www.w3.org/2001/XMLSchema" xmlns:xs="http://www.w3.org/2001/XMLSchema" xmlns:p="http://schemas.microsoft.com/office/2006/metadata/properties" xmlns:ns3="5fcd496c-df54-4358-8c8e-6fa5d8739ce8" xmlns:ns4="e9ea83e7-516e-4bcb-b640-1edadebba609" targetNamespace="http://schemas.microsoft.com/office/2006/metadata/properties" ma:root="true" ma:fieldsID="bbc951537aa83e377f7770a63b0f9ac4" ns3:_="" ns4:_="">
    <xsd:import namespace="5fcd496c-df54-4358-8c8e-6fa5d8739ce8"/>
    <xsd:import namespace="e9ea83e7-516e-4bcb-b640-1edadebba60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DateTaken" minOccurs="0"/>
                <xsd:element ref="ns3:MediaServiceAutoTags" minOccurs="0"/>
                <xsd:element ref="ns3:MediaLengthInSeconds" minOccurs="0"/>
                <xsd:element ref="ns3:MediaServiceObjectDetectorVersions" minOccurs="0"/>
                <xsd:element ref="ns3:MediaServiceGenerationTime" minOccurs="0"/>
                <xsd:element ref="ns3:MediaServiceEventHashCode" minOccurs="0"/>
                <xsd:element ref="ns3:MediaServiceOCR" minOccurs="0"/>
                <xsd:element ref="ns3:MediaServiceSystemTag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cd496c-df54-4358-8c8e-6fa5d8739c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9ea83e7-516e-4bcb-b640-1edadebba60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5EC3819-76C0-44A3-B0EC-48342E8823F4}">
  <ds:schemaRefs>
    <ds:schemaRef ds:uri="http://schemas.microsoft.com/office/2006/metadata/properties"/>
    <ds:schemaRef ds:uri="http://schemas.microsoft.com/office/infopath/2007/PartnerControls"/>
    <ds:schemaRef ds:uri="5fcd496c-df54-4358-8c8e-6fa5d8739ce8"/>
  </ds:schemaRefs>
</ds:datastoreItem>
</file>

<file path=customXml/itemProps2.xml><?xml version="1.0" encoding="utf-8"?>
<ds:datastoreItem xmlns:ds="http://schemas.openxmlformats.org/officeDocument/2006/customXml" ds:itemID="{0CF792A1-CD0C-46A4-BCD5-93BCFC422FEA}">
  <ds:schemaRefs>
    <ds:schemaRef ds:uri="http://schemas.microsoft.com/sharepoint/v3/contenttype/forms"/>
  </ds:schemaRefs>
</ds:datastoreItem>
</file>

<file path=customXml/itemProps3.xml><?xml version="1.0" encoding="utf-8"?>
<ds:datastoreItem xmlns:ds="http://schemas.openxmlformats.org/officeDocument/2006/customXml" ds:itemID="{BCA3EB1F-F5AC-41E0-BE43-D56DB6D225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cd496c-df54-4358-8c8e-6fa5d8739ce8"/>
    <ds:schemaRef ds:uri="e9ea83e7-516e-4bcb-b640-1edadebba6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6D5535F-45FB-448C-A615-8377D3060F5A}">
  <ds:schemaRefs>
    <ds:schemaRef ds:uri="http://schemas.openxmlformats.org/officeDocument/2006/bibliography"/>
  </ds:schemaRefs>
</ds:datastoreItem>
</file>

<file path=docMetadata/LabelInfo.xml><?xml version="1.0" encoding="utf-8"?>
<clbl:labelList xmlns:clbl="http://schemas.microsoft.com/office/2020/mipLabelMetadata">
  <clbl:label id="{1faf88fe-a998-4c5b-93c9-210a11d9a5c2}" enabled="0" method="" siteId="{1faf88fe-a998-4c5b-93c9-210a11d9a5c2}"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715</Words>
  <Characters>4078</Characters>
  <Application>Microsoft Office Word</Application>
  <DocSecurity>0</DocSecurity>
  <Lines>33</Lines>
  <Paragraphs>9</Paragraphs>
  <ScaleCrop>false</ScaleCrop>
  <Company/>
  <LinksUpToDate>false</LinksUpToDate>
  <CharactersWithSpaces>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Rippington</dc:creator>
  <cp:keywords/>
  <dc:description/>
  <cp:lastModifiedBy>Syed Rizvi</cp:lastModifiedBy>
  <cp:revision>4</cp:revision>
  <cp:lastPrinted>2026-02-17T06:59:00Z</cp:lastPrinted>
  <dcterms:created xsi:type="dcterms:W3CDTF">2026-02-17T10:43:00Z</dcterms:created>
  <dcterms:modified xsi:type="dcterms:W3CDTF">2026-02-17T12:25:00Z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0x010100F573D578CA4D5746B24F90B820600088</vt:lpwstr>
  </property>
</Properties>
</file>