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04" w:line="250" w:lineRule="auto"/>
        <w:ind w:left="-5" w:right="-9"/>
        <w:jc w:val="both"/>
      </w:pPr>
      <w:r>
        <w:rPr>
          <w:rFonts w:ascii="Arial" w:eastAsia="Arial" w:hAnsi="Arial" w:cs="Arial"/>
          <w:sz w:val="22"/>
          <w:szCs w:val="22"/>
        </w:rPr>
        <w:t xml:space="preserve">This appendix sets out the technical approach for SkyDrive. It first describes the technical concept and the features of the integrated propulsion subsystem, then the approach to delivery and the work-package structure, the detail of each work package, and the schedule and milestones. The detailed cost breakdown is provided in the Costs appendix (Q16), the technical risks in the Risks appendix (Q14) and the underlying innovations in the Innovation appendix (Q13).</w:t>
      </w:r>
    </w:p>
    <w:p>
      <w:pPr>
        <w:spacing w:before="132" w:after="72" w:line="250" w:lineRule="auto"/>
        <w:ind w:left="-5" w:right="-9"/>
        <w:jc w:val="both"/>
      </w:pPr>
      <w:r>
        <w:rPr>
          <w:rFonts w:ascii="Arial" w:eastAsia="Arial" w:hAnsi="Arial" w:cs="Arial"/>
          <w:sz w:val="22"/>
          <w:szCs w:val="22"/>
          <w:b/>
          <w:color w:val="000000" w:themeColor="text1"/>
        </w:rPr>
        <w:t xml:space="preserve">12.1. Technical Concept and Solution: </w:t>
      </w:r>
      <w:r>
        <w:rPr>
          <w:rFonts w:ascii="Arial" w:eastAsia="Arial" w:hAnsi="Arial" w:cs="Arial"/>
          <w:sz w:val="22"/>
          <w:szCs w:val="22"/>
        </w:rPr>
        <w:t xml:space="preserve">SkyDrive develops an integrated 100 kW class high-voltage electric propulsion subsystem designed specifically for hybrid aerospace applications, where battery-only architectures are constrained by energy density and mass and a battery plus hydrogen-fuel-cell hybrid offers a more scalable, certification-aligned pathway for regional, sub-regional and advanced light aircraft. The central technical idea is to treat the powertrain not as a set of separately sourced parts but as a single, jointly certifiable subsystem in which the machine, the drive, the gearbox, the thermal management and the control are co-designed, as shown in Figure 1. The subsystem combines a high-speed six-phase motor operating at 1 kV and 18,000 rpm, a fault-tolerant multilevel inverter, a high-speed step-down gearbox and an integrated control and thermal-management architecture; external energy storage is out of scope and bought in, so the project concentrates on the motor and power-electronics integration that determines power density, efficiency and fault tolerance.</w:t>
      </w:r>
    </w:p>
    <w:p>
      <w:pPr>
        <w:spacing w:before="80" w:after="20"/>
        <w:jc w:val="center"/>
      </w:pPr>
      <w:r>
        <w:rPr>
          <w:noProof/>
        </w:rPr>
        <w:drawing>
          <wp:inline distT="0" distB="0" distL="0" distR="0">
            <wp:extent cx="6479940" cy="3020950"/>
            <wp:effectExtent l="0" t="0" r="0" b="0"/>
            <wp:docPr id="91" name="Figur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g91.png"/>
                    <pic:cNvPicPr/>
                  </pic:nvPicPr>
                  <pic:blipFill>
                    <a:blip r:embed="rId11"/>
                    <a:stretch>
                      <a:fillRect/>
                    </a:stretch>
                  </pic:blipFill>
                  <pic:spPr>
                    <a:xfrm>
                      <a:off x="0" y="0"/>
                      <a:ext cx="6479940" cy="3020950"/>
                    </a:xfrm>
                    <a:prstGeom prst="rect">
                      <a:avLst/>
                    </a:prstGeom>
                  </pic:spPr>
                </pic:pic>
              </a:graphicData>
            </a:graphic>
          </wp:inline>
        </w:drawing>
      </w:r>
    </w:p>
    <w:p>
      <w:pPr>
        <w:spacing w:before="20" w:after="80" w:line="240" w:lineRule="auto"/>
        <w:jc w:val="center"/>
      </w:pPr>
      <w:r>
        <w:rPr>
          <w:rFonts w:ascii="Arial" w:hAnsi="Arial" w:cs="Arial"/>
          <w:i/>
          <w:color w:val="404040"/>
          <w:sz w:val="19"/>
        </w:rPr>
        <w:t xml:space="preserve">Figure 1. The SkyDrive integrated powertrain: a co-designed, jointly certifiable motor, inverter, gearbox, thermal and control subsystem.</w:t>
      </w:r>
    </w:p>
    <w:p>
      <w:pPr>
        <w:spacing w:before="0" w:after="104" w:line="250" w:lineRule="auto"/>
        <w:ind w:left="-5" w:right="-9"/>
        <w:jc w:val="both"/>
      </w:pPr>
      <w:r>
        <w:rPr>
          <w:rFonts w:ascii="Arial" w:eastAsia="Arial" w:hAnsi="Arial" w:cs="Arial"/>
          <w:sz w:val="22"/>
          <w:szCs w:val="22"/>
        </w:rPr>
        <w:t xml:space="preserve">Several features distinguish the solution. The six-phase machine provides inherent redundancy, so that the loss of a phase degrades performance gracefully rather than causing failure, which is central to aerospace fault tolerance. High-voltage operation at 1 kV reduces current and cabling mass for a given power, while the multilevel inverter limits voltage stress and partial discharge and enables fault reconfiguration. The integrated thermal management sustains continuous high-power operation, and the fault-tolerant digital control coordinates the machine and drive and manages degraded modes. The resulting targets are demanding and specific: continuous high-power operation, a system-level power density above 1.5 kW/kg for the integrated motor and inverter (with active-material density above 15 kW/kg), system efficiency above 97%, defined fault tolerance under specified failure modes, and compliance-aligned validation evidence. By embedding certification considerations within the subsystem design and test planning from the outset, the project generates the artefacts that reduce downstream integration and approval risk for OEMs.</w:t>
      </w:r>
    </w:p>
    <w:p>
      <w:pPr>
        <w:spacing w:before="0" w:after="104" w:line="250" w:lineRule="auto"/>
        <w:ind w:left="-5" w:right="-9"/>
        <w:jc w:val="both"/>
      </w:pPr>
      <w:r>
        <w:rPr>
          <w:rFonts w:ascii="Arial" w:eastAsia="Arial" w:hAnsi="Arial" w:cs="Arial"/>
          <w:sz w:val="22"/>
          <w:szCs w:val="22"/>
        </w:rPr>
        <w:t xml:space="preserve">The programme matures this integrated motor-drive assembly from TRL3 to TRL6 through laboratory validation, hardware-in-the-loop testing, environmental stress testing and integrated operation on ARC Aero Systems' flight-representative Pegasus platform, with a defined progression to the nine-seat Linx P9. </w:t>
      </w:r>
      <w:r>
        <w:rPr>
          <w:rFonts w:ascii="Arial" w:eastAsia="Arial" w:hAnsi="Arial" w:cs="Arial"/>
          <w:sz w:val="22"/>
          <w:szCs w:val="22"/>
          <w:color w:val="0070C0"/>
        </w:rPr>
        <w:t xml:space="preserve">The architecture is deliberately modular, so the same motor and inverter building blocks scale to higher power by adding phase modules and stacking inverter cells rather than by redesign. The further developments required for megawatt-class variants, principally higher-voltage insulation coordination, multi-module thermal balancing and parallel-inverter control, are identified at the outset and are directly de-risked by the 100 kW demonstration, establishing a credible route from the Linx P9 towards larger regional platforms. </w:t>
      </w:r>
      <w:r>
        <w:rPr>
          <w:rFonts w:ascii="Arial" w:eastAsia="Arial" w:hAnsi="Arial" w:cs="Arial"/>
          <w:sz w:val="22"/>
          <w:szCs w:val="22"/>
        </w:rPr>
        <w:t xml:space="preserve">The consortium brings together complementary UK capability across the propulsion value chain: iNetic leads motor design, gearbox integration and aerospace-grade manufacturing; UCL contributes multilevel power electronics, control architecture and electro-thermal modelling; ARC provides system integration and flight-representative validation; and Eaton participates as a non-funded Tier-1 adviser on certification, industrialisation readiness and system safety.</w:t>
      </w:r>
    </w:p>
    <w:p>
      <w:pPr>
        <w:spacing w:before="132" w:after="72" w:line="250" w:lineRule="auto"/>
        <w:ind w:left="-5" w:right="-9"/>
        <w:jc w:val="both"/>
      </w:pPr>
      <w:r>
        <w:rPr>
          <w:rFonts w:ascii="Arial" w:eastAsia="Arial" w:hAnsi="Arial" w:cs="Arial"/>
          <w:sz w:val="22"/>
          <w:szCs w:val="22"/>
          <w:b/>
          <w:color w:val="000000" w:themeColor="text1"/>
        </w:rPr>
        <w:t xml:space="preserve">12.2. Approach to Delivery and Work-Package Structure: </w:t>
      </w:r>
      <w:r>
        <w:rPr>
          <w:rFonts w:ascii="Arial" w:eastAsia="Arial" w:hAnsi="Arial" w:cs="Arial"/>
          <w:sz w:val="22"/>
          <w:szCs w:val="22"/>
        </w:rPr>
        <w:t xml:space="preserve">To deliver this, the work is organised into five technical work packages, WP1 to WP4, together with an overarching project-management work package, WP0. The work packages are interdependent: the motor (WP1) and the drive (WP2) are developed in parallel but share a motor-drive interface that must be matched in torque-speed and electrical terms; both feed their hardware into system integration and validation (WP3); and the validated subsystem and its data feed exploitation (WP4). Figure 2 shows these relationships and how the partners are involved, with iNetic, UCL and ARC each leading the work packages aligned to their capability and Eaton advising across all of them. Project control uses iNetic's established life-cycle management methodology, xRL and PROLaunch, spanning technical, manufacturing and commercial readiness, with weekly, monthly and quarterly reviews, robust risk and issue management, and technical reviews at each TRL milestone. Development follows a model-led, test-validated route in which the multi-physics models established at lower TRL are progressively verified against hardware.</w:t>
      </w:r>
      <w:r>
        <w:rPr>
          <w:rFonts w:ascii="Arial" w:eastAsia="Arial" w:hAnsi="Arial" w:cs="Arial"/>
          <w:sz w:val="22"/>
          <w:szCs w:val="22"/>
          <w:color w:val="0070C0"/>
        </w:rPr>
        <w:t xml:space="preserve"> The approach builds directly on the partners' prior and parallel programmes, including iNetic's high-speed machine and gearbox work, UCL's multilevel-converter research and ARC's flight-representative test campaigns, so that proven methods and lessons learned are carried into SkyDrive. The project has no critical dependency on any external parallel technology development, which keeps the principal delivery risks within the consortium's direct control.</w:t>
      </w:r>
    </w:p>
    <w:p>
      <w:pPr>
        <w:spacing w:before="80" w:after="20"/>
        <w:jc w:val="center"/>
      </w:pPr>
      <w:r>
        <w:rPr>
          <w:noProof/>
        </w:rPr>
        <w:drawing>
          <wp:inline distT="0" distB="0" distL="0" distR="0">
            <wp:extent cx="6479940" cy="3065251"/>
            <wp:effectExtent l="0" t="0" r="0" b="0"/>
            <wp:docPr id="91" name="Figur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g91.png"/>
                    <pic:cNvPicPr/>
                  </pic:nvPicPr>
                  <pic:blipFill>
                    <a:blip r:embed="rId20"/>
                    <a:stretch>
                      <a:fillRect/>
                    </a:stretch>
                  </pic:blipFill>
                  <pic:spPr>
                    <a:xfrm>
                      <a:off x="0" y="0"/>
                      <a:ext cx="6479940" cy="3065251"/>
                    </a:xfrm>
                    <a:prstGeom prst="rect">
                      <a:avLst/>
                    </a:prstGeom>
                  </pic:spPr>
                </pic:pic>
              </a:graphicData>
            </a:graphic>
          </wp:inline>
        </w:drawing>
      </w:r>
    </w:p>
    <w:p>
      <w:pPr>
        <w:spacing w:before="20" w:after="80" w:line="240" w:lineRule="auto"/>
        <w:jc w:val="center"/>
      </w:pPr>
      <w:r>
        <w:rPr>
          <w:rFonts w:ascii="Arial" w:hAnsi="Arial" w:cs="Arial"/>
          <w:i/>
          <w:color w:val="404040"/>
          <w:sz w:val="19"/>
        </w:rPr>
        <w:t xml:space="preserve">Figure 2. Work-package relationships and partner involvement: lead partners, interdependencies and the Tier-1 adviser role.</w:t>
      </w:r>
    </w:p>
    <w:p>
      <w:pPr>
        <w:spacing w:before="132" w:after="72" w:line="250" w:lineRule="auto"/>
        <w:ind w:left="-5" w:right="-9"/>
        <w:jc w:val="both"/>
      </w:pPr>
      <w:r>
        <w:rPr>
          <w:rFonts w:ascii="Arial" w:eastAsia="Arial" w:hAnsi="Arial" w:cs="Arial"/>
          <w:sz w:val="22"/>
          <w:szCs w:val="22"/>
          <w:b/>
          <w:color w:val="000000" w:themeColor="text1"/>
        </w:rPr>
        <w:t xml:space="preserve">12.3. Work Package Detail: </w:t>
      </w:r>
      <w:r>
        <w:rPr>
          <w:rFonts w:ascii="Arial" w:eastAsia="Arial" w:hAnsi="Arial" w:cs="Arial"/>
          <w:sz w:val="22"/>
          <w:szCs w:val="22"/>
        </w:rPr>
        <w:t xml:space="preserve">The objective, approach and key deliverables of each work package are described below.</w:t>
      </w:r>
    </w:p>
    <w:p>
      <w:pPr>
        <w:spacing w:before="70" w:after="104" w:line="250" w:lineRule="auto"/>
        <w:ind w:left="-5" w:right="-9"/>
        <w:jc w:val="both"/>
      </w:pPr>
      <w:r>
        <w:rPr>
          <w:rFonts w:ascii="Arial" w:eastAsia="Arial" w:hAnsi="Arial" w:cs="Arial"/>
          <w:sz w:val="22"/>
          <w:szCs w:val="22"/>
        </w:rPr>
        <w:t xml:space="preserve">WP0 Project Management (iNetic) coordinates the project under an experienced iNetic project manager working with the Principal Investigator, who holds technical leadership, using iNetic's xRL and PROLaunch life-cycle tools, robust risk and issue management and regular technical reviews at TRL milestones, with the consortium meeting weekly, monthly and quarterly. Its deliverables are the quarterly review reports and the schedule, deliverable, milestone, risk-register and issue-log updates that support quarterly progress reviews with the monitoring officer.</w:t>
      </w:r>
    </w:p>
    <w:p>
      <w:pPr>
        <w:spacing w:before="0" w:after="104" w:line="250" w:lineRule="auto"/>
        <w:ind w:left="-5" w:right="-9"/>
        <w:jc w:val="both"/>
      </w:pPr>
      <w:r>
        <w:rPr>
          <w:rFonts w:ascii="Arial" w:eastAsia="Arial" w:hAnsi="Arial" w:cs="Arial"/>
          <w:sz w:val="22"/>
          <w:szCs w:val="22"/>
        </w:rPr>
        <w:t xml:space="preserve">WP1 Six-Phase Motor Engineering (iNetic) designs, builds and verifies the flight-representative motor with integrated cooling and a step-down gearbox, advancing from validated models to TRL6. Electromagnetic and mechanical optimisation (WP1.1) performs multi-physics optimisation of the six-phase machine for power density, efficiency and structural integrity at 18,000 rpm; an advanced integrated cooling system (WP1.2) sustains stable temperatures during continuous high-power operation; a high-speed step-down gearbox (WP1.3), derived from the torque-speed envelope defined in WP1.1, enables efficient torque-speed matching to the platform; and hardware integration (WP1.4) assembles and bench-tests the subsystems. The key deliverable is the manufactured and validated motor, cooling and gearbox assembly, and WP1 defines the torque-speed envelope and motor interface on which WP2 and WP3 depend.</w:t>
      </w:r>
    </w:p>
    <w:p>
      <w:pPr>
        <w:spacing w:before="0" w:after="104" w:line="250" w:lineRule="auto"/>
        <w:ind w:left="-5" w:right="-9"/>
        <w:jc w:val="both"/>
      </w:pPr>
      <w:r>
        <w:rPr>
          <w:rFonts w:ascii="Arial" w:eastAsia="Arial" w:hAnsi="Arial" w:cs="Arial"/>
          <w:sz w:val="22"/>
          <w:szCs w:val="22"/>
        </w:rPr>
        <w:t xml:space="preserve">WP2 Fault-Tolerant Power-Electronics Drive (UCL) designs, optimises and integrates a multilevel, fault-tolerant drive tailored to the six-phase motor. Topology definition and control optimisation (WP2.1) assesses candidate topologies, including neutral-point-clamped and flying-capacitor arrangements, for above 1 kV operation with reduced dv/dt and common-mode stress, and develops six-phase modulation and digital control that maintain balanced power sharing and fault tolerance under single-phase or device-failure scenarios; electro-thermal design and cooling (WP2.2) quantifies losses and reliability margins and stabilises junction temperatures; and hardware build and readiness verification (WP2.3) consolidates the semiconductor modules, capacitors, busbars and cooling into a fabricated drive verified for electrical, thermal and EMI compliance. The key deliverable is the fully fabricated, readiness-verified drive unit, and WP2 interfaces with the WP1 motor design and feeds WP3.</w:t>
      </w:r>
    </w:p>
    <w:p>
      <w:pPr>
        <w:spacing w:before="0" w:after="104" w:line="250" w:lineRule="auto"/>
        <w:ind w:left="-5" w:right="-9"/>
        <w:jc w:val="both"/>
      </w:pPr>
      <w:r>
        <w:rPr>
          <w:rFonts w:ascii="Arial" w:eastAsia="Arial" w:hAnsi="Arial" w:cs="Arial"/>
          <w:sz w:val="22"/>
          <w:szCs w:val="22"/>
        </w:rPr>
        <w:t xml:space="preserve">WP3 System Integration and Experimental Validation (ARC Aerosystems) integrates the motor-gearbox and drive into the flight-representative propulsion subsystem and validates it on the SkyDrive platform under aerospace-representative duty cycles, including environmental, thermal and transient-load testing, against the airworthiness-aligned evidence requirements set during design. The key deliverable is the integrated propulsion subsystem validated on the platform, which provides the TRL6 evidence base; WP3 consumes the hardware delivered by WP1 and WP2 and generates the data that underpins later certification.</w:t>
      </w:r>
      <w:r>
        <w:rPr>
          <w:rFonts w:ascii="Arial" w:eastAsia="Arial" w:hAnsi="Arial" w:cs="Arial"/>
          <w:sz w:val="22"/>
          <w:szCs w:val="22"/>
          <w:color w:val="0070C0"/>
        </w:rPr>
        <w:t xml:space="preserve"> Validation spans fault-injection tests that confirm graceful degradation under phase and device loss, thermal-endurance and altitude-representative environmental cycles, and EMI characterisation, producing a reusable, airworthiness-aligned evidence package that directly de-risks downstream OEM integration. The mass and efficiency gains demonstrated in this work feed the aircraft-level range and payload benefit quantified in the Benefits appendix (Q11), establishing a clear line of sight from subsystem performance to aircraft-level outcome.</w:t>
      </w:r>
    </w:p>
    <w:p>
      <w:pPr>
        <w:spacing w:before="0" w:after="104" w:line="250" w:lineRule="auto"/>
        <w:ind w:left="-5" w:right="-9"/>
        <w:jc w:val="both"/>
      </w:pPr>
      <w:r>
        <w:rPr>
          <w:rFonts w:ascii="Arial" w:eastAsia="Arial" w:hAnsi="Arial" w:cs="Arial"/>
          <w:sz w:val="22"/>
          <w:szCs w:val="22"/>
        </w:rPr>
        <w:t xml:space="preserve">WP4 Exploitation and Dissemination (iNetic) delivers the industrialisation and feasibility assessment and the exploitation strategy and IP-protection framework, and disseminates project outcomes through publications and targeted industry engagement. Its key deliverables are the industrialisation and feasibility assessment report and the exploitation strategy and IP-protection framework; the route to market and wider benefits are detailed in the Results and Benefits appendices (Q10 and Q11).</w:t>
      </w:r>
    </w:p>
    <w:p>
      <w:pPr>
        <w:spacing w:before="80" w:after="20"/>
        <w:jc w:val="center"/>
      </w:pPr>
      <w:r>
        <w:rPr>
          <w:noProof/>
        </w:rPr>
        <w:drawing>
          <wp:inline distT="0" distB="0" distL="0" distR="0">
            <wp:extent cx="6479940" cy="1795118"/>
            <wp:effectExtent l="0" t="0" r="0" b="0"/>
            <wp:docPr id="92" name="Photo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png"/>
                    <pic:cNvPicPr/>
                  </pic:nvPicPr>
                  <pic:blipFill>
                    <a:blip r:embed="rId50"/>
                    <a:stretch>
                      <a:fillRect/>
                    </a:stretch>
                  </pic:blipFill>
                  <pic:spPr>
                    <a:xfrm>
                      <a:off x="0" y="0"/>
                      <a:ext cx="6479940" cy="1795118"/>
                    </a:xfrm>
                    <a:prstGeom prst="rect">
                      <a:avLst/>
                    </a:prstGeom>
                  </pic:spPr>
                </pic:pic>
              </a:graphicData>
            </a:graphic>
          </wp:inline>
        </w:drawing>
      </w:r>
    </w:p>
    <w:p>
      <w:pPr>
        <w:spacing w:before="20" w:after="80" w:line="240" w:lineRule="auto"/>
        <w:jc w:val="center"/>
      </w:pPr>
      <w:r>
        <w:rPr>
          <w:rFonts w:ascii="Arial" w:hAnsi="Arial" w:cs="Arial"/>
          <w:i/>
          <w:color w:val="0070C0"/>
          <w:sz w:val="19"/>
        </w:rPr>
        <w:t xml:space="preserve">Photographs of the build streams: (left) iNetic six-phase motor and dynamometer rig; (centre) UCL multilevel power-electronics drive; (right) ARC flight-representative platform. Placeholders to be replaced with consortium images.</w:t>
      </w:r>
    </w:p>
    <w:p>
      <w:pPr>
        <w:spacing w:before="132" w:after="72" w:line="250" w:lineRule="auto"/>
        <w:ind w:left="-5" w:right="-9"/>
        <w:jc w:val="both"/>
      </w:pPr>
      <w:r>
        <w:rPr>
          <w:rFonts w:ascii="Arial" w:eastAsia="Arial" w:hAnsi="Arial" w:cs="Arial"/>
          <w:sz w:val="22"/>
          <w:szCs w:val="22"/>
          <w:b/>
          <w:color w:val="000000" w:themeColor="text1"/>
        </w:rPr>
        <w:t xml:space="preserve">12.4. Schedule and Milestones: </w:t>
      </w:r>
      <w:r>
        <w:rPr>
          <w:rFonts w:ascii="Arial" w:eastAsia="Arial" w:hAnsi="Arial" w:cs="Arial"/>
          <w:sz w:val="22"/>
          <w:szCs w:val="22"/>
        </w:rPr>
        <w:t xml:space="preserve">The programme runs for 36 months. Motor and power-electronics development proceed in parallel through the first two years, feeding system integration and validation from the mid-point, with exploitation concentrated in the final year and project management spanning throughout; the integrated subsystem reaches TRL6 by around 2029. The TRL-gated milestones are summarised in Table 1, and the full work plan is shown in Figure 3.</w:t>
      </w:r>
    </w:p>
    <w:p>
      <w:pPr>
        <w:spacing w:before="130" w:after="60" w:line="240" w:lineRule="auto"/>
        <w:jc w:val="center"/>
      </w:pPr>
      <w:r>
        <w:rPr>
          <w:rFonts w:ascii="Arial" w:hAnsi="Arial" w:cs="Arial"/>
          <w:b/>
          <w:color w:val="00508B"/>
          <w:sz w:val="19"/>
        </w:rPr>
        <w:t xml:space="preserve">Table 1. </w:t>
      </w:r>
      <w:r>
        <w:rPr>
          <w:rFonts w:ascii="Arial" w:hAnsi="Arial" w:cs="Arial"/>
          <w:color w:val="00508B"/>
          <w:sz w:val="19"/>
        </w:rPr>
        <w:t xml:space="preserve">Key project milestones</w:t>
      </w:r>
    </w:p>
    <w:tbl>
      <w:tblPr>
        <w:tblStyle w:val="TableGrid"/>
        <w:tblW w:w="10204" w:type="dxa"/>
        <w:tblInd w:w="0" w:type="dxa"/>
        <w:tblCellMar>
          <w:top w:w="10" w:type="dxa"/>
          <w:right w:w="83" w:type="dxa"/>
        </w:tblCellMar>
        <w:tblLook w:val="04A0" w:firstRow="1" w:lastRow="0" w:firstColumn="1" w:lastColumn="0" w:noHBand="0" w:noVBand="1"/>
      </w:tblPr>
      <w:tblGrid>
        <w:gridCol w:w="2200"/>
        <w:gridCol w:w="6200"/>
        <w:gridCol w:w="1804"/>
      </w:tblGrid>
      <w:tr>
        <w:trPr>
          <w:cantSplit/>
          <w:trHeight w:val="340"/>
        </w:trPr>
        <w:tc>
          <w:tcPr>
            <w:tcW w:w="2200" w:type="dxa"/>
            <w:tcBorders>
              <w:top w:val="single" w:sz="6" w:space="0" w:color="000000"/>
              <w:left w:val="nil"/>
              <w:bottom w:val="single" w:sz="6" w:space="0" w:color="000000"/>
              <w:right w:val="nil"/>
            </w:tcBorders>
            <w:shd w:val="clear" w:color="auto" w:fill="00B050"/>
          </w:tcPr>
          <w:p>
            <w:pPr>
              <w:spacing w:before="20" w:after="20" w:line="240" w:lineRule="auto"/>
              <w:ind w:left="70" w:right="50"/>
              <w:jc w:val="left"/>
            </w:pPr>
            <w:r>
              <w:rPr>
                <w:rFonts w:ascii="Arial" w:hAnsi="Arial" w:cs="Arial"/>
                <w:b/>
                <w:color w:val="FFFFFF"/>
                <w:sz w:val="20"/>
              </w:rPr>
              <w:t xml:space="preserve">Milestone</w:t>
            </w:r>
          </w:p>
        </w:tc>
        <w:tc>
          <w:tcPr>
            <w:tcW w:w="6200" w:type="dxa"/>
            <w:tcBorders>
              <w:top w:val="single" w:sz="6" w:space="0" w:color="000000"/>
              <w:left w:val="nil"/>
              <w:bottom w:val="single" w:sz="6" w:space="0" w:color="000000"/>
              <w:right w:val="nil"/>
            </w:tcBorders>
            <w:shd w:val="clear" w:color="auto" w:fill="00B050"/>
          </w:tcPr>
          <w:p>
            <w:pPr>
              <w:spacing w:before="20" w:after="20" w:line="240" w:lineRule="auto"/>
              <w:ind w:left="70" w:right="50"/>
              <w:jc w:val="left"/>
            </w:pPr>
            <w:r>
              <w:rPr>
                <w:rFonts w:ascii="Arial" w:hAnsi="Arial" w:cs="Arial"/>
                <w:b/>
                <w:color w:val="FFFFFF"/>
                <w:sz w:val="20"/>
              </w:rPr>
              <w:t xml:space="preserve">Description</w:t>
            </w:r>
          </w:p>
        </w:tc>
        <w:tc>
          <w:tcPr>
            <w:tcW w:w="1804" w:type="dxa"/>
            <w:tcBorders>
              <w:top w:val="single" w:sz="6" w:space="0" w:color="000000"/>
              <w:left w:val="nil"/>
              <w:bottom w:val="single" w:sz="6" w:space="0" w:color="000000"/>
              <w:right w:val="nil"/>
            </w:tcBorders>
            <w:shd w:val="clear" w:color="auto" w:fill="00B050"/>
          </w:tcPr>
          <w:p>
            <w:pPr>
              <w:spacing w:before="20" w:after="20" w:line="240" w:lineRule="auto"/>
              <w:ind w:left="70" w:right="50"/>
              <w:jc w:val="left"/>
            </w:pPr>
            <w:r>
              <w:rPr>
                <w:rFonts w:ascii="Arial" w:hAnsi="Arial" w:cs="Arial"/>
                <w:b/>
                <w:color w:val="FFFFFF"/>
                <w:sz w:val="20"/>
              </w:rPr>
              <w:t xml:space="preserve">Target</w:t>
            </w:r>
          </w:p>
        </w:tc>
      </w:tr>
      <w:tr>
        <w:trPr>
          <w:cantSplit/>
        </w:trPr>
        <w:tc>
          <w:tcPr>
            <w:tcW w:w="22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M1</w:t>
            </w:r>
          </w:p>
        </w:tc>
        <w:tc>
          <w:tcPr>
            <w:tcW w:w="62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Requirements and baseline designs frozen across the motor and drive</w:t>
            </w:r>
          </w:p>
        </w:tc>
        <w:tc>
          <w:tcPr>
            <w:tcW w:w="1804"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Month 6</w:t>
            </w:r>
          </w:p>
        </w:tc>
      </w:tr>
      <w:tr>
        <w:trPr>
          <w:cantSplit/>
        </w:trPr>
        <w:tc>
          <w:tcPr>
            <w:tcW w:w="22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M2</w:t>
            </w:r>
          </w:p>
        </w:tc>
        <w:tc>
          <w:tcPr>
            <w:tcW w:w="62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Motor and drive detailed designs verified by analysis (TRL4 to 5)</w:t>
            </w:r>
          </w:p>
        </w:tc>
        <w:tc>
          <w:tcPr>
            <w:tcW w:w="1804"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Month 12</w:t>
            </w:r>
          </w:p>
        </w:tc>
      </w:tr>
      <w:tr>
        <w:trPr>
          <w:cantSplit/>
        </w:trPr>
        <w:tc>
          <w:tcPr>
            <w:tcW w:w="22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M3</w:t>
            </w:r>
          </w:p>
        </w:tc>
        <w:tc>
          <w:tcPr>
            <w:tcW w:w="62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Motor, gearbox and drive hardware manufactured and bench-tested</w:t>
            </w:r>
          </w:p>
        </w:tc>
        <w:tc>
          <w:tcPr>
            <w:tcW w:w="1804"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Month 20</w:t>
            </w:r>
          </w:p>
        </w:tc>
      </w:tr>
      <w:tr>
        <w:trPr>
          <w:cantSplit/>
        </w:trPr>
        <w:tc>
          <w:tcPr>
            <w:tcW w:w="22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M4</w:t>
            </w:r>
          </w:p>
        </w:tc>
        <w:tc>
          <w:tcPr>
            <w:tcW w:w="62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Integrated propulsion subsystem assembled</w:t>
            </w:r>
          </w:p>
        </w:tc>
        <w:tc>
          <w:tcPr>
            <w:tcW w:w="1804"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Month 30</w:t>
            </w:r>
          </w:p>
        </w:tc>
      </w:tr>
      <w:tr>
        <w:trPr>
          <w:cantSplit/>
        </w:trPr>
        <w:tc>
          <w:tcPr>
            <w:tcW w:w="22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M5</w:t>
            </w:r>
          </w:p>
        </w:tc>
        <w:tc>
          <w:tcPr>
            <w:tcW w:w="6200"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Integrated subsystem validated on the SkyDrive platform (TRL6)</w:t>
            </w:r>
          </w:p>
        </w:tc>
        <w:tc>
          <w:tcPr>
            <w:tcW w:w="1804" w:type="dxa"/>
            <w:tcBorders>
              <w:top w:val="single" w:sz="6" w:space="0" w:color="000000"/>
              <w:left w:val="nil"/>
              <w:bottom w:val="single" w:sz="6" w:space="0" w:color="000000"/>
              <w:right w:val="nil"/>
            </w:tcBorders>
          </w:tcPr>
          <w:p>
            <w:pPr>
              <w:spacing w:before="20" w:after="20" w:line="240" w:lineRule="auto"/>
              <w:ind w:left="70" w:right="50"/>
              <w:jc w:val="left"/>
            </w:pPr>
            <w:r>
              <w:rPr>
                <w:rFonts w:ascii="Arial" w:hAnsi="Arial" w:cs="Arial"/>
                <w:sz w:val="20"/>
              </w:rPr>
              <w:t xml:space="preserve">Month 36</w:t>
            </w:r>
          </w:p>
        </w:tc>
      </w:tr>
    </w:tbl>
    <w:p>
      <w:pPr>
        <w:spacing w:before="80" w:after="20"/>
        <w:jc w:val="center"/>
      </w:pPr>
      <w:r>
        <w:rPr>
          <w:noProof/>
        </w:rPr>
        <w:drawing>
          <wp:inline distT="0" distB="0" distL="0" distR="0">
            <wp:extent cx="6479940" cy="3091574"/>
            <wp:effectExtent l="0" t="0" r="0" b="0"/>
            <wp:docPr id="80" name="Figur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g80.png"/>
                    <pic:cNvPicPr/>
                  </pic:nvPicPr>
                  <pic:blipFill>
                    <a:blip r:embed="rId21"/>
                    <a:stretch>
                      <a:fillRect/>
                    </a:stretch>
                  </pic:blipFill>
                  <pic:spPr>
                    <a:xfrm>
                      <a:off x="0" y="0"/>
                      <a:ext cx="6479940" cy="3091574"/>
                    </a:xfrm>
                    <a:prstGeom prst="rect">
                      <a:avLst/>
                    </a:prstGeom>
                  </pic:spPr>
                </pic:pic>
              </a:graphicData>
            </a:graphic>
          </wp:inline>
        </w:drawing>
      </w:r>
    </w:p>
    <w:p>
      <w:pPr>
        <w:spacing w:before="20" w:after="80" w:line="240" w:lineRule="auto"/>
        <w:jc w:val="center"/>
      </w:pPr>
      <w:r>
        <w:rPr>
          <w:rFonts w:ascii="Arial" w:hAnsi="Arial" w:cs="Arial"/>
          <w:i/>
          <w:color w:val="404040"/>
          <w:sz w:val="19"/>
        </w:rPr>
        <w:t xml:space="preserve">Figure 3. SkyDrive project work plan: five work packages over 36 months, reaching TRL6 by around 2029.</w:t>
      </w:r>
    </w:p>
    <w:p>
      <w:pPr>
        <w:spacing w:before="80" w:after="104" w:line="250" w:lineRule="auto"/>
        <w:ind w:left="-5" w:right="-9"/>
        <w:jc w:val="both"/>
      </w:pPr>
      <w:r>
        <w:rPr>
          <w:rFonts w:ascii="Arial" w:eastAsia="Arial" w:hAnsi="Arial" w:cs="Arial"/>
          <w:sz w:val="22"/>
          <w:szCs w:val="22"/>
        </w:rPr>
        <w:t xml:space="preserve">Taken together, the technical approach starts from a clearly defined integrated subsystem and a set of demanding, specific targets, and delivers them through a structured work plan in which co-designed motor and power-electronics development, mid-programme system integration and a final-year exploitation phase are coordinated by a milestone-gated management approach, advancing the subsystem from TRL3 to a validated TRL6 demonstration.</w:t>
      </w:r>
    </w:p>
    <w:sectPr w:rsidR="003C53E2" w:rsidRPr="003C53E2" w:rsidSect="00E47639">
      <w:headerReference w:type="default" r:id="rId12"/>
      <w:footerReference w:type="default" r:id="rId13"/>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73D78" w14:textId="77777777" w:rsidR="00931369" w:rsidRDefault="00931369" w:rsidP="00AA347F">
      <w:pPr>
        <w:spacing w:after="0" w:line="240" w:lineRule="auto"/>
      </w:pPr>
      <w:r>
        <w:separator/>
      </w:r>
    </w:p>
  </w:endnote>
  <w:endnote w:type="continuationSeparator" w:id="0">
    <w:p w14:paraId="2D888627" w14:textId="77777777" w:rsidR="00931369" w:rsidRDefault="00931369" w:rsidP="00AA347F">
      <w:pPr>
        <w:spacing w:after="0" w:line="240" w:lineRule="auto"/>
      </w:pPr>
      <w:r>
        <w:continuationSeparator/>
      </w:r>
    </w:p>
  </w:endnote>
  <w:endnote w:type="continuationNotice" w:id="1">
    <w:p w14:paraId="3CE178B5" w14:textId="77777777" w:rsidR="00931369" w:rsidRDefault="009313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575716"/>
      <w:docPartObj>
        <w:docPartGallery w:val="Page Numbers (Bottom of Page)"/>
        <w:docPartUnique/>
      </w:docPartObj>
    </w:sdtPr>
    <w:sdtEndPr>
      <w:rPr>
        <w:noProof/>
      </w:rPr>
    </w:sdtEndPr>
    <w:sdtContent>
      <w:p w14:paraId="323B8B50" w14:textId="49BB9A23" w:rsidR="00007171" w:rsidRDefault="00007171">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of </w:t>
        </w:r>
        <w:r>
          <w:fldChar w:fldCharType="begin"/>
        </w:r>
        <w:r>
          <w:instrText xml:space="preserve"> NUMPAGES   \* MERGEFORMAT </w:instrText>
        </w:r>
        <w:r>
          <w:fldChar w:fldCharType="separate"/>
        </w:r>
        <w:r>
          <w:rPr>
            <w:noProof/>
          </w:rPr>
          <w:t>5</w:t>
        </w:r>
        <w:r>
          <w:rPr>
            <w:noProof/>
          </w:rPr>
          <w:fldChar w:fldCharType="end"/>
        </w:r>
      </w:p>
    </w:sdtContent>
  </w:sdt>
  <w:p w14:paraId="758D4B8E" w14:textId="4243C9FE" w:rsidR="1A254B19" w:rsidRDefault="1A254B19" w:rsidP="1A254B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2ADD5" w14:textId="77777777" w:rsidR="00931369" w:rsidRPr="00D121C1" w:rsidRDefault="00931369" w:rsidP="00D121C1">
      <w:pPr>
        <w:spacing w:after="0" w:line="80" w:lineRule="exact"/>
        <w:rPr>
          <w:sz w:val="8"/>
          <w:szCs w:val="8"/>
        </w:rPr>
      </w:pPr>
      <w:r w:rsidRPr="00D121C1">
        <w:rPr>
          <w:sz w:val="8"/>
          <w:szCs w:val="8"/>
        </w:rPr>
        <w:separator/>
      </w:r>
    </w:p>
  </w:footnote>
  <w:footnote w:type="continuationSeparator" w:id="0">
    <w:p w14:paraId="5C391FA3" w14:textId="77777777" w:rsidR="00931369" w:rsidRPr="00D121C1" w:rsidRDefault="00931369" w:rsidP="00D121C1">
      <w:pPr>
        <w:spacing w:after="0" w:line="80" w:lineRule="exact"/>
        <w:rPr>
          <w:sz w:val="8"/>
          <w:szCs w:val="8"/>
        </w:rPr>
      </w:pPr>
      <w:r w:rsidRPr="00D121C1">
        <w:rPr>
          <w:sz w:val="8"/>
          <w:szCs w:val="8"/>
        </w:rPr>
        <w:continuationSeparator/>
      </w:r>
    </w:p>
  </w:footnote>
  <w:footnote w:type="continuationNotice" w:id="1">
    <w:p w14:paraId="35DA4D04" w14:textId="77777777" w:rsidR="00931369" w:rsidRPr="00D121C1" w:rsidRDefault="00931369" w:rsidP="00D121C1">
      <w:pPr>
        <w:spacing w:after="0" w:line="80" w:lineRule="exact"/>
        <w:rPr>
          <w:sz w:val="8"/>
          <w:szCs w:val="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21E5" w14:textId="330CA945" w:rsidR="00AA347F" w:rsidRPr="000A7D5F" w:rsidRDefault="00727F50" w:rsidP="006A0F01">
    <w:pPr>
      <w:pStyle w:val="Header"/>
      <w:tabs>
        <w:tab w:val="clear" w:pos="9026"/>
        <w:tab w:val="right" w:pos="10204"/>
      </w:tabs>
      <w:spacing w:line="360" w:lineRule="auto"/>
      <w:rPr>
        <w:rFonts w:ascii="Arial" w:hAnsi="Arial" w:cs="Arial"/>
        <w:color w:val="3B3838" w:themeColor="background2" w:themeShade="40"/>
      </w:rPr>
    </w:pPr>
    <w:r>
      <w:rPr>
        <w:rFonts w:ascii="Arial" w:hAnsi="Arial" w:cs="Arial"/>
        <w:b/>
        <w:color w:val="3B3838" w:themeColor="background2" w:themeShade="40"/>
      </w:rPr>
      <w:t xml:space="preserve">10192096 </w:t>
    </w:r>
    <w:r w:rsidR="00411FF4">
      <w:rPr>
        <w:rFonts w:ascii="Arial" w:hAnsi="Arial" w:cs="Arial"/>
        <w:b/>
        <w:color w:val="3B3838" w:themeColor="background2" w:themeShade="40"/>
      </w:rPr>
      <w:t>SkyDrive</w:t>
    </w:r>
    <w:r w:rsidR="00AA347F" w:rsidRPr="000A7D5F">
      <w:rPr>
        <w:rFonts w:ascii="Arial" w:hAnsi="Arial" w:cs="Arial"/>
        <w:color w:val="3B3838" w:themeColor="background2" w:themeShade="40"/>
      </w:rPr>
      <w:tab/>
    </w:r>
    <w:r w:rsidR="00AA347F" w:rsidRPr="000A7D5F">
      <w:rPr>
        <w:color w:val="3B3838" w:themeColor="background2" w:themeShade="40"/>
      </w:rPr>
      <w:tab/>
    </w:r>
    <w:r w:rsidR="00AA347F" w:rsidRPr="000A7D5F">
      <w:rPr>
        <w:rFonts w:ascii="Arial" w:hAnsi="Arial" w:cs="Arial"/>
        <w:b/>
        <w:color w:val="3B3838" w:themeColor="background2" w:themeShade="40"/>
      </w:rPr>
      <w:t>Appendix Q</w:t>
    </w:r>
    <w:r w:rsidR="004A3F40">
      <w:rPr>
        <w:rFonts w:ascii="Arial" w:hAnsi="Arial" w:cs="Arial"/>
        <w:b/>
        <w:color w:val="3B3838" w:themeColor="background2" w:themeShade="40"/>
      </w:rPr>
      <w:t>12</w:t>
    </w:r>
    <w:r w:rsidR="00783C61">
      <w:rPr>
        <w:rFonts w:ascii="Arial" w:hAnsi="Arial" w:cs="Arial"/>
        <w:b/>
        <w:color w:val="3B3838" w:themeColor="background2" w:themeShade="40"/>
      </w:rPr>
      <w:t xml:space="preserve"> – </w:t>
    </w:r>
    <w:r w:rsidR="00D36BC6">
      <w:rPr>
        <w:rFonts w:ascii="Arial" w:hAnsi="Arial" w:cs="Arial"/>
        <w:b/>
        <w:color w:val="3B3838" w:themeColor="background2" w:themeShade="40"/>
      </w:rPr>
      <w:t>Technical approach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7F93"/>
    <w:multiLevelType w:val="multilevel"/>
    <w:tmpl w:val="E90880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bC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718F5422"/>
    <w:multiLevelType w:val="multilevel"/>
    <w:tmpl w:val="A75AD37E"/>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99163643">
    <w:abstractNumId w:val="0"/>
  </w:num>
  <w:num w:numId="2" w16cid:durableId="23305582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E1F"/>
    <w:rsid w:val="00003A0E"/>
    <w:rsid w:val="00004F31"/>
    <w:rsid w:val="00005C8B"/>
    <w:rsid w:val="00006759"/>
    <w:rsid w:val="00007171"/>
    <w:rsid w:val="000101E0"/>
    <w:rsid w:val="000116C2"/>
    <w:rsid w:val="000135F4"/>
    <w:rsid w:val="00015742"/>
    <w:rsid w:val="00017670"/>
    <w:rsid w:val="000223EE"/>
    <w:rsid w:val="00024DF9"/>
    <w:rsid w:val="00030068"/>
    <w:rsid w:val="000306C8"/>
    <w:rsid w:val="000319A1"/>
    <w:rsid w:val="00032B7A"/>
    <w:rsid w:val="000348E9"/>
    <w:rsid w:val="00035167"/>
    <w:rsid w:val="000356A2"/>
    <w:rsid w:val="00036F40"/>
    <w:rsid w:val="00040DFD"/>
    <w:rsid w:val="000453EF"/>
    <w:rsid w:val="000459A9"/>
    <w:rsid w:val="00045A08"/>
    <w:rsid w:val="0004745B"/>
    <w:rsid w:val="00047CFA"/>
    <w:rsid w:val="0005079B"/>
    <w:rsid w:val="00050FA3"/>
    <w:rsid w:val="0005228C"/>
    <w:rsid w:val="00052FF3"/>
    <w:rsid w:val="000601C8"/>
    <w:rsid w:val="00060284"/>
    <w:rsid w:val="00060AC3"/>
    <w:rsid w:val="000619D5"/>
    <w:rsid w:val="000627EB"/>
    <w:rsid w:val="00062815"/>
    <w:rsid w:val="00063913"/>
    <w:rsid w:val="00063F52"/>
    <w:rsid w:val="0006499C"/>
    <w:rsid w:val="000662A6"/>
    <w:rsid w:val="00071EB1"/>
    <w:rsid w:val="00072FB9"/>
    <w:rsid w:val="0007309E"/>
    <w:rsid w:val="00073F77"/>
    <w:rsid w:val="00074C75"/>
    <w:rsid w:val="00075101"/>
    <w:rsid w:val="0007627C"/>
    <w:rsid w:val="00076C54"/>
    <w:rsid w:val="0007753E"/>
    <w:rsid w:val="00077B0A"/>
    <w:rsid w:val="000822B9"/>
    <w:rsid w:val="00085A29"/>
    <w:rsid w:val="000861CE"/>
    <w:rsid w:val="00086559"/>
    <w:rsid w:val="00087322"/>
    <w:rsid w:val="000873B4"/>
    <w:rsid w:val="00090C40"/>
    <w:rsid w:val="0009103E"/>
    <w:rsid w:val="0009103F"/>
    <w:rsid w:val="00091261"/>
    <w:rsid w:val="00091DAF"/>
    <w:rsid w:val="00093296"/>
    <w:rsid w:val="000962B7"/>
    <w:rsid w:val="00096945"/>
    <w:rsid w:val="000A0DAF"/>
    <w:rsid w:val="000A14B0"/>
    <w:rsid w:val="000A529D"/>
    <w:rsid w:val="000A56D9"/>
    <w:rsid w:val="000A5D08"/>
    <w:rsid w:val="000A6724"/>
    <w:rsid w:val="000A7D5F"/>
    <w:rsid w:val="000B0117"/>
    <w:rsid w:val="000B1122"/>
    <w:rsid w:val="000B22A8"/>
    <w:rsid w:val="000B236C"/>
    <w:rsid w:val="000B2887"/>
    <w:rsid w:val="000B42B4"/>
    <w:rsid w:val="000B740D"/>
    <w:rsid w:val="000B7DE6"/>
    <w:rsid w:val="000C00D2"/>
    <w:rsid w:val="000C172B"/>
    <w:rsid w:val="000C2E85"/>
    <w:rsid w:val="000C6341"/>
    <w:rsid w:val="000D007E"/>
    <w:rsid w:val="000D0C3B"/>
    <w:rsid w:val="000D41D7"/>
    <w:rsid w:val="000D4DCF"/>
    <w:rsid w:val="000D5964"/>
    <w:rsid w:val="000E11C7"/>
    <w:rsid w:val="000E27D7"/>
    <w:rsid w:val="000E44B8"/>
    <w:rsid w:val="000E46A5"/>
    <w:rsid w:val="000E5B55"/>
    <w:rsid w:val="000E671F"/>
    <w:rsid w:val="000F6751"/>
    <w:rsid w:val="000F72AE"/>
    <w:rsid w:val="00102C81"/>
    <w:rsid w:val="0010748E"/>
    <w:rsid w:val="001102BA"/>
    <w:rsid w:val="001106A7"/>
    <w:rsid w:val="00111415"/>
    <w:rsid w:val="00113201"/>
    <w:rsid w:val="00117CED"/>
    <w:rsid w:val="00121BF0"/>
    <w:rsid w:val="00121D9E"/>
    <w:rsid w:val="001238E8"/>
    <w:rsid w:val="00125197"/>
    <w:rsid w:val="001251DA"/>
    <w:rsid w:val="00127A4F"/>
    <w:rsid w:val="00130EFA"/>
    <w:rsid w:val="00132B88"/>
    <w:rsid w:val="00133ABD"/>
    <w:rsid w:val="00136EFE"/>
    <w:rsid w:val="0014161E"/>
    <w:rsid w:val="00141DC7"/>
    <w:rsid w:val="00143FBD"/>
    <w:rsid w:val="00144149"/>
    <w:rsid w:val="001447A5"/>
    <w:rsid w:val="00144FB8"/>
    <w:rsid w:val="0014626A"/>
    <w:rsid w:val="00152070"/>
    <w:rsid w:val="00156452"/>
    <w:rsid w:val="001566F6"/>
    <w:rsid w:val="00156C19"/>
    <w:rsid w:val="00161B35"/>
    <w:rsid w:val="00161FC8"/>
    <w:rsid w:val="00162DC0"/>
    <w:rsid w:val="00163022"/>
    <w:rsid w:val="00163C5B"/>
    <w:rsid w:val="00164BA1"/>
    <w:rsid w:val="00165375"/>
    <w:rsid w:val="00165FB3"/>
    <w:rsid w:val="001663CF"/>
    <w:rsid w:val="00166B16"/>
    <w:rsid w:val="00166C2E"/>
    <w:rsid w:val="00167A56"/>
    <w:rsid w:val="00171A32"/>
    <w:rsid w:val="00172D50"/>
    <w:rsid w:val="001730AB"/>
    <w:rsid w:val="001730E7"/>
    <w:rsid w:val="00182A33"/>
    <w:rsid w:val="00182D1A"/>
    <w:rsid w:val="00183891"/>
    <w:rsid w:val="00185216"/>
    <w:rsid w:val="00185A77"/>
    <w:rsid w:val="00187FAF"/>
    <w:rsid w:val="00190285"/>
    <w:rsid w:val="001913EE"/>
    <w:rsid w:val="0019245B"/>
    <w:rsid w:val="0019340D"/>
    <w:rsid w:val="00195180"/>
    <w:rsid w:val="00196428"/>
    <w:rsid w:val="001A0899"/>
    <w:rsid w:val="001A2053"/>
    <w:rsid w:val="001A4958"/>
    <w:rsid w:val="001A4A8A"/>
    <w:rsid w:val="001A70CF"/>
    <w:rsid w:val="001A71FF"/>
    <w:rsid w:val="001B02AF"/>
    <w:rsid w:val="001B0A7C"/>
    <w:rsid w:val="001B3083"/>
    <w:rsid w:val="001B3A35"/>
    <w:rsid w:val="001B3AE1"/>
    <w:rsid w:val="001B42A0"/>
    <w:rsid w:val="001B4526"/>
    <w:rsid w:val="001B6013"/>
    <w:rsid w:val="001B628C"/>
    <w:rsid w:val="001B69AD"/>
    <w:rsid w:val="001C0195"/>
    <w:rsid w:val="001C0E93"/>
    <w:rsid w:val="001C1128"/>
    <w:rsid w:val="001C1CE4"/>
    <w:rsid w:val="001C33B3"/>
    <w:rsid w:val="001C4F3E"/>
    <w:rsid w:val="001C5479"/>
    <w:rsid w:val="001C5A2F"/>
    <w:rsid w:val="001D08D3"/>
    <w:rsid w:val="001D2978"/>
    <w:rsid w:val="001D39F1"/>
    <w:rsid w:val="001D493A"/>
    <w:rsid w:val="001D4D95"/>
    <w:rsid w:val="001D57CA"/>
    <w:rsid w:val="001D6DA0"/>
    <w:rsid w:val="001D703D"/>
    <w:rsid w:val="001E4525"/>
    <w:rsid w:val="001E5A63"/>
    <w:rsid w:val="001E63C8"/>
    <w:rsid w:val="001E6EA0"/>
    <w:rsid w:val="001E6F44"/>
    <w:rsid w:val="001F02CF"/>
    <w:rsid w:val="001F09E7"/>
    <w:rsid w:val="001F1D28"/>
    <w:rsid w:val="001F2FF8"/>
    <w:rsid w:val="001F371E"/>
    <w:rsid w:val="001F410F"/>
    <w:rsid w:val="001F42B1"/>
    <w:rsid w:val="001F61B1"/>
    <w:rsid w:val="001F7751"/>
    <w:rsid w:val="00202526"/>
    <w:rsid w:val="00204347"/>
    <w:rsid w:val="00205A83"/>
    <w:rsid w:val="002066D5"/>
    <w:rsid w:val="00206D33"/>
    <w:rsid w:val="002115EC"/>
    <w:rsid w:val="00212F7A"/>
    <w:rsid w:val="002130E0"/>
    <w:rsid w:val="0021380A"/>
    <w:rsid w:val="002160B6"/>
    <w:rsid w:val="00222672"/>
    <w:rsid w:val="00225277"/>
    <w:rsid w:val="00225D82"/>
    <w:rsid w:val="00226536"/>
    <w:rsid w:val="00226B4A"/>
    <w:rsid w:val="002276F5"/>
    <w:rsid w:val="0023127A"/>
    <w:rsid w:val="00234A42"/>
    <w:rsid w:val="00235B64"/>
    <w:rsid w:val="00237BBE"/>
    <w:rsid w:val="002404FF"/>
    <w:rsid w:val="00242B90"/>
    <w:rsid w:val="00245749"/>
    <w:rsid w:val="00245BD6"/>
    <w:rsid w:val="00245F06"/>
    <w:rsid w:val="002462C8"/>
    <w:rsid w:val="0025226D"/>
    <w:rsid w:val="00252313"/>
    <w:rsid w:val="00253C03"/>
    <w:rsid w:val="0025622C"/>
    <w:rsid w:val="00257F57"/>
    <w:rsid w:val="00260681"/>
    <w:rsid w:val="00260F5D"/>
    <w:rsid w:val="002646B5"/>
    <w:rsid w:val="0026735A"/>
    <w:rsid w:val="002702A2"/>
    <w:rsid w:val="0027034B"/>
    <w:rsid w:val="0027057A"/>
    <w:rsid w:val="0027154D"/>
    <w:rsid w:val="002723D6"/>
    <w:rsid w:val="00272D1B"/>
    <w:rsid w:val="00274791"/>
    <w:rsid w:val="0027549B"/>
    <w:rsid w:val="0027643D"/>
    <w:rsid w:val="00283C2B"/>
    <w:rsid w:val="00283EE3"/>
    <w:rsid w:val="00284B1E"/>
    <w:rsid w:val="00284CC6"/>
    <w:rsid w:val="002860D5"/>
    <w:rsid w:val="00287487"/>
    <w:rsid w:val="00287D89"/>
    <w:rsid w:val="00290F29"/>
    <w:rsid w:val="002913F9"/>
    <w:rsid w:val="00292FA1"/>
    <w:rsid w:val="00295056"/>
    <w:rsid w:val="00295786"/>
    <w:rsid w:val="002A245F"/>
    <w:rsid w:val="002A2D1C"/>
    <w:rsid w:val="002B0E59"/>
    <w:rsid w:val="002B2832"/>
    <w:rsid w:val="002B3A8C"/>
    <w:rsid w:val="002B6CBD"/>
    <w:rsid w:val="002C05D0"/>
    <w:rsid w:val="002C0859"/>
    <w:rsid w:val="002C1DB5"/>
    <w:rsid w:val="002C5FC8"/>
    <w:rsid w:val="002D1103"/>
    <w:rsid w:val="002D1801"/>
    <w:rsid w:val="002D1E6E"/>
    <w:rsid w:val="002D3BBD"/>
    <w:rsid w:val="002D57E2"/>
    <w:rsid w:val="002D5A8F"/>
    <w:rsid w:val="002D60E0"/>
    <w:rsid w:val="002D62D0"/>
    <w:rsid w:val="002E1BEF"/>
    <w:rsid w:val="002E2B3F"/>
    <w:rsid w:val="002E42EC"/>
    <w:rsid w:val="002E4793"/>
    <w:rsid w:val="002E5989"/>
    <w:rsid w:val="002E5A43"/>
    <w:rsid w:val="002F002B"/>
    <w:rsid w:val="002F02FA"/>
    <w:rsid w:val="002F0C08"/>
    <w:rsid w:val="002F1EC2"/>
    <w:rsid w:val="002F1F0B"/>
    <w:rsid w:val="002F3367"/>
    <w:rsid w:val="002F49DC"/>
    <w:rsid w:val="002F4A3A"/>
    <w:rsid w:val="002F7225"/>
    <w:rsid w:val="00304567"/>
    <w:rsid w:val="003101D6"/>
    <w:rsid w:val="0031520E"/>
    <w:rsid w:val="003171AC"/>
    <w:rsid w:val="0032018D"/>
    <w:rsid w:val="0032054A"/>
    <w:rsid w:val="0032173F"/>
    <w:rsid w:val="00321F86"/>
    <w:rsid w:val="00323C24"/>
    <w:rsid w:val="00324D36"/>
    <w:rsid w:val="00326A32"/>
    <w:rsid w:val="00331A58"/>
    <w:rsid w:val="00332C70"/>
    <w:rsid w:val="0033565E"/>
    <w:rsid w:val="0034123E"/>
    <w:rsid w:val="003434E9"/>
    <w:rsid w:val="003448F6"/>
    <w:rsid w:val="00344C37"/>
    <w:rsid w:val="00346D12"/>
    <w:rsid w:val="00347F95"/>
    <w:rsid w:val="003524B0"/>
    <w:rsid w:val="003527A8"/>
    <w:rsid w:val="00353539"/>
    <w:rsid w:val="0035446D"/>
    <w:rsid w:val="00355F6D"/>
    <w:rsid w:val="00357CDA"/>
    <w:rsid w:val="00360CDF"/>
    <w:rsid w:val="00360F48"/>
    <w:rsid w:val="003619E8"/>
    <w:rsid w:val="00364657"/>
    <w:rsid w:val="00365B0C"/>
    <w:rsid w:val="0037092E"/>
    <w:rsid w:val="003711F8"/>
    <w:rsid w:val="00372CBC"/>
    <w:rsid w:val="0037501E"/>
    <w:rsid w:val="00377A9E"/>
    <w:rsid w:val="00385DD0"/>
    <w:rsid w:val="00386636"/>
    <w:rsid w:val="0038778F"/>
    <w:rsid w:val="00390209"/>
    <w:rsid w:val="0039029E"/>
    <w:rsid w:val="003904F7"/>
    <w:rsid w:val="00392792"/>
    <w:rsid w:val="00393D20"/>
    <w:rsid w:val="00394A5E"/>
    <w:rsid w:val="00394B44"/>
    <w:rsid w:val="00394D17"/>
    <w:rsid w:val="003971D9"/>
    <w:rsid w:val="00397B24"/>
    <w:rsid w:val="003A0BC8"/>
    <w:rsid w:val="003A196E"/>
    <w:rsid w:val="003A240A"/>
    <w:rsid w:val="003A2786"/>
    <w:rsid w:val="003A314E"/>
    <w:rsid w:val="003A3239"/>
    <w:rsid w:val="003A7059"/>
    <w:rsid w:val="003B004F"/>
    <w:rsid w:val="003B02F3"/>
    <w:rsid w:val="003B06B9"/>
    <w:rsid w:val="003B0858"/>
    <w:rsid w:val="003B0C4F"/>
    <w:rsid w:val="003B162B"/>
    <w:rsid w:val="003B1E9A"/>
    <w:rsid w:val="003B3531"/>
    <w:rsid w:val="003B357F"/>
    <w:rsid w:val="003B4F27"/>
    <w:rsid w:val="003B65DD"/>
    <w:rsid w:val="003C0872"/>
    <w:rsid w:val="003C1AAE"/>
    <w:rsid w:val="003C33E8"/>
    <w:rsid w:val="003C53E2"/>
    <w:rsid w:val="003D160A"/>
    <w:rsid w:val="003D6ABE"/>
    <w:rsid w:val="003E04E3"/>
    <w:rsid w:val="003E1A4F"/>
    <w:rsid w:val="003E29FA"/>
    <w:rsid w:val="003E3860"/>
    <w:rsid w:val="003E65F9"/>
    <w:rsid w:val="003F17B7"/>
    <w:rsid w:val="003F1973"/>
    <w:rsid w:val="003F26C3"/>
    <w:rsid w:val="003F39C8"/>
    <w:rsid w:val="003F5979"/>
    <w:rsid w:val="003F6EA4"/>
    <w:rsid w:val="003F6EE0"/>
    <w:rsid w:val="003F6EFD"/>
    <w:rsid w:val="00400F7A"/>
    <w:rsid w:val="00405781"/>
    <w:rsid w:val="00407AAD"/>
    <w:rsid w:val="00410453"/>
    <w:rsid w:val="00411895"/>
    <w:rsid w:val="004118D3"/>
    <w:rsid w:val="00411FF4"/>
    <w:rsid w:val="00412AA6"/>
    <w:rsid w:val="00412DCE"/>
    <w:rsid w:val="00413408"/>
    <w:rsid w:val="00413A80"/>
    <w:rsid w:val="00415408"/>
    <w:rsid w:val="00415943"/>
    <w:rsid w:val="00416A8C"/>
    <w:rsid w:val="00416B39"/>
    <w:rsid w:val="004176AC"/>
    <w:rsid w:val="004176DC"/>
    <w:rsid w:val="00420F1B"/>
    <w:rsid w:val="00421EB9"/>
    <w:rsid w:val="00427136"/>
    <w:rsid w:val="004306CE"/>
    <w:rsid w:val="004307B0"/>
    <w:rsid w:val="00432872"/>
    <w:rsid w:val="00433271"/>
    <w:rsid w:val="004340F8"/>
    <w:rsid w:val="004356C8"/>
    <w:rsid w:val="004363EA"/>
    <w:rsid w:val="00441789"/>
    <w:rsid w:val="00444D40"/>
    <w:rsid w:val="004458E4"/>
    <w:rsid w:val="00446CC4"/>
    <w:rsid w:val="00446F5F"/>
    <w:rsid w:val="004472F4"/>
    <w:rsid w:val="00450665"/>
    <w:rsid w:val="004510C8"/>
    <w:rsid w:val="00451DC0"/>
    <w:rsid w:val="00452614"/>
    <w:rsid w:val="00452AFA"/>
    <w:rsid w:val="00454983"/>
    <w:rsid w:val="0045660B"/>
    <w:rsid w:val="0045674D"/>
    <w:rsid w:val="004572EA"/>
    <w:rsid w:val="00457F92"/>
    <w:rsid w:val="004601ED"/>
    <w:rsid w:val="00460994"/>
    <w:rsid w:val="00463780"/>
    <w:rsid w:val="004645C8"/>
    <w:rsid w:val="00464739"/>
    <w:rsid w:val="004653A1"/>
    <w:rsid w:val="00472D80"/>
    <w:rsid w:val="004737EE"/>
    <w:rsid w:val="00475C64"/>
    <w:rsid w:val="00480F8C"/>
    <w:rsid w:val="00481A33"/>
    <w:rsid w:val="0048212E"/>
    <w:rsid w:val="00482E34"/>
    <w:rsid w:val="004838CB"/>
    <w:rsid w:val="00490992"/>
    <w:rsid w:val="00491FCB"/>
    <w:rsid w:val="00492047"/>
    <w:rsid w:val="00492F80"/>
    <w:rsid w:val="00493EEC"/>
    <w:rsid w:val="00496576"/>
    <w:rsid w:val="00496E7B"/>
    <w:rsid w:val="004A217D"/>
    <w:rsid w:val="004A21B3"/>
    <w:rsid w:val="004A31B7"/>
    <w:rsid w:val="004A3788"/>
    <w:rsid w:val="004A3F40"/>
    <w:rsid w:val="004A5FD3"/>
    <w:rsid w:val="004A625A"/>
    <w:rsid w:val="004A659C"/>
    <w:rsid w:val="004A75FE"/>
    <w:rsid w:val="004B22FA"/>
    <w:rsid w:val="004B5007"/>
    <w:rsid w:val="004B6377"/>
    <w:rsid w:val="004C1426"/>
    <w:rsid w:val="004C187B"/>
    <w:rsid w:val="004C4C09"/>
    <w:rsid w:val="004C576D"/>
    <w:rsid w:val="004C62FD"/>
    <w:rsid w:val="004D3EDC"/>
    <w:rsid w:val="004D610D"/>
    <w:rsid w:val="004E0822"/>
    <w:rsid w:val="004E0B51"/>
    <w:rsid w:val="004E34BE"/>
    <w:rsid w:val="004E3E91"/>
    <w:rsid w:val="004E4597"/>
    <w:rsid w:val="004E4B0A"/>
    <w:rsid w:val="004E5149"/>
    <w:rsid w:val="004F1543"/>
    <w:rsid w:val="00500351"/>
    <w:rsid w:val="005015F5"/>
    <w:rsid w:val="0050443A"/>
    <w:rsid w:val="005109D0"/>
    <w:rsid w:val="00511DC3"/>
    <w:rsid w:val="00512C43"/>
    <w:rsid w:val="00515B09"/>
    <w:rsid w:val="00516BD1"/>
    <w:rsid w:val="00516CE5"/>
    <w:rsid w:val="005175AB"/>
    <w:rsid w:val="00517F3F"/>
    <w:rsid w:val="00520972"/>
    <w:rsid w:val="00522AD9"/>
    <w:rsid w:val="0052406D"/>
    <w:rsid w:val="00524C03"/>
    <w:rsid w:val="005252F5"/>
    <w:rsid w:val="00526EA0"/>
    <w:rsid w:val="005272FA"/>
    <w:rsid w:val="00527B50"/>
    <w:rsid w:val="00530253"/>
    <w:rsid w:val="005302F0"/>
    <w:rsid w:val="00530533"/>
    <w:rsid w:val="00531730"/>
    <w:rsid w:val="005324E1"/>
    <w:rsid w:val="00534350"/>
    <w:rsid w:val="00534780"/>
    <w:rsid w:val="00534D1B"/>
    <w:rsid w:val="00534E6C"/>
    <w:rsid w:val="00540E06"/>
    <w:rsid w:val="00544994"/>
    <w:rsid w:val="0054644D"/>
    <w:rsid w:val="005471FB"/>
    <w:rsid w:val="00555D0F"/>
    <w:rsid w:val="00555D81"/>
    <w:rsid w:val="00557464"/>
    <w:rsid w:val="0055758D"/>
    <w:rsid w:val="00561066"/>
    <w:rsid w:val="005613E9"/>
    <w:rsid w:val="00562526"/>
    <w:rsid w:val="005669E4"/>
    <w:rsid w:val="00566DED"/>
    <w:rsid w:val="005703CF"/>
    <w:rsid w:val="00570F4A"/>
    <w:rsid w:val="00574020"/>
    <w:rsid w:val="00596A55"/>
    <w:rsid w:val="005976FE"/>
    <w:rsid w:val="00597E69"/>
    <w:rsid w:val="005A25C1"/>
    <w:rsid w:val="005A27F7"/>
    <w:rsid w:val="005A4A36"/>
    <w:rsid w:val="005A7126"/>
    <w:rsid w:val="005B0782"/>
    <w:rsid w:val="005B0A68"/>
    <w:rsid w:val="005B2410"/>
    <w:rsid w:val="005B45ED"/>
    <w:rsid w:val="005B5B12"/>
    <w:rsid w:val="005B6AC2"/>
    <w:rsid w:val="005C1E09"/>
    <w:rsid w:val="005C365C"/>
    <w:rsid w:val="005C43F4"/>
    <w:rsid w:val="005C7E84"/>
    <w:rsid w:val="005D0FA2"/>
    <w:rsid w:val="005D2A52"/>
    <w:rsid w:val="005E560B"/>
    <w:rsid w:val="005E6D92"/>
    <w:rsid w:val="005E7DD8"/>
    <w:rsid w:val="005F1257"/>
    <w:rsid w:val="005F30FC"/>
    <w:rsid w:val="005F463C"/>
    <w:rsid w:val="005F5036"/>
    <w:rsid w:val="00600138"/>
    <w:rsid w:val="00601A33"/>
    <w:rsid w:val="00604EC2"/>
    <w:rsid w:val="006055DF"/>
    <w:rsid w:val="0060626E"/>
    <w:rsid w:val="00610713"/>
    <w:rsid w:val="00610CDE"/>
    <w:rsid w:val="00611CDA"/>
    <w:rsid w:val="006123EB"/>
    <w:rsid w:val="006178F5"/>
    <w:rsid w:val="00620DD9"/>
    <w:rsid w:val="006237C8"/>
    <w:rsid w:val="0062482C"/>
    <w:rsid w:val="00625B95"/>
    <w:rsid w:val="00626335"/>
    <w:rsid w:val="00630718"/>
    <w:rsid w:val="00631C0B"/>
    <w:rsid w:val="00633DB9"/>
    <w:rsid w:val="00634280"/>
    <w:rsid w:val="00635F4B"/>
    <w:rsid w:val="00637A57"/>
    <w:rsid w:val="00640E03"/>
    <w:rsid w:val="006415A2"/>
    <w:rsid w:val="0064187E"/>
    <w:rsid w:val="00644BE7"/>
    <w:rsid w:val="006450DA"/>
    <w:rsid w:val="006461D2"/>
    <w:rsid w:val="0065092D"/>
    <w:rsid w:val="00654B78"/>
    <w:rsid w:val="00655046"/>
    <w:rsid w:val="006566B9"/>
    <w:rsid w:val="006603E3"/>
    <w:rsid w:val="006606B8"/>
    <w:rsid w:val="006619FB"/>
    <w:rsid w:val="00665173"/>
    <w:rsid w:val="00665CAE"/>
    <w:rsid w:val="006716AB"/>
    <w:rsid w:val="0067415F"/>
    <w:rsid w:val="0067516A"/>
    <w:rsid w:val="006808E6"/>
    <w:rsid w:val="00680C26"/>
    <w:rsid w:val="006859F3"/>
    <w:rsid w:val="00686E2D"/>
    <w:rsid w:val="00686F3C"/>
    <w:rsid w:val="00687AF3"/>
    <w:rsid w:val="00690B5E"/>
    <w:rsid w:val="006930DC"/>
    <w:rsid w:val="00693BAB"/>
    <w:rsid w:val="00694D4A"/>
    <w:rsid w:val="00695D89"/>
    <w:rsid w:val="00696426"/>
    <w:rsid w:val="006A0090"/>
    <w:rsid w:val="006A04A6"/>
    <w:rsid w:val="006A0CA1"/>
    <w:rsid w:val="006A0F01"/>
    <w:rsid w:val="006A2931"/>
    <w:rsid w:val="006A324B"/>
    <w:rsid w:val="006A77AE"/>
    <w:rsid w:val="006B0A75"/>
    <w:rsid w:val="006B1757"/>
    <w:rsid w:val="006B217B"/>
    <w:rsid w:val="006B3304"/>
    <w:rsid w:val="006B3679"/>
    <w:rsid w:val="006B574E"/>
    <w:rsid w:val="006B6D48"/>
    <w:rsid w:val="006B774F"/>
    <w:rsid w:val="006C16B3"/>
    <w:rsid w:val="006C17F5"/>
    <w:rsid w:val="006C275A"/>
    <w:rsid w:val="006D0000"/>
    <w:rsid w:val="006D14B3"/>
    <w:rsid w:val="006D23EF"/>
    <w:rsid w:val="006D28FA"/>
    <w:rsid w:val="006D2DD7"/>
    <w:rsid w:val="006D5532"/>
    <w:rsid w:val="006D5E95"/>
    <w:rsid w:val="006D60FC"/>
    <w:rsid w:val="006E0123"/>
    <w:rsid w:val="006E0E34"/>
    <w:rsid w:val="006E3448"/>
    <w:rsid w:val="006E37C0"/>
    <w:rsid w:val="006E562D"/>
    <w:rsid w:val="006F1B56"/>
    <w:rsid w:val="006F3770"/>
    <w:rsid w:val="006F4F79"/>
    <w:rsid w:val="006F7081"/>
    <w:rsid w:val="006F71C7"/>
    <w:rsid w:val="006F7C56"/>
    <w:rsid w:val="0070359C"/>
    <w:rsid w:val="00705950"/>
    <w:rsid w:val="00707E43"/>
    <w:rsid w:val="00713E3C"/>
    <w:rsid w:val="00715B28"/>
    <w:rsid w:val="0071798F"/>
    <w:rsid w:val="00721906"/>
    <w:rsid w:val="0072345A"/>
    <w:rsid w:val="007253C4"/>
    <w:rsid w:val="00727534"/>
    <w:rsid w:val="00727F50"/>
    <w:rsid w:val="00735CF8"/>
    <w:rsid w:val="00740972"/>
    <w:rsid w:val="007431BE"/>
    <w:rsid w:val="007469F2"/>
    <w:rsid w:val="00751E28"/>
    <w:rsid w:val="00755278"/>
    <w:rsid w:val="00755B03"/>
    <w:rsid w:val="007566A2"/>
    <w:rsid w:val="00761714"/>
    <w:rsid w:val="00761F05"/>
    <w:rsid w:val="0076437B"/>
    <w:rsid w:val="007648FB"/>
    <w:rsid w:val="00764975"/>
    <w:rsid w:val="007673BD"/>
    <w:rsid w:val="00775359"/>
    <w:rsid w:val="0077544C"/>
    <w:rsid w:val="00776DCA"/>
    <w:rsid w:val="00777A0F"/>
    <w:rsid w:val="007807E9"/>
    <w:rsid w:val="00783C61"/>
    <w:rsid w:val="0078569C"/>
    <w:rsid w:val="00786075"/>
    <w:rsid w:val="00787CDB"/>
    <w:rsid w:val="00792620"/>
    <w:rsid w:val="007931B0"/>
    <w:rsid w:val="00793E15"/>
    <w:rsid w:val="00794FA8"/>
    <w:rsid w:val="00796700"/>
    <w:rsid w:val="007968BC"/>
    <w:rsid w:val="007A05CA"/>
    <w:rsid w:val="007A0C02"/>
    <w:rsid w:val="007A12E6"/>
    <w:rsid w:val="007A2D65"/>
    <w:rsid w:val="007A32F1"/>
    <w:rsid w:val="007A5301"/>
    <w:rsid w:val="007A6522"/>
    <w:rsid w:val="007A6A0F"/>
    <w:rsid w:val="007A72CF"/>
    <w:rsid w:val="007A7427"/>
    <w:rsid w:val="007B0A50"/>
    <w:rsid w:val="007B1F52"/>
    <w:rsid w:val="007B2CBF"/>
    <w:rsid w:val="007B5093"/>
    <w:rsid w:val="007B6260"/>
    <w:rsid w:val="007B6CEA"/>
    <w:rsid w:val="007C0AA7"/>
    <w:rsid w:val="007C0DE2"/>
    <w:rsid w:val="007C52E5"/>
    <w:rsid w:val="007C7867"/>
    <w:rsid w:val="007D291E"/>
    <w:rsid w:val="007D5162"/>
    <w:rsid w:val="007D5EF6"/>
    <w:rsid w:val="007E1F7B"/>
    <w:rsid w:val="007E241C"/>
    <w:rsid w:val="007E28E6"/>
    <w:rsid w:val="007E2C43"/>
    <w:rsid w:val="007E5042"/>
    <w:rsid w:val="007E54A2"/>
    <w:rsid w:val="007F43F7"/>
    <w:rsid w:val="007F4B30"/>
    <w:rsid w:val="007F5A24"/>
    <w:rsid w:val="007F6458"/>
    <w:rsid w:val="007F756B"/>
    <w:rsid w:val="007F7BAD"/>
    <w:rsid w:val="00800F6D"/>
    <w:rsid w:val="008031EA"/>
    <w:rsid w:val="008032C5"/>
    <w:rsid w:val="00803680"/>
    <w:rsid w:val="008040F8"/>
    <w:rsid w:val="0080424A"/>
    <w:rsid w:val="00804D00"/>
    <w:rsid w:val="008051D9"/>
    <w:rsid w:val="0081257E"/>
    <w:rsid w:val="008125BC"/>
    <w:rsid w:val="008150DB"/>
    <w:rsid w:val="008227E7"/>
    <w:rsid w:val="008238C3"/>
    <w:rsid w:val="00823E90"/>
    <w:rsid w:val="008246B7"/>
    <w:rsid w:val="00824BC4"/>
    <w:rsid w:val="008259E5"/>
    <w:rsid w:val="008304C7"/>
    <w:rsid w:val="00833EE1"/>
    <w:rsid w:val="00836F9E"/>
    <w:rsid w:val="00837E45"/>
    <w:rsid w:val="00844FAC"/>
    <w:rsid w:val="00845377"/>
    <w:rsid w:val="00847F71"/>
    <w:rsid w:val="0085166A"/>
    <w:rsid w:val="00851D0F"/>
    <w:rsid w:val="00853A1B"/>
    <w:rsid w:val="0085500C"/>
    <w:rsid w:val="00855C1A"/>
    <w:rsid w:val="00860FB2"/>
    <w:rsid w:val="00861489"/>
    <w:rsid w:val="00861899"/>
    <w:rsid w:val="00861A0B"/>
    <w:rsid w:val="00861CDC"/>
    <w:rsid w:val="00866769"/>
    <w:rsid w:val="0086789C"/>
    <w:rsid w:val="00870B47"/>
    <w:rsid w:val="00870DDA"/>
    <w:rsid w:val="0087130D"/>
    <w:rsid w:val="00871A4A"/>
    <w:rsid w:val="00872D18"/>
    <w:rsid w:val="00875376"/>
    <w:rsid w:val="00875E71"/>
    <w:rsid w:val="00883E72"/>
    <w:rsid w:val="00884BD8"/>
    <w:rsid w:val="00885018"/>
    <w:rsid w:val="00885171"/>
    <w:rsid w:val="00885B07"/>
    <w:rsid w:val="00885F8A"/>
    <w:rsid w:val="00886209"/>
    <w:rsid w:val="00890C96"/>
    <w:rsid w:val="00892518"/>
    <w:rsid w:val="00893AA2"/>
    <w:rsid w:val="00896A7F"/>
    <w:rsid w:val="008A0A86"/>
    <w:rsid w:val="008A1530"/>
    <w:rsid w:val="008A1D81"/>
    <w:rsid w:val="008A25CE"/>
    <w:rsid w:val="008A3534"/>
    <w:rsid w:val="008A3E52"/>
    <w:rsid w:val="008A4674"/>
    <w:rsid w:val="008A6543"/>
    <w:rsid w:val="008B02E4"/>
    <w:rsid w:val="008B39CB"/>
    <w:rsid w:val="008B47B1"/>
    <w:rsid w:val="008B4864"/>
    <w:rsid w:val="008B5819"/>
    <w:rsid w:val="008B6E26"/>
    <w:rsid w:val="008C125E"/>
    <w:rsid w:val="008D0243"/>
    <w:rsid w:val="008D0E89"/>
    <w:rsid w:val="008D1EE1"/>
    <w:rsid w:val="008D3F10"/>
    <w:rsid w:val="008D431E"/>
    <w:rsid w:val="008E01E2"/>
    <w:rsid w:val="008E0651"/>
    <w:rsid w:val="008E0C91"/>
    <w:rsid w:val="008E54CA"/>
    <w:rsid w:val="008E6050"/>
    <w:rsid w:val="008E6DD3"/>
    <w:rsid w:val="008F0F1A"/>
    <w:rsid w:val="008F2EC4"/>
    <w:rsid w:val="008F6CF7"/>
    <w:rsid w:val="0090102D"/>
    <w:rsid w:val="0090225C"/>
    <w:rsid w:val="00902AD7"/>
    <w:rsid w:val="00905779"/>
    <w:rsid w:val="00905CC3"/>
    <w:rsid w:val="00907A89"/>
    <w:rsid w:val="0091232F"/>
    <w:rsid w:val="0091454F"/>
    <w:rsid w:val="00920F96"/>
    <w:rsid w:val="00925741"/>
    <w:rsid w:val="00927088"/>
    <w:rsid w:val="00927F9B"/>
    <w:rsid w:val="00931369"/>
    <w:rsid w:val="00932A6F"/>
    <w:rsid w:val="009414A0"/>
    <w:rsid w:val="009429C7"/>
    <w:rsid w:val="00943C91"/>
    <w:rsid w:val="00950FBF"/>
    <w:rsid w:val="00951C0F"/>
    <w:rsid w:val="00955370"/>
    <w:rsid w:val="0095771C"/>
    <w:rsid w:val="0096594A"/>
    <w:rsid w:val="009673BB"/>
    <w:rsid w:val="00967CCC"/>
    <w:rsid w:val="00971A95"/>
    <w:rsid w:val="009734EB"/>
    <w:rsid w:val="0097483E"/>
    <w:rsid w:val="0097567E"/>
    <w:rsid w:val="009759E9"/>
    <w:rsid w:val="0097654C"/>
    <w:rsid w:val="00976EEA"/>
    <w:rsid w:val="00977620"/>
    <w:rsid w:val="00982114"/>
    <w:rsid w:val="00982303"/>
    <w:rsid w:val="00984540"/>
    <w:rsid w:val="00987A93"/>
    <w:rsid w:val="00990153"/>
    <w:rsid w:val="00991B83"/>
    <w:rsid w:val="009936A5"/>
    <w:rsid w:val="009943B0"/>
    <w:rsid w:val="00994E3C"/>
    <w:rsid w:val="0099622D"/>
    <w:rsid w:val="0099625A"/>
    <w:rsid w:val="009976F1"/>
    <w:rsid w:val="009A0058"/>
    <w:rsid w:val="009A13FB"/>
    <w:rsid w:val="009A14D7"/>
    <w:rsid w:val="009A3814"/>
    <w:rsid w:val="009A3830"/>
    <w:rsid w:val="009A3F4E"/>
    <w:rsid w:val="009A6B9A"/>
    <w:rsid w:val="009A734C"/>
    <w:rsid w:val="009A7E34"/>
    <w:rsid w:val="009B2EE3"/>
    <w:rsid w:val="009B54D2"/>
    <w:rsid w:val="009B5E94"/>
    <w:rsid w:val="009C0EB3"/>
    <w:rsid w:val="009C13A2"/>
    <w:rsid w:val="009C2715"/>
    <w:rsid w:val="009C31B4"/>
    <w:rsid w:val="009C4E3A"/>
    <w:rsid w:val="009C5C29"/>
    <w:rsid w:val="009C763D"/>
    <w:rsid w:val="009D3F06"/>
    <w:rsid w:val="009D4DA2"/>
    <w:rsid w:val="009D4DAD"/>
    <w:rsid w:val="009D6A00"/>
    <w:rsid w:val="009D6E3F"/>
    <w:rsid w:val="009E0380"/>
    <w:rsid w:val="009E2C44"/>
    <w:rsid w:val="009E4560"/>
    <w:rsid w:val="009E68AC"/>
    <w:rsid w:val="009E6A1D"/>
    <w:rsid w:val="009F2F54"/>
    <w:rsid w:val="009F3A12"/>
    <w:rsid w:val="009F4F08"/>
    <w:rsid w:val="00A0048D"/>
    <w:rsid w:val="00A0161F"/>
    <w:rsid w:val="00A02F01"/>
    <w:rsid w:val="00A03A92"/>
    <w:rsid w:val="00A0577B"/>
    <w:rsid w:val="00A10652"/>
    <w:rsid w:val="00A1105B"/>
    <w:rsid w:val="00A12FF8"/>
    <w:rsid w:val="00A147BC"/>
    <w:rsid w:val="00A167A6"/>
    <w:rsid w:val="00A17512"/>
    <w:rsid w:val="00A17C50"/>
    <w:rsid w:val="00A212B1"/>
    <w:rsid w:val="00A228C3"/>
    <w:rsid w:val="00A22F91"/>
    <w:rsid w:val="00A23EAF"/>
    <w:rsid w:val="00A243F1"/>
    <w:rsid w:val="00A24D2D"/>
    <w:rsid w:val="00A254EE"/>
    <w:rsid w:val="00A256D8"/>
    <w:rsid w:val="00A25E58"/>
    <w:rsid w:val="00A30E41"/>
    <w:rsid w:val="00A34DAF"/>
    <w:rsid w:val="00A35B9B"/>
    <w:rsid w:val="00A36478"/>
    <w:rsid w:val="00A418C4"/>
    <w:rsid w:val="00A46C02"/>
    <w:rsid w:val="00A46DB6"/>
    <w:rsid w:val="00A52962"/>
    <w:rsid w:val="00A56DC4"/>
    <w:rsid w:val="00A5754B"/>
    <w:rsid w:val="00A62033"/>
    <w:rsid w:val="00A66453"/>
    <w:rsid w:val="00A709A1"/>
    <w:rsid w:val="00A70FA5"/>
    <w:rsid w:val="00A71120"/>
    <w:rsid w:val="00A7593E"/>
    <w:rsid w:val="00A772D6"/>
    <w:rsid w:val="00A80A42"/>
    <w:rsid w:val="00A87470"/>
    <w:rsid w:val="00A91288"/>
    <w:rsid w:val="00A91AF2"/>
    <w:rsid w:val="00A91B2C"/>
    <w:rsid w:val="00A9543B"/>
    <w:rsid w:val="00AA00EF"/>
    <w:rsid w:val="00AA017D"/>
    <w:rsid w:val="00AA2F5F"/>
    <w:rsid w:val="00AA347F"/>
    <w:rsid w:val="00AA4C81"/>
    <w:rsid w:val="00AA5542"/>
    <w:rsid w:val="00AA63FC"/>
    <w:rsid w:val="00AA755C"/>
    <w:rsid w:val="00AB0510"/>
    <w:rsid w:val="00AB16CE"/>
    <w:rsid w:val="00AB2B46"/>
    <w:rsid w:val="00AB319F"/>
    <w:rsid w:val="00AB33B0"/>
    <w:rsid w:val="00AB41E6"/>
    <w:rsid w:val="00AC0D89"/>
    <w:rsid w:val="00AC0EE0"/>
    <w:rsid w:val="00AC5AED"/>
    <w:rsid w:val="00AC61DB"/>
    <w:rsid w:val="00AC733F"/>
    <w:rsid w:val="00AC7532"/>
    <w:rsid w:val="00AC75E0"/>
    <w:rsid w:val="00AD0110"/>
    <w:rsid w:val="00AD0DD4"/>
    <w:rsid w:val="00AD4A28"/>
    <w:rsid w:val="00AD4FB7"/>
    <w:rsid w:val="00AE01C7"/>
    <w:rsid w:val="00AE0D5F"/>
    <w:rsid w:val="00AE1F9E"/>
    <w:rsid w:val="00AE3F07"/>
    <w:rsid w:val="00AE4FF3"/>
    <w:rsid w:val="00AE6E24"/>
    <w:rsid w:val="00AE7B45"/>
    <w:rsid w:val="00AF2092"/>
    <w:rsid w:val="00AF4D91"/>
    <w:rsid w:val="00AF600D"/>
    <w:rsid w:val="00B01191"/>
    <w:rsid w:val="00B01506"/>
    <w:rsid w:val="00B0406C"/>
    <w:rsid w:val="00B10684"/>
    <w:rsid w:val="00B12188"/>
    <w:rsid w:val="00B20200"/>
    <w:rsid w:val="00B21202"/>
    <w:rsid w:val="00B21F1C"/>
    <w:rsid w:val="00B23017"/>
    <w:rsid w:val="00B24F2E"/>
    <w:rsid w:val="00B26CAC"/>
    <w:rsid w:val="00B30333"/>
    <w:rsid w:val="00B3239D"/>
    <w:rsid w:val="00B3304F"/>
    <w:rsid w:val="00B335BD"/>
    <w:rsid w:val="00B33A63"/>
    <w:rsid w:val="00B3561B"/>
    <w:rsid w:val="00B371BA"/>
    <w:rsid w:val="00B4000B"/>
    <w:rsid w:val="00B407DD"/>
    <w:rsid w:val="00B40AE6"/>
    <w:rsid w:val="00B44E23"/>
    <w:rsid w:val="00B46AE3"/>
    <w:rsid w:val="00B5061B"/>
    <w:rsid w:val="00B5151A"/>
    <w:rsid w:val="00B516A6"/>
    <w:rsid w:val="00B52484"/>
    <w:rsid w:val="00B52EFC"/>
    <w:rsid w:val="00B56221"/>
    <w:rsid w:val="00B5687F"/>
    <w:rsid w:val="00B61FE9"/>
    <w:rsid w:val="00B66123"/>
    <w:rsid w:val="00B6668F"/>
    <w:rsid w:val="00B6691E"/>
    <w:rsid w:val="00B67A7F"/>
    <w:rsid w:val="00B74CE3"/>
    <w:rsid w:val="00B75031"/>
    <w:rsid w:val="00B777FA"/>
    <w:rsid w:val="00B805D1"/>
    <w:rsid w:val="00B8068D"/>
    <w:rsid w:val="00B806DE"/>
    <w:rsid w:val="00B8078D"/>
    <w:rsid w:val="00B82C9B"/>
    <w:rsid w:val="00B84838"/>
    <w:rsid w:val="00B879F8"/>
    <w:rsid w:val="00B91FDD"/>
    <w:rsid w:val="00B9206C"/>
    <w:rsid w:val="00B924F6"/>
    <w:rsid w:val="00B92744"/>
    <w:rsid w:val="00B95E0D"/>
    <w:rsid w:val="00B968D2"/>
    <w:rsid w:val="00B96F92"/>
    <w:rsid w:val="00B97D0B"/>
    <w:rsid w:val="00BA190C"/>
    <w:rsid w:val="00BA3906"/>
    <w:rsid w:val="00BA4532"/>
    <w:rsid w:val="00BA7C4F"/>
    <w:rsid w:val="00BB05B1"/>
    <w:rsid w:val="00BB1D9E"/>
    <w:rsid w:val="00BB640E"/>
    <w:rsid w:val="00BB65F8"/>
    <w:rsid w:val="00BB7D85"/>
    <w:rsid w:val="00BC1125"/>
    <w:rsid w:val="00BC1E3B"/>
    <w:rsid w:val="00BC4C76"/>
    <w:rsid w:val="00BC5478"/>
    <w:rsid w:val="00BD042C"/>
    <w:rsid w:val="00BD0E2E"/>
    <w:rsid w:val="00BD2936"/>
    <w:rsid w:val="00BD2AC7"/>
    <w:rsid w:val="00BD4899"/>
    <w:rsid w:val="00BD54CC"/>
    <w:rsid w:val="00BD58E4"/>
    <w:rsid w:val="00BD64F6"/>
    <w:rsid w:val="00BD69F2"/>
    <w:rsid w:val="00BD714A"/>
    <w:rsid w:val="00BD7799"/>
    <w:rsid w:val="00BE00AF"/>
    <w:rsid w:val="00BE0C17"/>
    <w:rsid w:val="00BE14B3"/>
    <w:rsid w:val="00BE29E4"/>
    <w:rsid w:val="00BE2E1F"/>
    <w:rsid w:val="00BE3164"/>
    <w:rsid w:val="00BE44E7"/>
    <w:rsid w:val="00BE56E7"/>
    <w:rsid w:val="00BE6881"/>
    <w:rsid w:val="00BE7250"/>
    <w:rsid w:val="00BF0A61"/>
    <w:rsid w:val="00BF0AFA"/>
    <w:rsid w:val="00BF0D06"/>
    <w:rsid w:val="00BF27B3"/>
    <w:rsid w:val="00BF322B"/>
    <w:rsid w:val="00BF5711"/>
    <w:rsid w:val="00BF75FB"/>
    <w:rsid w:val="00C01441"/>
    <w:rsid w:val="00C0209A"/>
    <w:rsid w:val="00C0253B"/>
    <w:rsid w:val="00C03D73"/>
    <w:rsid w:val="00C045EC"/>
    <w:rsid w:val="00C04F6B"/>
    <w:rsid w:val="00C05839"/>
    <w:rsid w:val="00C05DBA"/>
    <w:rsid w:val="00C100B8"/>
    <w:rsid w:val="00C10224"/>
    <w:rsid w:val="00C21981"/>
    <w:rsid w:val="00C220A8"/>
    <w:rsid w:val="00C23D51"/>
    <w:rsid w:val="00C251D4"/>
    <w:rsid w:val="00C2763D"/>
    <w:rsid w:val="00C31623"/>
    <w:rsid w:val="00C33111"/>
    <w:rsid w:val="00C40453"/>
    <w:rsid w:val="00C41E81"/>
    <w:rsid w:val="00C4222A"/>
    <w:rsid w:val="00C42834"/>
    <w:rsid w:val="00C440A8"/>
    <w:rsid w:val="00C45394"/>
    <w:rsid w:val="00C45D2A"/>
    <w:rsid w:val="00C50547"/>
    <w:rsid w:val="00C537AE"/>
    <w:rsid w:val="00C554ED"/>
    <w:rsid w:val="00C55EED"/>
    <w:rsid w:val="00C57C82"/>
    <w:rsid w:val="00C60B50"/>
    <w:rsid w:val="00C60CBD"/>
    <w:rsid w:val="00C60F10"/>
    <w:rsid w:val="00C6110D"/>
    <w:rsid w:val="00C62153"/>
    <w:rsid w:val="00C622E2"/>
    <w:rsid w:val="00C62D61"/>
    <w:rsid w:val="00C674AD"/>
    <w:rsid w:val="00C71CB6"/>
    <w:rsid w:val="00C72325"/>
    <w:rsid w:val="00C7432A"/>
    <w:rsid w:val="00C74646"/>
    <w:rsid w:val="00C74735"/>
    <w:rsid w:val="00C747C4"/>
    <w:rsid w:val="00C75628"/>
    <w:rsid w:val="00C75930"/>
    <w:rsid w:val="00C774AE"/>
    <w:rsid w:val="00C77AD3"/>
    <w:rsid w:val="00C85F7A"/>
    <w:rsid w:val="00C87217"/>
    <w:rsid w:val="00C87CE3"/>
    <w:rsid w:val="00C87F14"/>
    <w:rsid w:val="00C90285"/>
    <w:rsid w:val="00C90648"/>
    <w:rsid w:val="00C90F1D"/>
    <w:rsid w:val="00C92CA1"/>
    <w:rsid w:val="00C93561"/>
    <w:rsid w:val="00C95414"/>
    <w:rsid w:val="00C96781"/>
    <w:rsid w:val="00C97CC0"/>
    <w:rsid w:val="00C97E0A"/>
    <w:rsid w:val="00CA08E1"/>
    <w:rsid w:val="00CA3652"/>
    <w:rsid w:val="00CA7CAD"/>
    <w:rsid w:val="00CB06B8"/>
    <w:rsid w:val="00CB1A74"/>
    <w:rsid w:val="00CB3DB7"/>
    <w:rsid w:val="00CB4623"/>
    <w:rsid w:val="00CB5989"/>
    <w:rsid w:val="00CB6F4A"/>
    <w:rsid w:val="00CC1D03"/>
    <w:rsid w:val="00CC472C"/>
    <w:rsid w:val="00CD1689"/>
    <w:rsid w:val="00CD7EAB"/>
    <w:rsid w:val="00CE0240"/>
    <w:rsid w:val="00CE42FD"/>
    <w:rsid w:val="00CE766F"/>
    <w:rsid w:val="00CF050A"/>
    <w:rsid w:val="00CF2F58"/>
    <w:rsid w:val="00CF3263"/>
    <w:rsid w:val="00CF5044"/>
    <w:rsid w:val="00CF5181"/>
    <w:rsid w:val="00CF57E8"/>
    <w:rsid w:val="00CF6EA6"/>
    <w:rsid w:val="00CF772E"/>
    <w:rsid w:val="00CF79A1"/>
    <w:rsid w:val="00CF7D0E"/>
    <w:rsid w:val="00D008AE"/>
    <w:rsid w:val="00D0178F"/>
    <w:rsid w:val="00D0334E"/>
    <w:rsid w:val="00D0396F"/>
    <w:rsid w:val="00D049C1"/>
    <w:rsid w:val="00D07108"/>
    <w:rsid w:val="00D121C1"/>
    <w:rsid w:val="00D15704"/>
    <w:rsid w:val="00D17037"/>
    <w:rsid w:val="00D22218"/>
    <w:rsid w:val="00D23DEB"/>
    <w:rsid w:val="00D2448E"/>
    <w:rsid w:val="00D2465E"/>
    <w:rsid w:val="00D2659B"/>
    <w:rsid w:val="00D26AC4"/>
    <w:rsid w:val="00D35C9B"/>
    <w:rsid w:val="00D36BC6"/>
    <w:rsid w:val="00D4346B"/>
    <w:rsid w:val="00D43B2D"/>
    <w:rsid w:val="00D454B1"/>
    <w:rsid w:val="00D522D6"/>
    <w:rsid w:val="00D559DC"/>
    <w:rsid w:val="00D5693D"/>
    <w:rsid w:val="00D579E0"/>
    <w:rsid w:val="00D601E9"/>
    <w:rsid w:val="00D604FB"/>
    <w:rsid w:val="00D64C05"/>
    <w:rsid w:val="00D65ACC"/>
    <w:rsid w:val="00D6670A"/>
    <w:rsid w:val="00D70DC3"/>
    <w:rsid w:val="00D70FC5"/>
    <w:rsid w:val="00D71693"/>
    <w:rsid w:val="00D71BBC"/>
    <w:rsid w:val="00D73896"/>
    <w:rsid w:val="00D73D69"/>
    <w:rsid w:val="00D7446E"/>
    <w:rsid w:val="00D76128"/>
    <w:rsid w:val="00D773B1"/>
    <w:rsid w:val="00D7779D"/>
    <w:rsid w:val="00D82EE1"/>
    <w:rsid w:val="00D831AD"/>
    <w:rsid w:val="00D8399A"/>
    <w:rsid w:val="00D843D7"/>
    <w:rsid w:val="00D843E8"/>
    <w:rsid w:val="00D90457"/>
    <w:rsid w:val="00D910C7"/>
    <w:rsid w:val="00D93CA5"/>
    <w:rsid w:val="00D952E3"/>
    <w:rsid w:val="00D95D4E"/>
    <w:rsid w:val="00D96515"/>
    <w:rsid w:val="00DA0CA5"/>
    <w:rsid w:val="00DA0D2F"/>
    <w:rsid w:val="00DA193A"/>
    <w:rsid w:val="00DA1CA2"/>
    <w:rsid w:val="00DA24DA"/>
    <w:rsid w:val="00DA312E"/>
    <w:rsid w:val="00DA60C8"/>
    <w:rsid w:val="00DA62F6"/>
    <w:rsid w:val="00DA6D2A"/>
    <w:rsid w:val="00DA7B86"/>
    <w:rsid w:val="00DB52F0"/>
    <w:rsid w:val="00DB54B6"/>
    <w:rsid w:val="00DB5D15"/>
    <w:rsid w:val="00DC086A"/>
    <w:rsid w:val="00DC151A"/>
    <w:rsid w:val="00DC6645"/>
    <w:rsid w:val="00DD08EF"/>
    <w:rsid w:val="00DD0CCB"/>
    <w:rsid w:val="00DD1CDE"/>
    <w:rsid w:val="00DD1CE5"/>
    <w:rsid w:val="00DD3C25"/>
    <w:rsid w:val="00DD6CA7"/>
    <w:rsid w:val="00DD6F7B"/>
    <w:rsid w:val="00DD7069"/>
    <w:rsid w:val="00DE0657"/>
    <w:rsid w:val="00DE0D58"/>
    <w:rsid w:val="00DE506C"/>
    <w:rsid w:val="00DE6248"/>
    <w:rsid w:val="00DE63F0"/>
    <w:rsid w:val="00DF1778"/>
    <w:rsid w:val="00E00BE2"/>
    <w:rsid w:val="00E03181"/>
    <w:rsid w:val="00E04E7D"/>
    <w:rsid w:val="00E04F21"/>
    <w:rsid w:val="00E0740E"/>
    <w:rsid w:val="00E07B8F"/>
    <w:rsid w:val="00E07C46"/>
    <w:rsid w:val="00E10170"/>
    <w:rsid w:val="00E1061D"/>
    <w:rsid w:val="00E10A4D"/>
    <w:rsid w:val="00E1121C"/>
    <w:rsid w:val="00E11D33"/>
    <w:rsid w:val="00E1270B"/>
    <w:rsid w:val="00E12C85"/>
    <w:rsid w:val="00E130BD"/>
    <w:rsid w:val="00E13C2D"/>
    <w:rsid w:val="00E15693"/>
    <w:rsid w:val="00E16395"/>
    <w:rsid w:val="00E2603B"/>
    <w:rsid w:val="00E2683F"/>
    <w:rsid w:val="00E26AF6"/>
    <w:rsid w:val="00E27143"/>
    <w:rsid w:val="00E34A8C"/>
    <w:rsid w:val="00E36B93"/>
    <w:rsid w:val="00E40F02"/>
    <w:rsid w:val="00E41412"/>
    <w:rsid w:val="00E42813"/>
    <w:rsid w:val="00E4629F"/>
    <w:rsid w:val="00E46491"/>
    <w:rsid w:val="00E47639"/>
    <w:rsid w:val="00E505CF"/>
    <w:rsid w:val="00E54535"/>
    <w:rsid w:val="00E562EB"/>
    <w:rsid w:val="00E57A52"/>
    <w:rsid w:val="00E60762"/>
    <w:rsid w:val="00E62D37"/>
    <w:rsid w:val="00E663B0"/>
    <w:rsid w:val="00E70623"/>
    <w:rsid w:val="00E73305"/>
    <w:rsid w:val="00E76EA4"/>
    <w:rsid w:val="00E82325"/>
    <w:rsid w:val="00E824B1"/>
    <w:rsid w:val="00E83E97"/>
    <w:rsid w:val="00E83F46"/>
    <w:rsid w:val="00E85741"/>
    <w:rsid w:val="00E8575F"/>
    <w:rsid w:val="00E86F4F"/>
    <w:rsid w:val="00E91235"/>
    <w:rsid w:val="00E91DBF"/>
    <w:rsid w:val="00E92ED1"/>
    <w:rsid w:val="00E95A5E"/>
    <w:rsid w:val="00E96C38"/>
    <w:rsid w:val="00E96FA5"/>
    <w:rsid w:val="00EA30CF"/>
    <w:rsid w:val="00EA486C"/>
    <w:rsid w:val="00EA596B"/>
    <w:rsid w:val="00EA6812"/>
    <w:rsid w:val="00EA7DA0"/>
    <w:rsid w:val="00EB1D03"/>
    <w:rsid w:val="00EB3180"/>
    <w:rsid w:val="00EB3C8E"/>
    <w:rsid w:val="00EB4E5C"/>
    <w:rsid w:val="00EC1C94"/>
    <w:rsid w:val="00EC45E1"/>
    <w:rsid w:val="00EC5433"/>
    <w:rsid w:val="00EC59B5"/>
    <w:rsid w:val="00EC7E15"/>
    <w:rsid w:val="00ED0489"/>
    <w:rsid w:val="00ED0F1A"/>
    <w:rsid w:val="00ED2058"/>
    <w:rsid w:val="00ED2364"/>
    <w:rsid w:val="00ED345F"/>
    <w:rsid w:val="00ED37AC"/>
    <w:rsid w:val="00ED4B04"/>
    <w:rsid w:val="00ED4B91"/>
    <w:rsid w:val="00ED4F32"/>
    <w:rsid w:val="00ED56B6"/>
    <w:rsid w:val="00ED6034"/>
    <w:rsid w:val="00ED6308"/>
    <w:rsid w:val="00EE1D59"/>
    <w:rsid w:val="00EE370B"/>
    <w:rsid w:val="00EE4029"/>
    <w:rsid w:val="00EE4332"/>
    <w:rsid w:val="00EE495F"/>
    <w:rsid w:val="00EE59F4"/>
    <w:rsid w:val="00EE74DF"/>
    <w:rsid w:val="00EF08F3"/>
    <w:rsid w:val="00EF3838"/>
    <w:rsid w:val="00EF62C6"/>
    <w:rsid w:val="00EF6426"/>
    <w:rsid w:val="00EF67BA"/>
    <w:rsid w:val="00EF6C10"/>
    <w:rsid w:val="00F007B3"/>
    <w:rsid w:val="00F01F27"/>
    <w:rsid w:val="00F027B2"/>
    <w:rsid w:val="00F02B46"/>
    <w:rsid w:val="00F03D61"/>
    <w:rsid w:val="00F053DE"/>
    <w:rsid w:val="00F07F68"/>
    <w:rsid w:val="00F10A34"/>
    <w:rsid w:val="00F11DD9"/>
    <w:rsid w:val="00F12412"/>
    <w:rsid w:val="00F12605"/>
    <w:rsid w:val="00F1399C"/>
    <w:rsid w:val="00F15D53"/>
    <w:rsid w:val="00F16685"/>
    <w:rsid w:val="00F16B2E"/>
    <w:rsid w:val="00F2330F"/>
    <w:rsid w:val="00F23522"/>
    <w:rsid w:val="00F24832"/>
    <w:rsid w:val="00F266B4"/>
    <w:rsid w:val="00F26CFF"/>
    <w:rsid w:val="00F31647"/>
    <w:rsid w:val="00F31666"/>
    <w:rsid w:val="00F34A8A"/>
    <w:rsid w:val="00F3765F"/>
    <w:rsid w:val="00F376E1"/>
    <w:rsid w:val="00F408F7"/>
    <w:rsid w:val="00F452E6"/>
    <w:rsid w:val="00F4599B"/>
    <w:rsid w:val="00F5082E"/>
    <w:rsid w:val="00F52452"/>
    <w:rsid w:val="00F5480E"/>
    <w:rsid w:val="00F551DC"/>
    <w:rsid w:val="00F60457"/>
    <w:rsid w:val="00F60DD5"/>
    <w:rsid w:val="00F625C5"/>
    <w:rsid w:val="00F646A8"/>
    <w:rsid w:val="00F64934"/>
    <w:rsid w:val="00F65A8A"/>
    <w:rsid w:val="00F65CEE"/>
    <w:rsid w:val="00F6623D"/>
    <w:rsid w:val="00F67E5B"/>
    <w:rsid w:val="00F719C7"/>
    <w:rsid w:val="00F746E6"/>
    <w:rsid w:val="00F74A59"/>
    <w:rsid w:val="00F758A7"/>
    <w:rsid w:val="00F77DC7"/>
    <w:rsid w:val="00F80790"/>
    <w:rsid w:val="00F823E8"/>
    <w:rsid w:val="00F82570"/>
    <w:rsid w:val="00F82B09"/>
    <w:rsid w:val="00F852D6"/>
    <w:rsid w:val="00F87B7B"/>
    <w:rsid w:val="00F91C99"/>
    <w:rsid w:val="00F92C25"/>
    <w:rsid w:val="00F92CC3"/>
    <w:rsid w:val="00F9615F"/>
    <w:rsid w:val="00F96927"/>
    <w:rsid w:val="00F97968"/>
    <w:rsid w:val="00FA3CE8"/>
    <w:rsid w:val="00FA5A87"/>
    <w:rsid w:val="00FB1AB1"/>
    <w:rsid w:val="00FB4961"/>
    <w:rsid w:val="00FB5B9A"/>
    <w:rsid w:val="00FB7689"/>
    <w:rsid w:val="00FB7F8F"/>
    <w:rsid w:val="00FC020F"/>
    <w:rsid w:val="00FC07F7"/>
    <w:rsid w:val="00FC50E2"/>
    <w:rsid w:val="00FC7517"/>
    <w:rsid w:val="00FD0E0D"/>
    <w:rsid w:val="00FD33F9"/>
    <w:rsid w:val="00FD66B8"/>
    <w:rsid w:val="00FD6B1D"/>
    <w:rsid w:val="00FD7A57"/>
    <w:rsid w:val="00FE00A3"/>
    <w:rsid w:val="00FE2042"/>
    <w:rsid w:val="00FE2B7E"/>
    <w:rsid w:val="00FE33CB"/>
    <w:rsid w:val="00FE3D7F"/>
    <w:rsid w:val="00FF5532"/>
    <w:rsid w:val="00FF6197"/>
    <w:rsid w:val="00FF63D8"/>
    <w:rsid w:val="00FF67BC"/>
    <w:rsid w:val="1A254B19"/>
    <w:rsid w:val="1C5741A5"/>
    <w:rsid w:val="21EA0FAA"/>
    <w:rsid w:val="4382B70B"/>
    <w:rsid w:val="72A506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174A"/>
  <w15:chartTrackingRefBased/>
  <w15:docId w15:val="{48D76EEA-8C03-B44C-9826-0483DBFA6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EEA"/>
    <w:rPr>
      <w:sz w:val="21"/>
    </w:rPr>
  </w:style>
  <w:style w:type="paragraph" w:styleId="Heading1">
    <w:name w:val="heading 1"/>
    <w:basedOn w:val="Normal"/>
    <w:next w:val="Normal"/>
    <w:link w:val="Heading1Char"/>
    <w:uiPriority w:val="9"/>
    <w:qFormat/>
    <w:rsid w:val="00687AF3"/>
    <w:pPr>
      <w:keepNext/>
      <w:keepLines/>
      <w:numPr>
        <w:numId w:val="1"/>
      </w:numPr>
      <w:pBdr>
        <w:bottom w:val="single" w:sz="4" w:space="1" w:color="auto"/>
      </w:pBdr>
      <w:spacing w:after="0" w:line="240" w:lineRule="auto"/>
      <w:outlineLvl w:val="0"/>
    </w:pPr>
    <w:rPr>
      <w:rFonts w:eastAsiaTheme="majorEastAsia" w:cstheme="minorHAnsi"/>
      <w:b/>
      <w:bCs/>
      <w:color w:val="4472C4" w:themeColor="accent1"/>
      <w:sz w:val="28"/>
      <w:szCs w:val="28"/>
    </w:rPr>
  </w:style>
  <w:style w:type="paragraph" w:styleId="Heading2">
    <w:name w:val="heading 2"/>
    <w:basedOn w:val="ListParagraph"/>
    <w:next w:val="Normal"/>
    <w:link w:val="Heading2Char"/>
    <w:uiPriority w:val="9"/>
    <w:unhideWhenUsed/>
    <w:qFormat/>
    <w:rsid w:val="00687AF3"/>
    <w:pPr>
      <w:numPr>
        <w:ilvl w:val="1"/>
        <w:numId w:val="1"/>
      </w:numPr>
      <w:spacing w:before="120" w:after="0" w:line="240" w:lineRule="auto"/>
      <w:outlineLvl w:val="1"/>
    </w:pPr>
    <w:rPr>
      <w:rFonts w:cstheme="minorHAnsi"/>
      <w:b/>
      <w:bCs/>
      <w:color w:val="ED7D31" w:themeColor="accent2"/>
      <w:sz w:val="24"/>
      <w:szCs w:val="24"/>
    </w:rPr>
  </w:style>
  <w:style w:type="paragraph" w:styleId="Heading3">
    <w:name w:val="heading 3"/>
    <w:basedOn w:val="Normal"/>
    <w:next w:val="Normal"/>
    <w:link w:val="Heading3Char"/>
    <w:uiPriority w:val="9"/>
    <w:unhideWhenUsed/>
    <w:qFormat/>
    <w:rsid w:val="00687AF3"/>
    <w:pPr>
      <w:keepNext/>
      <w:keepLines/>
      <w:numPr>
        <w:ilvl w:val="2"/>
        <w:numId w:val="1"/>
      </w:numPr>
      <w:spacing w:after="0" w:line="240" w:lineRule="auto"/>
      <w:contextualSpacing/>
      <w:outlineLvl w:val="2"/>
    </w:pPr>
    <w:rPr>
      <w:rFonts w:eastAsiaTheme="majorEastAsia" w:cstheme="minorHAnsi"/>
      <w:b/>
      <w:bCs/>
      <w:color w:val="ED7D31" w:themeColor="accent2"/>
    </w:rPr>
  </w:style>
  <w:style w:type="paragraph" w:styleId="Heading4">
    <w:name w:val="heading 4"/>
    <w:basedOn w:val="Heading3"/>
    <w:next w:val="Normal"/>
    <w:link w:val="Heading4Char"/>
    <w:uiPriority w:val="9"/>
    <w:unhideWhenUsed/>
    <w:qFormat/>
    <w:rsid w:val="00687AF3"/>
    <w:pPr>
      <w:numPr>
        <w:ilvl w:val="3"/>
      </w:numPr>
      <w:outlineLvl w:val="3"/>
    </w:pPr>
    <w:rPr>
      <w:rFonts w:asciiTheme="majorHAnsi" w:hAnsiTheme="majorHAnsi" w:cstheme="majorHAnsi"/>
      <w:i/>
      <w:iCs/>
    </w:rPr>
  </w:style>
  <w:style w:type="paragraph" w:styleId="Heading5">
    <w:name w:val="heading 5"/>
    <w:basedOn w:val="Normal"/>
    <w:next w:val="Normal"/>
    <w:link w:val="Heading5Char"/>
    <w:uiPriority w:val="9"/>
    <w:unhideWhenUsed/>
    <w:qFormat/>
    <w:rsid w:val="00687AF3"/>
    <w:pPr>
      <w:keepNext/>
      <w:keepLines/>
      <w:numPr>
        <w:ilvl w:val="4"/>
        <w:numId w:val="1"/>
      </w:numPr>
      <w:spacing w:before="40" w:after="0" w:line="240" w:lineRule="auto"/>
      <w:outlineLvl w:val="4"/>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7AF3"/>
    <w:rPr>
      <w:rFonts w:cstheme="minorHAnsi"/>
      <w:b/>
      <w:bCs/>
      <w:color w:val="ED7D31" w:themeColor="accent2"/>
      <w:sz w:val="24"/>
      <w:szCs w:val="24"/>
    </w:rPr>
  </w:style>
  <w:style w:type="character" w:styleId="Emphasis">
    <w:name w:val="Emphasis"/>
    <w:uiPriority w:val="20"/>
    <w:qFormat/>
    <w:rsid w:val="00687AF3"/>
    <w:rPr>
      <w:rFonts w:asciiTheme="minorHAnsi" w:hAnsiTheme="minorHAnsi"/>
      <w:b/>
      <w:bCs/>
      <w:i/>
      <w:iCs/>
      <w:color w:val="A5A5A5" w:themeColor="accent3"/>
    </w:rPr>
  </w:style>
  <w:style w:type="character" w:customStyle="1" w:styleId="Heading1Char">
    <w:name w:val="Heading 1 Char"/>
    <w:basedOn w:val="DefaultParagraphFont"/>
    <w:link w:val="Heading1"/>
    <w:uiPriority w:val="9"/>
    <w:rsid w:val="00687AF3"/>
    <w:rPr>
      <w:rFonts w:eastAsiaTheme="majorEastAsia" w:cstheme="minorHAnsi"/>
      <w:b/>
      <w:bCs/>
      <w:color w:val="4472C4" w:themeColor="accent1"/>
      <w:sz w:val="28"/>
      <w:szCs w:val="28"/>
    </w:rPr>
  </w:style>
  <w:style w:type="paragraph" w:styleId="ListParagraph">
    <w:name w:val="List Paragraph"/>
    <w:basedOn w:val="Normal"/>
    <w:uiPriority w:val="34"/>
    <w:qFormat/>
    <w:rsid w:val="00687AF3"/>
    <w:pPr>
      <w:ind w:left="720"/>
      <w:contextualSpacing/>
    </w:pPr>
  </w:style>
  <w:style w:type="character" w:customStyle="1" w:styleId="Heading3Char">
    <w:name w:val="Heading 3 Char"/>
    <w:basedOn w:val="DefaultParagraphFont"/>
    <w:link w:val="Heading3"/>
    <w:uiPriority w:val="9"/>
    <w:rsid w:val="00687AF3"/>
    <w:rPr>
      <w:rFonts w:eastAsiaTheme="majorEastAsia" w:cstheme="minorHAnsi"/>
      <w:b/>
      <w:bCs/>
      <w:color w:val="ED7D31" w:themeColor="accent2"/>
      <w:sz w:val="21"/>
    </w:rPr>
  </w:style>
  <w:style w:type="character" w:customStyle="1" w:styleId="Heading4Char">
    <w:name w:val="Heading 4 Char"/>
    <w:basedOn w:val="DefaultParagraphFont"/>
    <w:link w:val="Heading4"/>
    <w:uiPriority w:val="9"/>
    <w:rsid w:val="00687AF3"/>
    <w:rPr>
      <w:rFonts w:asciiTheme="majorHAnsi" w:eastAsiaTheme="majorEastAsia" w:hAnsiTheme="majorHAnsi" w:cstheme="majorHAnsi"/>
      <w:b/>
      <w:bCs/>
      <w:i/>
      <w:iCs/>
      <w:color w:val="ED7D31" w:themeColor="accent2"/>
      <w:sz w:val="21"/>
    </w:rPr>
  </w:style>
  <w:style w:type="character" w:customStyle="1" w:styleId="Heading5Char">
    <w:name w:val="Heading 5 Char"/>
    <w:basedOn w:val="DefaultParagraphFont"/>
    <w:link w:val="Heading5"/>
    <w:uiPriority w:val="9"/>
    <w:rsid w:val="00687AF3"/>
    <w:rPr>
      <w:rFonts w:asciiTheme="majorHAnsi" w:eastAsiaTheme="majorEastAsia" w:hAnsiTheme="majorHAnsi" w:cstheme="majorBidi"/>
      <w:i/>
      <w:iCs/>
      <w:color w:val="2F5496" w:themeColor="accent1" w:themeShade="BF"/>
      <w:sz w:val="21"/>
    </w:rPr>
  </w:style>
  <w:style w:type="paragraph" w:styleId="FootnoteText">
    <w:name w:val="footnote text"/>
    <w:basedOn w:val="Normal"/>
    <w:link w:val="FootnoteTextChar"/>
    <w:uiPriority w:val="99"/>
    <w:semiHidden/>
    <w:unhideWhenUsed/>
    <w:rsid w:val="00AA34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A347F"/>
    <w:rPr>
      <w:sz w:val="20"/>
      <w:szCs w:val="20"/>
    </w:rPr>
  </w:style>
  <w:style w:type="character" w:styleId="FootnoteReference">
    <w:name w:val="footnote reference"/>
    <w:basedOn w:val="DefaultParagraphFont"/>
    <w:uiPriority w:val="99"/>
    <w:unhideWhenUsed/>
    <w:rsid w:val="00AA347F"/>
    <w:rPr>
      <w:vertAlign w:val="superscript"/>
    </w:rPr>
  </w:style>
  <w:style w:type="character" w:styleId="Hyperlink">
    <w:name w:val="Hyperlink"/>
    <w:basedOn w:val="DefaultParagraphFont"/>
    <w:uiPriority w:val="99"/>
    <w:unhideWhenUsed/>
    <w:rsid w:val="00AA347F"/>
    <w:rPr>
      <w:color w:val="0563C1" w:themeColor="hyperlink"/>
      <w:u w:val="single"/>
    </w:rPr>
  </w:style>
  <w:style w:type="table" w:customStyle="1" w:styleId="GridTable4-Accent41">
    <w:name w:val="Grid Table 4 - Accent 41"/>
    <w:basedOn w:val="TableNormal"/>
    <w:next w:val="GridTable4-Accent4"/>
    <w:uiPriority w:val="49"/>
    <w:rsid w:val="00AA347F"/>
    <w:pPr>
      <w:spacing w:after="0" w:line="240" w:lineRule="auto"/>
    </w:pPr>
    <w:tblPr>
      <w:tblStyleRowBandSize w:val="1"/>
      <w:tblStyleColBandSize w:val="1"/>
      <w:tblBorders>
        <w:top w:val="single" w:sz="4" w:space="0" w:color="70C2CE"/>
        <w:left w:val="single" w:sz="4" w:space="0" w:color="70C2CE"/>
        <w:bottom w:val="single" w:sz="4" w:space="0" w:color="70C2CE"/>
        <w:right w:val="single" w:sz="4" w:space="0" w:color="70C2CE"/>
        <w:insideH w:val="single" w:sz="4" w:space="0" w:color="70C2CE"/>
        <w:insideV w:val="single" w:sz="4" w:space="0" w:color="70C2CE"/>
      </w:tblBorders>
    </w:tblPr>
    <w:tblStylePr w:type="firstRow">
      <w:rPr>
        <w:b/>
        <w:bCs/>
        <w:color w:val="FFFFFF"/>
      </w:rPr>
      <w:tblPr/>
      <w:tcPr>
        <w:tcBorders>
          <w:top w:val="single" w:sz="4" w:space="0" w:color="31838F"/>
          <w:left w:val="single" w:sz="4" w:space="0" w:color="31838F"/>
          <w:bottom w:val="single" w:sz="4" w:space="0" w:color="31838F"/>
          <w:right w:val="single" w:sz="4" w:space="0" w:color="31838F"/>
          <w:insideH w:val="nil"/>
          <w:insideV w:val="nil"/>
        </w:tcBorders>
        <w:shd w:val="clear" w:color="auto" w:fill="31838F"/>
      </w:tcPr>
    </w:tblStylePr>
    <w:tblStylePr w:type="lastRow">
      <w:rPr>
        <w:b/>
        <w:bCs/>
      </w:rPr>
      <w:tblPr/>
      <w:tcPr>
        <w:tcBorders>
          <w:top w:val="double" w:sz="4" w:space="0" w:color="31838F"/>
        </w:tcBorders>
      </w:tcPr>
    </w:tblStylePr>
    <w:tblStylePr w:type="firstCol">
      <w:rPr>
        <w:b/>
        <w:bCs/>
      </w:rPr>
    </w:tblStylePr>
    <w:tblStylePr w:type="lastCol">
      <w:rPr>
        <w:b/>
        <w:bCs/>
      </w:rPr>
    </w:tblStylePr>
    <w:tblStylePr w:type="band1Vert">
      <w:tblPr/>
      <w:tcPr>
        <w:shd w:val="clear" w:color="auto" w:fill="CFEAEE"/>
      </w:tcPr>
    </w:tblStylePr>
    <w:tblStylePr w:type="band1Horz">
      <w:tblPr/>
      <w:tcPr>
        <w:shd w:val="clear" w:color="auto" w:fill="CFEAEE"/>
      </w:tcPr>
    </w:tblStylePr>
  </w:style>
  <w:style w:type="table" w:styleId="GridTable4-Accent4">
    <w:name w:val="Grid Table 4 Accent 4"/>
    <w:basedOn w:val="TableNormal"/>
    <w:uiPriority w:val="49"/>
    <w:rsid w:val="00AA347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42">
    <w:name w:val="Grid Table 4 - Accent 42"/>
    <w:basedOn w:val="TableNormal"/>
    <w:next w:val="GridTable4-Accent4"/>
    <w:uiPriority w:val="49"/>
    <w:rsid w:val="00AA347F"/>
    <w:pPr>
      <w:spacing w:after="0" w:line="240" w:lineRule="auto"/>
    </w:pPr>
    <w:tblPr>
      <w:tblStyleRowBandSize w:val="1"/>
      <w:tblStyleColBandSize w:val="1"/>
      <w:tblBorders>
        <w:top w:val="single" w:sz="4" w:space="0" w:color="70C2CE"/>
        <w:left w:val="single" w:sz="4" w:space="0" w:color="70C2CE"/>
        <w:bottom w:val="single" w:sz="4" w:space="0" w:color="70C2CE"/>
        <w:right w:val="single" w:sz="4" w:space="0" w:color="70C2CE"/>
        <w:insideH w:val="single" w:sz="4" w:space="0" w:color="70C2CE"/>
        <w:insideV w:val="single" w:sz="4" w:space="0" w:color="70C2CE"/>
      </w:tblBorders>
    </w:tblPr>
    <w:tblStylePr w:type="firstRow">
      <w:rPr>
        <w:b/>
        <w:bCs/>
        <w:color w:val="FFFFFF"/>
      </w:rPr>
      <w:tblPr/>
      <w:tcPr>
        <w:tcBorders>
          <w:top w:val="single" w:sz="4" w:space="0" w:color="31838F"/>
          <w:left w:val="single" w:sz="4" w:space="0" w:color="31838F"/>
          <w:bottom w:val="single" w:sz="4" w:space="0" w:color="31838F"/>
          <w:right w:val="single" w:sz="4" w:space="0" w:color="31838F"/>
          <w:insideH w:val="nil"/>
          <w:insideV w:val="nil"/>
        </w:tcBorders>
        <w:shd w:val="clear" w:color="auto" w:fill="31838F"/>
      </w:tcPr>
    </w:tblStylePr>
    <w:tblStylePr w:type="lastRow">
      <w:rPr>
        <w:b/>
        <w:bCs/>
      </w:rPr>
      <w:tblPr/>
      <w:tcPr>
        <w:tcBorders>
          <w:top w:val="double" w:sz="4" w:space="0" w:color="31838F"/>
        </w:tcBorders>
      </w:tcPr>
    </w:tblStylePr>
    <w:tblStylePr w:type="firstCol">
      <w:rPr>
        <w:b/>
        <w:bCs/>
      </w:rPr>
    </w:tblStylePr>
    <w:tblStylePr w:type="lastCol">
      <w:rPr>
        <w:b/>
        <w:bCs/>
      </w:rPr>
    </w:tblStylePr>
    <w:tblStylePr w:type="band1Vert">
      <w:tblPr/>
      <w:tcPr>
        <w:shd w:val="clear" w:color="auto" w:fill="CFEAEE"/>
      </w:tcPr>
    </w:tblStylePr>
    <w:tblStylePr w:type="band1Horz">
      <w:tblPr/>
      <w:tcPr>
        <w:shd w:val="clear" w:color="auto" w:fill="CFEAEE"/>
      </w:tcPr>
    </w:tblStylePr>
  </w:style>
  <w:style w:type="paragraph" w:styleId="Caption">
    <w:name w:val="caption"/>
    <w:basedOn w:val="Normal"/>
    <w:next w:val="Normal"/>
    <w:uiPriority w:val="35"/>
    <w:unhideWhenUsed/>
    <w:qFormat/>
    <w:rsid w:val="00AA347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A34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47F"/>
  </w:style>
  <w:style w:type="table" w:customStyle="1" w:styleId="GridTable4-Accent61">
    <w:name w:val="Grid Table 4 - Accent 61"/>
    <w:basedOn w:val="TableNormal"/>
    <w:next w:val="GridTable4-Accent6"/>
    <w:uiPriority w:val="49"/>
    <w:rsid w:val="00AA347F"/>
    <w:pPr>
      <w:spacing w:after="0" w:line="240" w:lineRule="auto"/>
    </w:pPr>
    <w:tblPr>
      <w:tblStyleRowBandSize w:val="1"/>
      <w:tblStyleColBandSize w:val="1"/>
      <w:tblBorders>
        <w:top w:val="single" w:sz="4" w:space="0" w:color="CCCACA"/>
        <w:left w:val="single" w:sz="4" w:space="0" w:color="CCCACA"/>
        <w:bottom w:val="single" w:sz="4" w:space="0" w:color="CCCACA"/>
        <w:right w:val="single" w:sz="4" w:space="0" w:color="CCCACA"/>
        <w:insideH w:val="single" w:sz="4" w:space="0" w:color="CCCACA"/>
        <w:insideV w:val="single" w:sz="4" w:space="0" w:color="CCCACA"/>
      </w:tblBorders>
    </w:tblPr>
    <w:tblStylePr w:type="firstRow">
      <w:rPr>
        <w:b/>
        <w:bCs/>
        <w:color w:val="FFFFFF"/>
      </w:rPr>
      <w:tblPr/>
      <w:tcPr>
        <w:tcBorders>
          <w:top w:val="single" w:sz="4" w:space="0" w:color="ABA7A7"/>
          <w:left w:val="single" w:sz="4" w:space="0" w:color="ABA7A7"/>
          <w:bottom w:val="single" w:sz="4" w:space="0" w:color="ABA7A7"/>
          <w:right w:val="single" w:sz="4" w:space="0" w:color="ABA7A7"/>
          <w:insideH w:val="nil"/>
          <w:insideV w:val="nil"/>
        </w:tcBorders>
        <w:shd w:val="clear" w:color="auto" w:fill="ABA7A7"/>
      </w:tcPr>
    </w:tblStylePr>
    <w:tblStylePr w:type="lastRow">
      <w:rPr>
        <w:b/>
        <w:bCs/>
      </w:rPr>
      <w:tblPr/>
      <w:tcPr>
        <w:tcBorders>
          <w:top w:val="double" w:sz="4" w:space="0" w:color="ABA7A7"/>
        </w:tcBorders>
      </w:tcPr>
    </w:tblStylePr>
    <w:tblStylePr w:type="firstCol">
      <w:rPr>
        <w:b/>
        <w:bCs/>
      </w:rPr>
    </w:tblStylePr>
    <w:tblStylePr w:type="lastCol">
      <w:rPr>
        <w:b/>
        <w:bCs/>
      </w:rPr>
    </w:tblStylePr>
    <w:tblStylePr w:type="band1Vert">
      <w:tblPr/>
      <w:tcPr>
        <w:shd w:val="clear" w:color="auto" w:fill="EEEDED"/>
      </w:tcPr>
    </w:tblStylePr>
    <w:tblStylePr w:type="band1Horz">
      <w:tblPr/>
      <w:tcPr>
        <w:shd w:val="clear" w:color="auto" w:fill="EEEDED"/>
      </w:tcPr>
    </w:tblStylePr>
  </w:style>
  <w:style w:type="table" w:styleId="GridTable4-Accent6">
    <w:name w:val="Grid Table 4 Accent 6"/>
    <w:basedOn w:val="TableNormal"/>
    <w:uiPriority w:val="49"/>
    <w:rsid w:val="00AA347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3">
    <w:name w:val="List Table 3 Accent 3"/>
    <w:basedOn w:val="TableNormal"/>
    <w:uiPriority w:val="48"/>
    <w:rsid w:val="00AA347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CommentReference">
    <w:name w:val="annotation reference"/>
    <w:basedOn w:val="DefaultParagraphFont"/>
    <w:uiPriority w:val="99"/>
    <w:semiHidden/>
    <w:unhideWhenUsed/>
    <w:rsid w:val="00AA347F"/>
    <w:rPr>
      <w:sz w:val="16"/>
      <w:szCs w:val="16"/>
    </w:rPr>
  </w:style>
  <w:style w:type="paragraph" w:styleId="CommentText">
    <w:name w:val="annotation text"/>
    <w:basedOn w:val="Normal"/>
    <w:link w:val="CommentTextChar"/>
    <w:uiPriority w:val="99"/>
    <w:semiHidden/>
    <w:unhideWhenUsed/>
    <w:rsid w:val="00AA347F"/>
    <w:pPr>
      <w:spacing w:line="240" w:lineRule="auto"/>
    </w:pPr>
    <w:rPr>
      <w:sz w:val="20"/>
      <w:szCs w:val="20"/>
    </w:rPr>
  </w:style>
  <w:style w:type="character" w:customStyle="1" w:styleId="CommentTextChar">
    <w:name w:val="Comment Text Char"/>
    <w:basedOn w:val="DefaultParagraphFont"/>
    <w:link w:val="CommentText"/>
    <w:uiPriority w:val="99"/>
    <w:semiHidden/>
    <w:rsid w:val="00AA347F"/>
    <w:rPr>
      <w:sz w:val="20"/>
      <w:szCs w:val="20"/>
    </w:rPr>
  </w:style>
  <w:style w:type="paragraph" w:styleId="Footer">
    <w:name w:val="footer"/>
    <w:basedOn w:val="Normal"/>
    <w:link w:val="FooterChar"/>
    <w:uiPriority w:val="99"/>
    <w:unhideWhenUsed/>
    <w:rsid w:val="00D76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128"/>
  </w:style>
  <w:style w:type="table" w:styleId="TableGrid">
    <w:name w:val="Table Grid"/>
    <w:basedOn w:val="TableNormal"/>
    <w:uiPriority w:val="39"/>
    <w:rsid w:val="00FB7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E0B51"/>
    <w:pPr>
      <w:spacing w:after="0" w:line="240" w:lineRule="auto"/>
    </w:pPr>
    <w:rPr>
      <w:sz w:val="21"/>
    </w:rPr>
  </w:style>
  <w:style w:type="character" w:styleId="UnresolvedMention">
    <w:name w:val="Unresolved Mention"/>
    <w:basedOn w:val="DefaultParagraphFont"/>
    <w:uiPriority w:val="99"/>
    <w:semiHidden/>
    <w:unhideWhenUsed/>
    <w:rsid w:val="006603E3"/>
    <w:rPr>
      <w:color w:val="605E5C"/>
      <w:shd w:val="clear" w:color="auto" w:fill="E1DFDD"/>
    </w:rPr>
  </w:style>
  <w:style w:type="paragraph" w:styleId="EndnoteText">
    <w:name w:val="endnote text"/>
    <w:basedOn w:val="Normal"/>
    <w:link w:val="EndnoteTextChar"/>
    <w:uiPriority w:val="99"/>
    <w:semiHidden/>
    <w:unhideWhenUsed/>
    <w:rsid w:val="004645C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45C8"/>
    <w:rPr>
      <w:sz w:val="20"/>
      <w:szCs w:val="20"/>
    </w:rPr>
  </w:style>
  <w:style w:type="character" w:styleId="EndnoteReference">
    <w:name w:val="endnote reference"/>
    <w:basedOn w:val="DefaultParagraphFont"/>
    <w:uiPriority w:val="99"/>
    <w:semiHidden/>
    <w:unhideWhenUsed/>
    <w:rsid w:val="004645C8"/>
    <w:rPr>
      <w:vertAlign w:val="superscript"/>
    </w:rPr>
  </w:style>
  <w:style w:type="character" w:styleId="Strong">
    <w:name w:val="Strong"/>
    <w:basedOn w:val="DefaultParagraphFont"/>
    <w:uiPriority w:val="22"/>
    <w:qFormat/>
    <w:rsid w:val="002F02FA"/>
    <w:rPr>
      <w:b/>
      <w:bCs/>
    </w:rPr>
  </w:style>
  <w:style w:type="paragraph" w:styleId="NormalWeb">
    <w:name w:val="Normal (Web)"/>
    <w:basedOn w:val="Normal"/>
    <w:uiPriority w:val="99"/>
    <w:unhideWhenUsed/>
    <w:rsid w:val="002F02F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Normal"/>
    <w:rsid w:val="00EF383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2">
    <w:name w:val="p2"/>
    <w:basedOn w:val="Normal"/>
    <w:rsid w:val="00EF3838"/>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0">
    <w:name w:val="TableGrid"/>
    <w:rsid w:val="000E671F"/>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7427">
      <w:bodyDiv w:val="1"/>
      <w:marLeft w:val="0"/>
      <w:marRight w:val="0"/>
      <w:marTop w:val="0"/>
      <w:marBottom w:val="0"/>
      <w:divBdr>
        <w:top w:val="none" w:sz="0" w:space="0" w:color="auto"/>
        <w:left w:val="none" w:sz="0" w:space="0" w:color="auto"/>
        <w:bottom w:val="none" w:sz="0" w:space="0" w:color="auto"/>
        <w:right w:val="none" w:sz="0" w:space="0" w:color="auto"/>
      </w:divBdr>
    </w:div>
    <w:div w:id="71585103">
      <w:bodyDiv w:val="1"/>
      <w:marLeft w:val="0"/>
      <w:marRight w:val="0"/>
      <w:marTop w:val="0"/>
      <w:marBottom w:val="0"/>
      <w:divBdr>
        <w:top w:val="none" w:sz="0" w:space="0" w:color="auto"/>
        <w:left w:val="none" w:sz="0" w:space="0" w:color="auto"/>
        <w:bottom w:val="none" w:sz="0" w:space="0" w:color="auto"/>
        <w:right w:val="none" w:sz="0" w:space="0" w:color="auto"/>
      </w:divBdr>
    </w:div>
    <w:div w:id="133105263">
      <w:bodyDiv w:val="1"/>
      <w:marLeft w:val="0"/>
      <w:marRight w:val="0"/>
      <w:marTop w:val="0"/>
      <w:marBottom w:val="0"/>
      <w:divBdr>
        <w:top w:val="none" w:sz="0" w:space="0" w:color="auto"/>
        <w:left w:val="none" w:sz="0" w:space="0" w:color="auto"/>
        <w:bottom w:val="none" w:sz="0" w:space="0" w:color="auto"/>
        <w:right w:val="none" w:sz="0" w:space="0" w:color="auto"/>
      </w:divBdr>
    </w:div>
    <w:div w:id="229386658">
      <w:bodyDiv w:val="1"/>
      <w:marLeft w:val="0"/>
      <w:marRight w:val="0"/>
      <w:marTop w:val="0"/>
      <w:marBottom w:val="0"/>
      <w:divBdr>
        <w:top w:val="none" w:sz="0" w:space="0" w:color="auto"/>
        <w:left w:val="none" w:sz="0" w:space="0" w:color="auto"/>
        <w:bottom w:val="none" w:sz="0" w:space="0" w:color="auto"/>
        <w:right w:val="none" w:sz="0" w:space="0" w:color="auto"/>
      </w:divBdr>
    </w:div>
    <w:div w:id="241332259">
      <w:bodyDiv w:val="1"/>
      <w:marLeft w:val="0"/>
      <w:marRight w:val="0"/>
      <w:marTop w:val="0"/>
      <w:marBottom w:val="0"/>
      <w:divBdr>
        <w:top w:val="none" w:sz="0" w:space="0" w:color="auto"/>
        <w:left w:val="none" w:sz="0" w:space="0" w:color="auto"/>
        <w:bottom w:val="none" w:sz="0" w:space="0" w:color="auto"/>
        <w:right w:val="none" w:sz="0" w:space="0" w:color="auto"/>
      </w:divBdr>
    </w:div>
    <w:div w:id="263077236">
      <w:bodyDiv w:val="1"/>
      <w:marLeft w:val="0"/>
      <w:marRight w:val="0"/>
      <w:marTop w:val="0"/>
      <w:marBottom w:val="0"/>
      <w:divBdr>
        <w:top w:val="none" w:sz="0" w:space="0" w:color="auto"/>
        <w:left w:val="none" w:sz="0" w:space="0" w:color="auto"/>
        <w:bottom w:val="none" w:sz="0" w:space="0" w:color="auto"/>
        <w:right w:val="none" w:sz="0" w:space="0" w:color="auto"/>
      </w:divBdr>
    </w:div>
    <w:div w:id="301350020">
      <w:bodyDiv w:val="1"/>
      <w:marLeft w:val="0"/>
      <w:marRight w:val="0"/>
      <w:marTop w:val="0"/>
      <w:marBottom w:val="0"/>
      <w:divBdr>
        <w:top w:val="none" w:sz="0" w:space="0" w:color="auto"/>
        <w:left w:val="none" w:sz="0" w:space="0" w:color="auto"/>
        <w:bottom w:val="none" w:sz="0" w:space="0" w:color="auto"/>
        <w:right w:val="none" w:sz="0" w:space="0" w:color="auto"/>
      </w:divBdr>
    </w:div>
    <w:div w:id="320891525">
      <w:bodyDiv w:val="1"/>
      <w:marLeft w:val="0"/>
      <w:marRight w:val="0"/>
      <w:marTop w:val="0"/>
      <w:marBottom w:val="0"/>
      <w:divBdr>
        <w:top w:val="none" w:sz="0" w:space="0" w:color="auto"/>
        <w:left w:val="none" w:sz="0" w:space="0" w:color="auto"/>
        <w:bottom w:val="none" w:sz="0" w:space="0" w:color="auto"/>
        <w:right w:val="none" w:sz="0" w:space="0" w:color="auto"/>
      </w:divBdr>
    </w:div>
    <w:div w:id="434403504">
      <w:bodyDiv w:val="1"/>
      <w:marLeft w:val="0"/>
      <w:marRight w:val="0"/>
      <w:marTop w:val="0"/>
      <w:marBottom w:val="0"/>
      <w:divBdr>
        <w:top w:val="none" w:sz="0" w:space="0" w:color="auto"/>
        <w:left w:val="none" w:sz="0" w:space="0" w:color="auto"/>
        <w:bottom w:val="none" w:sz="0" w:space="0" w:color="auto"/>
        <w:right w:val="none" w:sz="0" w:space="0" w:color="auto"/>
      </w:divBdr>
    </w:div>
    <w:div w:id="472336481">
      <w:bodyDiv w:val="1"/>
      <w:marLeft w:val="0"/>
      <w:marRight w:val="0"/>
      <w:marTop w:val="0"/>
      <w:marBottom w:val="0"/>
      <w:divBdr>
        <w:top w:val="none" w:sz="0" w:space="0" w:color="auto"/>
        <w:left w:val="none" w:sz="0" w:space="0" w:color="auto"/>
        <w:bottom w:val="none" w:sz="0" w:space="0" w:color="auto"/>
        <w:right w:val="none" w:sz="0" w:space="0" w:color="auto"/>
      </w:divBdr>
    </w:div>
    <w:div w:id="497891643">
      <w:bodyDiv w:val="1"/>
      <w:marLeft w:val="0"/>
      <w:marRight w:val="0"/>
      <w:marTop w:val="0"/>
      <w:marBottom w:val="0"/>
      <w:divBdr>
        <w:top w:val="none" w:sz="0" w:space="0" w:color="auto"/>
        <w:left w:val="none" w:sz="0" w:space="0" w:color="auto"/>
        <w:bottom w:val="none" w:sz="0" w:space="0" w:color="auto"/>
        <w:right w:val="none" w:sz="0" w:space="0" w:color="auto"/>
      </w:divBdr>
    </w:div>
    <w:div w:id="523635860">
      <w:bodyDiv w:val="1"/>
      <w:marLeft w:val="0"/>
      <w:marRight w:val="0"/>
      <w:marTop w:val="0"/>
      <w:marBottom w:val="0"/>
      <w:divBdr>
        <w:top w:val="none" w:sz="0" w:space="0" w:color="auto"/>
        <w:left w:val="none" w:sz="0" w:space="0" w:color="auto"/>
        <w:bottom w:val="none" w:sz="0" w:space="0" w:color="auto"/>
        <w:right w:val="none" w:sz="0" w:space="0" w:color="auto"/>
      </w:divBdr>
    </w:div>
    <w:div w:id="613170029">
      <w:bodyDiv w:val="1"/>
      <w:marLeft w:val="0"/>
      <w:marRight w:val="0"/>
      <w:marTop w:val="0"/>
      <w:marBottom w:val="0"/>
      <w:divBdr>
        <w:top w:val="none" w:sz="0" w:space="0" w:color="auto"/>
        <w:left w:val="none" w:sz="0" w:space="0" w:color="auto"/>
        <w:bottom w:val="none" w:sz="0" w:space="0" w:color="auto"/>
        <w:right w:val="none" w:sz="0" w:space="0" w:color="auto"/>
      </w:divBdr>
    </w:div>
    <w:div w:id="699745788">
      <w:bodyDiv w:val="1"/>
      <w:marLeft w:val="0"/>
      <w:marRight w:val="0"/>
      <w:marTop w:val="0"/>
      <w:marBottom w:val="0"/>
      <w:divBdr>
        <w:top w:val="none" w:sz="0" w:space="0" w:color="auto"/>
        <w:left w:val="none" w:sz="0" w:space="0" w:color="auto"/>
        <w:bottom w:val="none" w:sz="0" w:space="0" w:color="auto"/>
        <w:right w:val="none" w:sz="0" w:space="0" w:color="auto"/>
      </w:divBdr>
    </w:div>
    <w:div w:id="726564248">
      <w:bodyDiv w:val="1"/>
      <w:marLeft w:val="0"/>
      <w:marRight w:val="0"/>
      <w:marTop w:val="0"/>
      <w:marBottom w:val="0"/>
      <w:divBdr>
        <w:top w:val="none" w:sz="0" w:space="0" w:color="auto"/>
        <w:left w:val="none" w:sz="0" w:space="0" w:color="auto"/>
        <w:bottom w:val="none" w:sz="0" w:space="0" w:color="auto"/>
        <w:right w:val="none" w:sz="0" w:space="0" w:color="auto"/>
      </w:divBdr>
    </w:div>
    <w:div w:id="838348377">
      <w:bodyDiv w:val="1"/>
      <w:marLeft w:val="0"/>
      <w:marRight w:val="0"/>
      <w:marTop w:val="0"/>
      <w:marBottom w:val="0"/>
      <w:divBdr>
        <w:top w:val="none" w:sz="0" w:space="0" w:color="auto"/>
        <w:left w:val="none" w:sz="0" w:space="0" w:color="auto"/>
        <w:bottom w:val="none" w:sz="0" w:space="0" w:color="auto"/>
        <w:right w:val="none" w:sz="0" w:space="0" w:color="auto"/>
      </w:divBdr>
    </w:div>
    <w:div w:id="878007361">
      <w:bodyDiv w:val="1"/>
      <w:marLeft w:val="0"/>
      <w:marRight w:val="0"/>
      <w:marTop w:val="0"/>
      <w:marBottom w:val="0"/>
      <w:divBdr>
        <w:top w:val="none" w:sz="0" w:space="0" w:color="auto"/>
        <w:left w:val="none" w:sz="0" w:space="0" w:color="auto"/>
        <w:bottom w:val="none" w:sz="0" w:space="0" w:color="auto"/>
        <w:right w:val="none" w:sz="0" w:space="0" w:color="auto"/>
      </w:divBdr>
      <w:divsChild>
        <w:div w:id="1773698325">
          <w:marLeft w:val="0"/>
          <w:marRight w:val="0"/>
          <w:marTop w:val="0"/>
          <w:marBottom w:val="0"/>
          <w:divBdr>
            <w:top w:val="single" w:sz="2" w:space="0" w:color="auto"/>
            <w:left w:val="single" w:sz="2" w:space="0" w:color="auto"/>
            <w:bottom w:val="single" w:sz="6" w:space="0" w:color="auto"/>
            <w:right w:val="single" w:sz="2" w:space="0" w:color="auto"/>
          </w:divBdr>
          <w:divsChild>
            <w:div w:id="513151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3890707">
                  <w:marLeft w:val="0"/>
                  <w:marRight w:val="0"/>
                  <w:marTop w:val="0"/>
                  <w:marBottom w:val="0"/>
                  <w:divBdr>
                    <w:top w:val="single" w:sz="2" w:space="0" w:color="D9D9E3"/>
                    <w:left w:val="single" w:sz="2" w:space="0" w:color="D9D9E3"/>
                    <w:bottom w:val="single" w:sz="2" w:space="0" w:color="D9D9E3"/>
                    <w:right w:val="single" w:sz="2" w:space="0" w:color="D9D9E3"/>
                  </w:divBdr>
                  <w:divsChild>
                    <w:div w:id="328141219">
                      <w:marLeft w:val="0"/>
                      <w:marRight w:val="0"/>
                      <w:marTop w:val="0"/>
                      <w:marBottom w:val="0"/>
                      <w:divBdr>
                        <w:top w:val="single" w:sz="2" w:space="0" w:color="D9D9E3"/>
                        <w:left w:val="single" w:sz="2" w:space="0" w:color="D9D9E3"/>
                        <w:bottom w:val="single" w:sz="2" w:space="0" w:color="D9D9E3"/>
                        <w:right w:val="single" w:sz="2" w:space="0" w:color="D9D9E3"/>
                      </w:divBdr>
                      <w:divsChild>
                        <w:div w:id="2061127819">
                          <w:marLeft w:val="0"/>
                          <w:marRight w:val="0"/>
                          <w:marTop w:val="0"/>
                          <w:marBottom w:val="0"/>
                          <w:divBdr>
                            <w:top w:val="single" w:sz="2" w:space="0" w:color="D9D9E3"/>
                            <w:left w:val="single" w:sz="2" w:space="0" w:color="D9D9E3"/>
                            <w:bottom w:val="single" w:sz="2" w:space="0" w:color="D9D9E3"/>
                            <w:right w:val="single" w:sz="2" w:space="0" w:color="D9D9E3"/>
                          </w:divBdr>
                          <w:divsChild>
                            <w:div w:id="88040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834067">
      <w:bodyDiv w:val="1"/>
      <w:marLeft w:val="0"/>
      <w:marRight w:val="0"/>
      <w:marTop w:val="0"/>
      <w:marBottom w:val="0"/>
      <w:divBdr>
        <w:top w:val="none" w:sz="0" w:space="0" w:color="auto"/>
        <w:left w:val="none" w:sz="0" w:space="0" w:color="auto"/>
        <w:bottom w:val="none" w:sz="0" w:space="0" w:color="auto"/>
        <w:right w:val="none" w:sz="0" w:space="0" w:color="auto"/>
      </w:divBdr>
    </w:div>
    <w:div w:id="1043558984">
      <w:bodyDiv w:val="1"/>
      <w:marLeft w:val="0"/>
      <w:marRight w:val="0"/>
      <w:marTop w:val="0"/>
      <w:marBottom w:val="0"/>
      <w:divBdr>
        <w:top w:val="none" w:sz="0" w:space="0" w:color="auto"/>
        <w:left w:val="none" w:sz="0" w:space="0" w:color="auto"/>
        <w:bottom w:val="none" w:sz="0" w:space="0" w:color="auto"/>
        <w:right w:val="none" w:sz="0" w:space="0" w:color="auto"/>
      </w:divBdr>
    </w:div>
    <w:div w:id="1057506339">
      <w:bodyDiv w:val="1"/>
      <w:marLeft w:val="0"/>
      <w:marRight w:val="0"/>
      <w:marTop w:val="0"/>
      <w:marBottom w:val="0"/>
      <w:divBdr>
        <w:top w:val="none" w:sz="0" w:space="0" w:color="auto"/>
        <w:left w:val="none" w:sz="0" w:space="0" w:color="auto"/>
        <w:bottom w:val="none" w:sz="0" w:space="0" w:color="auto"/>
        <w:right w:val="none" w:sz="0" w:space="0" w:color="auto"/>
      </w:divBdr>
    </w:div>
    <w:div w:id="1070495681">
      <w:bodyDiv w:val="1"/>
      <w:marLeft w:val="0"/>
      <w:marRight w:val="0"/>
      <w:marTop w:val="0"/>
      <w:marBottom w:val="0"/>
      <w:divBdr>
        <w:top w:val="none" w:sz="0" w:space="0" w:color="auto"/>
        <w:left w:val="none" w:sz="0" w:space="0" w:color="auto"/>
        <w:bottom w:val="none" w:sz="0" w:space="0" w:color="auto"/>
        <w:right w:val="none" w:sz="0" w:space="0" w:color="auto"/>
      </w:divBdr>
    </w:div>
    <w:div w:id="1141994491">
      <w:bodyDiv w:val="1"/>
      <w:marLeft w:val="0"/>
      <w:marRight w:val="0"/>
      <w:marTop w:val="0"/>
      <w:marBottom w:val="0"/>
      <w:divBdr>
        <w:top w:val="none" w:sz="0" w:space="0" w:color="auto"/>
        <w:left w:val="none" w:sz="0" w:space="0" w:color="auto"/>
        <w:bottom w:val="none" w:sz="0" w:space="0" w:color="auto"/>
        <w:right w:val="none" w:sz="0" w:space="0" w:color="auto"/>
      </w:divBdr>
    </w:div>
    <w:div w:id="1243904277">
      <w:bodyDiv w:val="1"/>
      <w:marLeft w:val="0"/>
      <w:marRight w:val="0"/>
      <w:marTop w:val="0"/>
      <w:marBottom w:val="0"/>
      <w:divBdr>
        <w:top w:val="none" w:sz="0" w:space="0" w:color="auto"/>
        <w:left w:val="none" w:sz="0" w:space="0" w:color="auto"/>
        <w:bottom w:val="none" w:sz="0" w:space="0" w:color="auto"/>
        <w:right w:val="none" w:sz="0" w:space="0" w:color="auto"/>
      </w:divBdr>
    </w:div>
    <w:div w:id="1284337479">
      <w:bodyDiv w:val="1"/>
      <w:marLeft w:val="0"/>
      <w:marRight w:val="0"/>
      <w:marTop w:val="0"/>
      <w:marBottom w:val="0"/>
      <w:divBdr>
        <w:top w:val="none" w:sz="0" w:space="0" w:color="auto"/>
        <w:left w:val="none" w:sz="0" w:space="0" w:color="auto"/>
        <w:bottom w:val="none" w:sz="0" w:space="0" w:color="auto"/>
        <w:right w:val="none" w:sz="0" w:space="0" w:color="auto"/>
      </w:divBdr>
    </w:div>
    <w:div w:id="1428816064">
      <w:bodyDiv w:val="1"/>
      <w:marLeft w:val="0"/>
      <w:marRight w:val="0"/>
      <w:marTop w:val="0"/>
      <w:marBottom w:val="0"/>
      <w:divBdr>
        <w:top w:val="none" w:sz="0" w:space="0" w:color="auto"/>
        <w:left w:val="none" w:sz="0" w:space="0" w:color="auto"/>
        <w:bottom w:val="none" w:sz="0" w:space="0" w:color="auto"/>
        <w:right w:val="none" w:sz="0" w:space="0" w:color="auto"/>
      </w:divBdr>
    </w:div>
    <w:div w:id="1488395257">
      <w:bodyDiv w:val="1"/>
      <w:marLeft w:val="0"/>
      <w:marRight w:val="0"/>
      <w:marTop w:val="0"/>
      <w:marBottom w:val="0"/>
      <w:divBdr>
        <w:top w:val="none" w:sz="0" w:space="0" w:color="auto"/>
        <w:left w:val="none" w:sz="0" w:space="0" w:color="auto"/>
        <w:bottom w:val="none" w:sz="0" w:space="0" w:color="auto"/>
        <w:right w:val="none" w:sz="0" w:space="0" w:color="auto"/>
      </w:divBdr>
    </w:div>
    <w:div w:id="1569683409">
      <w:bodyDiv w:val="1"/>
      <w:marLeft w:val="0"/>
      <w:marRight w:val="0"/>
      <w:marTop w:val="0"/>
      <w:marBottom w:val="0"/>
      <w:divBdr>
        <w:top w:val="none" w:sz="0" w:space="0" w:color="auto"/>
        <w:left w:val="none" w:sz="0" w:space="0" w:color="auto"/>
        <w:bottom w:val="none" w:sz="0" w:space="0" w:color="auto"/>
        <w:right w:val="none" w:sz="0" w:space="0" w:color="auto"/>
      </w:divBdr>
    </w:div>
    <w:div w:id="1611160157">
      <w:bodyDiv w:val="1"/>
      <w:marLeft w:val="0"/>
      <w:marRight w:val="0"/>
      <w:marTop w:val="0"/>
      <w:marBottom w:val="0"/>
      <w:divBdr>
        <w:top w:val="none" w:sz="0" w:space="0" w:color="auto"/>
        <w:left w:val="none" w:sz="0" w:space="0" w:color="auto"/>
        <w:bottom w:val="none" w:sz="0" w:space="0" w:color="auto"/>
        <w:right w:val="none" w:sz="0" w:space="0" w:color="auto"/>
      </w:divBdr>
    </w:div>
    <w:div w:id="1620600760">
      <w:bodyDiv w:val="1"/>
      <w:marLeft w:val="0"/>
      <w:marRight w:val="0"/>
      <w:marTop w:val="0"/>
      <w:marBottom w:val="0"/>
      <w:divBdr>
        <w:top w:val="none" w:sz="0" w:space="0" w:color="auto"/>
        <w:left w:val="none" w:sz="0" w:space="0" w:color="auto"/>
        <w:bottom w:val="none" w:sz="0" w:space="0" w:color="auto"/>
        <w:right w:val="none" w:sz="0" w:space="0" w:color="auto"/>
      </w:divBdr>
    </w:div>
    <w:div w:id="1707826424">
      <w:bodyDiv w:val="1"/>
      <w:marLeft w:val="0"/>
      <w:marRight w:val="0"/>
      <w:marTop w:val="0"/>
      <w:marBottom w:val="0"/>
      <w:divBdr>
        <w:top w:val="none" w:sz="0" w:space="0" w:color="auto"/>
        <w:left w:val="none" w:sz="0" w:space="0" w:color="auto"/>
        <w:bottom w:val="none" w:sz="0" w:space="0" w:color="auto"/>
        <w:right w:val="none" w:sz="0" w:space="0" w:color="auto"/>
      </w:divBdr>
    </w:div>
    <w:div w:id="1806924941">
      <w:bodyDiv w:val="1"/>
      <w:marLeft w:val="0"/>
      <w:marRight w:val="0"/>
      <w:marTop w:val="0"/>
      <w:marBottom w:val="0"/>
      <w:divBdr>
        <w:top w:val="none" w:sz="0" w:space="0" w:color="auto"/>
        <w:left w:val="none" w:sz="0" w:space="0" w:color="auto"/>
        <w:bottom w:val="none" w:sz="0" w:space="0" w:color="auto"/>
        <w:right w:val="none" w:sz="0" w:space="0" w:color="auto"/>
      </w:divBdr>
    </w:div>
    <w:div w:id="1808739524">
      <w:bodyDiv w:val="1"/>
      <w:marLeft w:val="0"/>
      <w:marRight w:val="0"/>
      <w:marTop w:val="0"/>
      <w:marBottom w:val="0"/>
      <w:divBdr>
        <w:top w:val="none" w:sz="0" w:space="0" w:color="auto"/>
        <w:left w:val="none" w:sz="0" w:space="0" w:color="auto"/>
        <w:bottom w:val="none" w:sz="0" w:space="0" w:color="auto"/>
        <w:right w:val="none" w:sz="0" w:space="0" w:color="auto"/>
      </w:divBdr>
    </w:div>
    <w:div w:id="1899590606">
      <w:bodyDiv w:val="1"/>
      <w:marLeft w:val="0"/>
      <w:marRight w:val="0"/>
      <w:marTop w:val="0"/>
      <w:marBottom w:val="0"/>
      <w:divBdr>
        <w:top w:val="none" w:sz="0" w:space="0" w:color="auto"/>
        <w:left w:val="none" w:sz="0" w:space="0" w:color="auto"/>
        <w:bottom w:val="none" w:sz="0" w:space="0" w:color="auto"/>
        <w:right w:val="none" w:sz="0" w:space="0" w:color="auto"/>
      </w:divBdr>
    </w:div>
    <w:div w:id="1965773465">
      <w:bodyDiv w:val="1"/>
      <w:marLeft w:val="0"/>
      <w:marRight w:val="0"/>
      <w:marTop w:val="0"/>
      <w:marBottom w:val="0"/>
      <w:divBdr>
        <w:top w:val="none" w:sz="0" w:space="0" w:color="auto"/>
        <w:left w:val="none" w:sz="0" w:space="0" w:color="auto"/>
        <w:bottom w:val="none" w:sz="0" w:space="0" w:color="auto"/>
        <w:right w:val="none" w:sz="0" w:space="0" w:color="auto"/>
      </w:divBdr>
    </w:div>
    <w:div w:id="2045279168">
      <w:bodyDiv w:val="1"/>
      <w:marLeft w:val="0"/>
      <w:marRight w:val="0"/>
      <w:marTop w:val="0"/>
      <w:marBottom w:val="0"/>
      <w:divBdr>
        <w:top w:val="none" w:sz="0" w:space="0" w:color="auto"/>
        <w:left w:val="none" w:sz="0" w:space="0" w:color="auto"/>
        <w:bottom w:val="none" w:sz="0" w:space="0" w:color="auto"/>
        <w:right w:val="none" w:sz="0" w:space="0" w:color="auto"/>
      </w:divBdr>
    </w:div>
    <w:div w:id="2075277890">
      <w:bodyDiv w:val="1"/>
      <w:marLeft w:val="0"/>
      <w:marRight w:val="0"/>
      <w:marTop w:val="0"/>
      <w:marBottom w:val="0"/>
      <w:divBdr>
        <w:top w:val="none" w:sz="0" w:space="0" w:color="auto"/>
        <w:left w:val="none" w:sz="0" w:space="0" w:color="auto"/>
        <w:bottom w:val="none" w:sz="0" w:space="0" w:color="auto"/>
        <w:right w:val="none" w:sz="0" w:space="0" w:color="auto"/>
      </w:divBdr>
    </w:div>
    <w:div w:id="208510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50"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fcd496c-df54-4358-8c8e-6fa5d8739c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73D578CA4D5746B24F90B820600088" ma:contentTypeVersion="18" ma:contentTypeDescription="Create a new document." ma:contentTypeScope="" ma:versionID="0bfcce09a9b4c0f80899cfbee9dc1a27">
  <xsd:schema xmlns:xsd="http://www.w3.org/2001/XMLSchema" xmlns:xs="http://www.w3.org/2001/XMLSchema" xmlns:p="http://schemas.microsoft.com/office/2006/metadata/properties" xmlns:ns3="5fcd496c-df54-4358-8c8e-6fa5d8739ce8" xmlns:ns4="e9ea83e7-516e-4bcb-b640-1edadebba609" targetNamespace="http://schemas.microsoft.com/office/2006/metadata/properties" ma:root="true" ma:fieldsID="bbc951537aa83e377f7770a63b0f9ac4" ns3:_="" ns4:_="">
    <xsd:import namespace="5fcd496c-df54-4358-8c8e-6fa5d8739ce8"/>
    <xsd:import namespace="e9ea83e7-516e-4bcb-b640-1edadebba60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OCR"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cd496c-df54-4358-8c8e-6fa5d8739c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ea83e7-516e-4bcb-b640-1edadebba60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5EC3819-76C0-44A3-B0EC-48342E8823F4}">
  <ds:schemaRefs>
    <ds:schemaRef ds:uri="http://schemas.microsoft.com/office/2006/metadata/properties"/>
    <ds:schemaRef ds:uri="http://schemas.microsoft.com/office/infopath/2007/PartnerControls"/>
    <ds:schemaRef ds:uri="5fcd496c-df54-4358-8c8e-6fa5d8739ce8"/>
  </ds:schemaRefs>
</ds:datastoreItem>
</file>

<file path=customXml/itemProps2.xml><?xml version="1.0" encoding="utf-8"?>
<ds:datastoreItem xmlns:ds="http://schemas.openxmlformats.org/officeDocument/2006/customXml" ds:itemID="{0CF792A1-CD0C-46A4-BCD5-93BCFC422FEA}">
  <ds:schemaRefs>
    <ds:schemaRef ds:uri="http://schemas.microsoft.com/sharepoint/v3/contenttype/forms"/>
  </ds:schemaRefs>
</ds:datastoreItem>
</file>

<file path=customXml/itemProps3.xml><?xml version="1.0" encoding="utf-8"?>
<ds:datastoreItem xmlns:ds="http://schemas.openxmlformats.org/officeDocument/2006/customXml" ds:itemID="{BCA3EB1F-F5AC-41E0-BE43-D56DB6D225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cd496c-df54-4358-8c8e-6fa5d8739ce8"/>
    <ds:schemaRef ds:uri="e9ea83e7-516e-4bcb-b640-1edadebba6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D5535F-45FB-448C-A615-8377D3060F5A}">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Rippington</dc:creator>
  <cp:keywords/>
  <dc:description/>
  <cp:lastModifiedBy>Syed Rizvi</cp:lastModifiedBy>
  <cp:revision>4</cp:revision>
  <cp:lastPrinted>2026-02-17T06:59:00Z</cp:lastPrinted>
  <dcterms:created xsi:type="dcterms:W3CDTF">2026-02-17T10:43:00Z</dcterms:created>
  <dcterms:modified xsi:type="dcterms:W3CDTF">2026-02-17T12:25:00Z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0x010100F573D578CA4D5746B24F90B820600088</vt:lpwstr>
  </property>
</Properties>
</file>