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6"/>
        </w:rPr>
        <w:t>REQUIREMENTS REPORT</w:t>
      </w:r>
    </w:p>
    <w:p>
      <w:pPr>
        <w:jc w:val="center"/>
      </w:pPr>
      <w:r>
        <w:rPr>
          <w:rFonts w:ascii="Aptos" w:hAnsi="Aptos"/>
          <w:color w:val="666666"/>
          <w:sz w:val="26"/>
        </w:rPr>
        <w:t>for</w:t>
      </w:r>
    </w:p>
    <w:p>
      <w:pPr>
        <w:jc w:val="center"/>
      </w:pPr>
      <w:r>
        <w:rPr>
          <w:rFonts w:ascii="Aptos Display" w:hAnsi="Aptos Display"/>
          <w:b/>
          <w:color w:val="2F5597"/>
          <w:sz w:val="44"/>
        </w:rPr>
        <w:t>Online Payment Gateway Simulation</w:t>
      </w:r>
    </w:p>
    <w:p>
      <w:pPr>
        <w:jc w:val="center"/>
      </w:pPr>
      <w:r>
        <w:rPr>
          <w:rFonts w:ascii="Aptos" w:hAnsi="Aptos"/>
          <w:sz w:val="22"/>
          <w:b/>
          <w:color w:val="666666"/>
        </w:rPr>
        <w:t>Version 1.0 Approved</w:t>
      </w:r>
    </w:p>
    <w:p>
      <w:pPr>
        <w:jc w:val="center"/>
      </w:pPr>
      <w:r>
        <w:rPr>
          <w:rFonts w:ascii="Aptos" w:hAnsi="Aptos"/>
          <w:sz w:val="22"/>
          <w:color w:val="666666"/>
        </w:rPr>
        <w:t>Course: Software Engineering &amp; Design Patterns</w:t>
      </w:r>
    </w:p>
    <w:p>
      <w:pPr>
        <w:jc w:val="center"/>
      </w:pPr>
      <w:r>
        <w:rPr>
          <w:rFonts w:ascii="Aptos" w:hAnsi="Aptos"/>
          <w:sz w:val="22"/>
          <w:color w:val="666666"/>
        </w:rPr>
        <w:t>Date: September 10, 2026</w:t>
      </w:r>
    </w:p>
    <w:p>
      <w:pPr>
        <w:spacing w:after="0"/>
        <w:jc w:val="center"/>
      </w:pPr>
    </w:p>
    <w:p>
      <w:pPr>
        <w:spacing w:after="0" w:line="240" w:lineRule="auto"/>
        <w:jc w:val="center"/>
      </w:pPr>
    </w:p>
    <w:p>
      <w:pPr>
        <w:spacing w:after="0" w:line="240" w:lineRule="auto"/>
        <w:jc w:val="center"/>
      </w:pPr>
    </w:p>
    <w:p>
      <w:pPr>
        <w:spacing w:before="160"/>
        <w:jc w:val="center"/>
      </w:pPr>
      <w:r>
        <w:rPr>
          <w:rFonts w:ascii="Aptos" w:hAnsi="Aptos"/>
          <w:b/>
          <w:color w:val="2F5597"/>
          <w:sz w:val="20"/>
        </w:rPr>
        <w:t>Purpose</w:t>
      </w:r>
    </w:p>
    <w:p>
      <w:pPr>
        <w:ind w:left="1152" w:right="1152"/>
        <w:jc w:val="center"/>
      </w:pPr>
      <w:r>
        <w:rPr>
          <w:rFonts w:ascii="Aptos" w:hAnsi="Aptos"/>
          <w:color w:val="666666"/>
          <w:sz w:val="21"/>
        </w:rPr>
        <w:t>Requirements summary and elicitation record for the Online Payment Gateway Simulation.</w:t>
      </w:r>
    </w:p>
    <w:p>
      <w:pPr>
        <w:jc w:val="center"/>
      </w:pPr>
      <w:r>
        <w:br w:type="page"/>
      </w:r>
    </w:p>
    <w:p>
      <w:pPr>
        <w:pStyle w:val="Heading1"/>
        <w:keepNext/>
        <w:jc w:val="center"/>
      </w:pPr>
      <w:r>
        <w:t>1. Business Goals</w:t>
      </w:r>
    </w:p>
    <w:p>
      <w:pPr>
        <w:pStyle w:val="BodyText"/>
        <w:jc w:val="center"/>
      </w:pPr>
      <w:r>
        <w:t>The Online Payment Gateway Simulation (OPGS) is intended to simulate end-to-end online payment gateway behaviour in a controlled and safe test environment for developers, testers, and students. The system shall allow realistic payment workflows to be exercised without moving real money or communicating with real banking, card-network, or payment-provider infrastructure.</w:t>
      </w:r>
    </w:p>
    <w:p>
      <w:pPr>
        <w:pStyle w:val="Heading1"/>
        <w:keepNext/>
        <w:jc w:val="center"/>
      </w:pPr>
      <w:r>
        <w:t>2. Stakeholders &amp; User Classes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331"/>
        <w:gridCol w:w="3331"/>
        <w:gridCol w:w="3331"/>
      </w:tblGrid>
      <w:tr>
        <w:trPr>
          <w:tblHeader w:val="true"/>
        </w:trPr>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User Class</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Technical Level</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Primary Interactions</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Merchant / Developer</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High</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REST API, webhooks, dashboard</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Customer / Test User</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Low–Medium</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Checkout UI</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QA Engineer / Tester</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Medium–High</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Dashboard, API, scenario controls</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Project Manager</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Low</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Dashboard, reports</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System Administrator</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High</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Admin dashboard, configuration</w:t>
            </w:r>
          </w:p>
        </w:tc>
      </w:tr>
    </w:tbl>
    <w:p>
      <w:pPr>
        <w:spacing w:after="40"/>
      </w:pPr>
    </w:p>
    <w:p>
      <w:pPr>
        <w:pStyle w:val="Heading1"/>
        <w:keepNext/>
      </w:pPr>
      <w:r>
        <w:t>3. Scope — In</w:t>
      </w:r>
    </w:p>
    <w:p>
      <w:pPr>
        <w:pStyle w:val="ListBullet"/>
      </w:pPr>
      <w:r>
        <w:t>Merchant account and test API-key management, including test_pk_* and test_sk_* keys, rotation, and revocation.</w:t>
      </w:r>
    </w:p>
    <w:p>
      <w:pPr>
        <w:pStyle w:val="ListBullet"/>
      </w:pPr>
      <w:r>
        <w:t>Payment creation through POST /v1/payments with amount in the smallest currency unit, currency, payment method, order/reference ID, metadata, and idempotency key.</w:t>
      </w:r>
    </w:p>
    <w:p>
      <w:pPr>
        <w:pStyle w:val="ListBullet"/>
      </w:pPr>
      <w:r>
        <w:t>Simulated card, UPI, and net-banking payments with deterministic outcomes including success, decline, insufficient_funds, expired_card, blocked/invalid credential, timeout, and fraud block.</w:t>
      </w:r>
    </w:p>
    <w:p>
      <w:pPr>
        <w:pStyle w:val="ListBullet"/>
      </w:pPr>
      <w:r>
        <w:t>Configurable artificial processing delay from 0–30 seconds for selected scenarios.</w:t>
      </w:r>
    </w:p>
    <w:p>
      <w:pPr>
        <w:pStyle w:val="ListBullet"/>
      </w:pPr>
      <w:r>
        <w:t>Authorization and capture simulation, including separate capture where enabled, timestamps, and machine-readable decline/error codes.</w:t>
      </w:r>
    </w:p>
    <w:p>
      <w:pPr>
        <w:pStyle w:val="ListBullet"/>
      </w:pPr>
      <w:r>
        <w:t>Payment lifecycle states: created, pending, authorized, captured, failed, cancelled, expired, and refunded, with complete history, transition-matrix enforcement, and concurrency-safe state changes.</w:t>
      </w:r>
    </w:p>
    <w:p>
      <w:pPr>
        <w:pStyle w:val="ListBullet"/>
      </w:pPr>
      <w:r>
        <w:t>Webhooks for payment.authorized, payment.captured, payment.failed, refund.initiated, refund.processed, and payment.cancelled, including unique event IDs, HMAC-SHA256 signing, exponential-backoff retry, replay, and asynchronous dispatch.</w:t>
      </w:r>
    </w:p>
    <w:p>
      <w:pPr>
        <w:pStyle w:val="ListBullet"/>
      </w:pPr>
      <w:r>
        <w:t>Full and partial refunds, with the total of successful partial refunds not exceeding the captured amount, unique refund IDs, idempotency, and configurable success/failure outcomes.</w:t>
      </w:r>
    </w:p>
    <w:p>
      <w:pPr>
        <w:pStyle w:val="ListBullet"/>
      </w:pPr>
      <w:r>
        <w:t>Fraud and risk rules based on amount, velocity (N requests within a time window), and simulated country/BIN mismatch, with structured fraud_risk_blocked results and auditable rule activation.</w:t>
      </w:r>
    </w:p>
    <w:p>
      <w:pPr>
        <w:pStyle w:val="ListBullet"/>
      </w:pPr>
      <w:r>
        <w:t>Configurable per-merchant or per-key rate limiting with HTTP 429 and Retry-After information.</w:t>
      </w:r>
    </w:p>
    <w:p>
      <w:pPr>
        <w:pStyle w:val="ListBullet"/>
      </w:pPr>
      <w:r>
        <w:t>Transaction dashboard with filtering, search, transaction details, lifecycle history, webhook logs, scenario configuration, refund management, rate-limit configuration, a persistent TEST MODE indicator, and WCAG 2.1 AA-oriented accessibility.</w:t>
      </w:r>
    </w:p>
    <w:p>
      <w:pPr>
        <w:pStyle w:val="Heading1"/>
        <w:keepNext/>
      </w:pPr>
      <w:r>
        <w:t>4. Scope — Out</w:t>
      </w:r>
    </w:p>
    <w:p>
      <w:pPr>
        <w:pStyle w:val="BodyText"/>
      </w:pPr>
      <w:r>
        <w:t>The following are explicitly outside the scope of the project:</w:t>
      </w:r>
    </w:p>
    <w:p>
      <w:pPr>
        <w:pStyle w:val="ListBullet"/>
      </w:pPr>
      <w:r>
        <w:t>Real payment settlement.</w:t>
      </w:r>
    </w:p>
    <w:p>
      <w:pPr>
        <w:pStyle w:val="ListBullet"/>
      </w:pPr>
      <w:r>
        <w:t>Real bank or card-network communication.</w:t>
      </w:r>
    </w:p>
    <w:p>
      <w:pPr>
        <w:pStyle w:val="ListBullet"/>
      </w:pPr>
      <w:r>
        <w:t>Real money movement.</w:t>
      </w:r>
    </w:p>
    <w:p>
      <w:pPr>
        <w:pStyle w:val="ListBullet"/>
      </w:pPr>
      <w:r>
        <w:t>Production PCI certification.</w:t>
      </w:r>
    </w:p>
    <w:p>
      <w:pPr>
        <w:pStyle w:val="ListBullet"/>
      </w:pPr>
      <w:r>
        <w:t>Real dispute resolution.</w:t>
      </w:r>
    </w:p>
    <w:p>
      <w:pPr>
        <w:pStyle w:val="ListBullet"/>
      </w:pPr>
      <w:r>
        <w:t>Integration with live payment instruments.</w:t>
      </w:r>
    </w:p>
    <w:p>
      <w:pPr>
        <w:pStyle w:val="Heading1"/>
        <w:keepNext/>
      </w:pPr>
      <w:r>
        <w:t>5. Functional Summary</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498"/>
        <w:gridCol w:w="2498"/>
        <w:gridCol w:w="2498"/>
        <w:gridCol w:w="2498"/>
      </w:tblGrid>
      <w:tr>
        <w:trPr>
          <w:tblHeader w:val="true"/>
        </w:trPr>
        <w:tc>
          <w:tcPr>
            <w:tcW w:type="dxa" w:w="2498"/>
            <w:vAlign w:val="center"/>
            <w:tcMar>
              <w:top w:w="90" w:type="dxa"/>
              <w:start w:w="100" w:type="dxa"/>
              <w:bottom w:w="90" w:type="dxa"/>
              <w:end w:w="100" w:type="dxa"/>
            </w:tcMar>
            <w:shd w:fill="17365D"/>
          </w:tcPr>
          <w:p>
            <w:pPr>
              <w:spacing w:after="0"/>
              <w:jc w:val="left"/>
            </w:pPr>
            <w:r/>
            <w:r>
              <w:rPr>
                <w:rFonts w:ascii="Aptos" w:hAnsi="Aptos"/>
                <w:b/>
                <w:color w:val="FFFFFF"/>
                <w:sz w:val="18"/>
              </w:rPr>
              <w:t>Section</w:t>
            </w:r>
          </w:p>
        </w:tc>
        <w:tc>
          <w:tcPr>
            <w:tcW w:type="dxa" w:w="2498"/>
            <w:vAlign w:val="center"/>
            <w:tcMar>
              <w:top w:w="90" w:type="dxa"/>
              <w:start w:w="100" w:type="dxa"/>
              <w:bottom w:w="90" w:type="dxa"/>
              <w:end w:w="100" w:type="dxa"/>
            </w:tcMar>
            <w:shd w:fill="17365D"/>
          </w:tcPr>
          <w:p>
            <w:pPr>
              <w:spacing w:after="0"/>
              <w:jc w:val="left"/>
            </w:pPr>
            <w:r/>
            <w:r>
              <w:rPr>
                <w:rFonts w:ascii="Aptos" w:hAnsi="Aptos"/>
                <w:b/>
                <w:color w:val="FFFFFF"/>
                <w:sz w:val="18"/>
              </w:rPr>
              <w:t>Requirement IDs</w:t>
            </w:r>
          </w:p>
        </w:tc>
        <w:tc>
          <w:tcPr>
            <w:tcW w:type="dxa" w:w="2498"/>
            <w:vAlign w:val="center"/>
            <w:tcMar>
              <w:top w:w="90" w:type="dxa"/>
              <w:start w:w="100" w:type="dxa"/>
              <w:bottom w:w="90" w:type="dxa"/>
              <w:end w:w="100" w:type="dxa"/>
            </w:tcMar>
            <w:shd w:fill="17365D"/>
          </w:tcPr>
          <w:p>
            <w:pPr>
              <w:spacing w:after="0"/>
              <w:jc w:val="left"/>
            </w:pPr>
            <w:r/>
            <w:r>
              <w:rPr>
                <w:rFonts w:ascii="Aptos" w:hAnsi="Aptos"/>
                <w:b/>
                <w:color w:val="FFFFFF"/>
                <w:sz w:val="18"/>
              </w:rPr>
              <w:t>Functional Area</w:t>
            </w:r>
          </w:p>
        </w:tc>
        <w:tc>
          <w:tcPr>
            <w:tcW w:type="dxa" w:w="2498"/>
            <w:vAlign w:val="center"/>
            <w:tcMar>
              <w:top w:w="90" w:type="dxa"/>
              <w:start w:w="100" w:type="dxa"/>
              <w:bottom w:w="90" w:type="dxa"/>
              <w:end w:w="100" w:type="dxa"/>
            </w:tcMar>
            <w:shd w:fill="17365D"/>
          </w:tcPr>
          <w:p>
            <w:pPr>
              <w:spacing w:after="0"/>
              <w:jc w:val="left"/>
            </w:pPr>
            <w:r/>
            <w:r>
              <w:rPr>
                <w:rFonts w:ascii="Aptos" w:hAnsi="Aptos"/>
                <w:b/>
                <w:color w:val="FFFFFF"/>
                <w:sz w:val="18"/>
              </w:rPr>
              <w:t>Summary</w:t>
            </w:r>
          </w:p>
        </w:tc>
      </w:tr>
      <w:tr>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4.1</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REQ-F-001–010</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Payment Initiation</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request validation, unique payment IDs, supported currencies, authentication, idempotency, and duplicate-prevention.</w:t>
            </w:r>
          </w:p>
        </w:tc>
      </w:tr>
      <w:tr>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4.2</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REQ-F-011–018</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Payment Method Simulation</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synthetic card/UPI/net-banking inputs, deterministic scenarios, provider isolation, configurable mappings, and artificial delays.</w:t>
            </w:r>
          </w:p>
        </w:tc>
      </w:tr>
      <w:tr>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4.3</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REQ-F-019–026</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Authorization and Capture</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simulated authorization, optional separate capture, eligibility checks, timestamps, and machine-readable decline codes.</w:t>
            </w:r>
          </w:p>
        </w:tc>
      </w:tr>
      <w:tr>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4.4</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REQ-F-027–034</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Transaction Lifecycle</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current-state management, valid transition matrix, transition history, terminal-state protection, and concurrency safety.</w:t>
            </w:r>
          </w:p>
        </w:tc>
      </w:tr>
      <w:tr>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4.5</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REQ-F-035–042</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Webhooks and Events</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event generation, unique IDs, signed payloads, delivery records, retry/backoff, replay, and transaction integrity.</w:t>
            </w:r>
          </w:p>
        </w:tc>
      </w:tr>
      <w:tr>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4.6</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REQ-F-043–051</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Refund and Cancellation</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eligible cancellation, full/partial refunds, refund limits, unique IDs, idempotency, and simulated refund outcomes.</w:t>
            </w:r>
          </w:p>
        </w:tc>
      </w:tr>
      <w:tr>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4.7</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REQ-F-052–057</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Fraud and Risk</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amount/velocity/country-BIN rules, structured fraud blocks, audit records, and runtime rule configuration.</w:t>
            </w:r>
          </w:p>
        </w:tc>
      </w:tr>
      <w:tr>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4.8</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REQ-F-058–065</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API Key and Account Management</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distinguishable test prefixes, protected secrets, rotation, revocation, and merchant isolation.</w:t>
            </w:r>
          </w:p>
        </w:tc>
      </w:tr>
      <w:tr>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4.9</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REQ-F-066–072</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Rate Limits and Error Simulation</w:t>
            </w:r>
          </w:p>
        </w:tc>
        <w:tc>
          <w:tcPr>
            <w:tcW w:type="dxa" w:w="2498"/>
            <w:vAlign w:val="center"/>
            <w:tcMar>
              <w:top w:w="90" w:type="dxa"/>
              <w:start w:w="100" w:type="dxa"/>
              <w:bottom w:w="90" w:type="dxa"/>
              <w:end w:w="100" w:type="dxa"/>
            </w:tcMar>
          </w:tcPr>
          <w:p>
            <w:pPr>
              <w:spacing w:after="0"/>
              <w:jc w:val="left"/>
            </w:pPr>
            <w:r/>
            <w:r>
              <w:rPr>
                <w:rFonts w:ascii="Aptos" w:hAnsi="Aptos"/>
                <w:b w:val="0"/>
                <w:color w:val="000000"/>
                <w:sz w:val="18"/>
              </w:rPr>
              <w:t>configurable limits, HTTP 429, Retry-After, simulated failures, and stable error codes.</w:t>
            </w:r>
          </w:p>
        </w:tc>
      </w:tr>
      <w:tr>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4.10</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REQ-F-073–080</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Transaction Dashboard</w:t>
            </w:r>
          </w:p>
        </w:tc>
        <w:tc>
          <w:tcPr>
            <w:tcW w:type="dxa" w:w="2498"/>
            <w:vAlign w:val="center"/>
            <w:tcMar>
              <w:top w:w="90" w:type="dxa"/>
              <w:start w:w="100" w:type="dxa"/>
              <w:bottom w:w="90" w:type="dxa"/>
              <w:end w:w="100" w:type="dxa"/>
            </w:tcMar>
            <w:shd w:fill="F3F6FA"/>
          </w:tcPr>
          <w:p>
            <w:pPr>
              <w:spacing w:after="0"/>
              <w:jc w:val="left"/>
            </w:pPr>
            <w:r/>
            <w:r>
              <w:rPr>
                <w:rFonts w:ascii="Aptos" w:hAnsi="Aptos"/>
                <w:b w:val="0"/>
                <w:color w:val="000000"/>
                <w:sz w:val="18"/>
              </w:rPr>
              <w:t>transaction exploration, filtering, searching, lifecycle/event/refund inspection, test labeling, and role-based administrative visibility.</w:t>
            </w:r>
          </w:p>
        </w:tc>
      </w:tr>
    </w:tbl>
    <w:p>
      <w:pPr>
        <w:spacing w:after="40"/>
      </w:pPr>
    </w:p>
    <w:p>
      <w:pPr>
        <w:pStyle w:val="Heading1"/>
        <w:keepNext/>
      </w:pPr>
      <w:r>
        <w:t>6. Nonfunctional Targets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331"/>
        <w:gridCol w:w="3331"/>
        <w:gridCol w:w="3331"/>
      </w:tblGrid>
      <w:tr>
        <w:trPr>
          <w:tblHeader w:val="true"/>
        </w:trPr>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Requirement Group</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Category</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Target</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REQ-NF-*</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Performance</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95% of synchronous API calls within 500 ms excluding artificial delays; at least 100 concurrent simulated requests; target 200 requests/minute; webhook queueing under 1 second; dispatch initiation under 2 seconds; transaction search under 1 second for the expected academic dataset.</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REQ-NF-*</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Safety</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Persistent TEST MODE indication, no real financial credentials, and no integration path to real payment networks.</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REQ-NF-*</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Security</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HTTPS/TLS 1.2+, protected/hashed secret storage, authentication and authorization for protected operations, input validation/sanitization, credential expiration/revocation, auditable security events, and synthetic-only payment credentials.</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REQ-NF-*</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Quality</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99.5% availability during planned demonstrations, 100% compliance with the defined state-transition matrix, at least 90% coverage for core payment-domain logic, layered modular architecture, first successful test payment in under 10 minutes for a new developer, Docker portability, and audit traceability.</w:t>
            </w:r>
          </w:p>
        </w:tc>
      </w:tr>
    </w:tbl>
    <w:p>
      <w:pPr>
        <w:spacing w:after="40"/>
      </w:pPr>
    </w:p>
    <w:p>
      <w:pPr>
        <w:pStyle w:val="Heading1"/>
        <w:keepNext/>
      </w:pPr>
      <w:r>
        <w:t>7. Business Rules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Rule ID</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Business Rule</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BR-001</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Test API keys are valid only inside the simulation environment.</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BR-002</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Each merchant account can access only its own transaction data.</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BR-003</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Every payment transaction has a unique payment ID.</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BR-004</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Amounts are represented in the smallest supported currency unit.</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BR-005</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A payment cannot be refunded before it reaches an eligible captured state.</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BR-006</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The sum of successful partial refunds cannot exceed the captured amount.</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BR-007</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Reusing an idempotency key for the same operation cannot create a duplicate operation.</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BR-008</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Customer users cannot access API-key, fraud-rule, rate-limit, or administrator functions.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BR-009</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Test scenario outcomes represent simulated conditions and not real banking decisions.</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BR-010</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Transactions and test credentials are retained only according to the project's deployment/retention policy.</w:t>
            </w:r>
          </w:p>
        </w:tc>
      </w:tr>
    </w:tbl>
    <w:p>
      <w:pPr>
        <w:spacing w:after="40"/>
      </w:pPr>
    </w:p>
    <w:p>
      <w:pPr>
        <w:pStyle w:val="Heading1"/>
        <w:keepNext/>
      </w:pPr>
      <w:r>
        <w:t>8. Test Catalogue</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331"/>
        <w:gridCol w:w="3331"/>
        <w:gridCol w:w="3331"/>
      </w:tblGrid>
      <w:tr>
        <w:trPr>
          <w:tblHeader w:val="true"/>
        </w:trPr>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Test ID</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Scenario</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Expected Result</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TEST-001</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Successful card payment</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Payment becomes authorized/captured according to configured flow.</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TEST-002</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Card decline</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Payment fails with card_declined.</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TEST-003</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Insufficient funds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Payment fails with insufficient_funds.</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TEST-004</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Expired card</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Payment fails with expired_card.</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TEST-005</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UPI success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UPI payment reaches successful state.</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TEST-006</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UPI timeout</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Payment remains pending or fails according to timeout configuration.</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TEST-007</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Net-banking failure</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Payment reaches failed state with an appropriate reason.</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TEST-008</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Duplicate request</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Idempotency prevents duplicate payment creation.</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TEST-009</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Webhook success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Event is delivered and marked successful.</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TEST-010</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Webhook failure</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Failure is logged and retry policy is exercised.</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TEST-011</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Webhook replay</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Previously generated event can be replayed.</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TEST-012</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Full refund</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Eligible captured payment is fully refunded.</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TEST-013</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Partial refund</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Eligible payment records a valid partial refund.</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TEST-014</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Invalid refund</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Refund exceeding available amount is rejected.</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TEST-015</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Fraud rule block</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Configured risk rule blocks the payment and records the rule.</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TEST-016</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Rate limit</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Excess requests return HTTP 429 and retry information.</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TEST-017</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Revoked API key</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Subsequent protected request returns an authentication error.</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TEST-018</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Cross-account access</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Merchant cannot access another merchant's transaction.</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TEST-019</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Transaction not found</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API returns a controlled HTTP 404 response.</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TEST-020</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Artificial delay</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Configured scenario delay is applied without blocking unrelated requests.</w:t>
            </w:r>
          </w:p>
        </w:tc>
      </w:tr>
    </w:tbl>
    <w:p>
      <w:pPr>
        <w:spacing w:after="40"/>
      </w:pPr>
    </w:p>
    <w:p>
      <w:pPr>
        <w:pStyle w:val="Heading1"/>
        <w:keepNext/>
      </w:pPr>
      <w:r>
        <w:t>9. External Interfaces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Interface Type</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Description</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User Interface</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login/registration, API-key management, transaction explorer and details, scenario configuration, webhook logs, refund management, rate-limit configuration, and a persistent TEST MODE banner.</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Software Interfaces</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Merchant Application via REST/HTTPS/JSON; internal Simulation Engine; PostgreSQL persistence; optional Redis for caching/queueing; Merchant Webhook Server via signed HTTP POST; Dashboard; and optional SMTP/TLS email service.</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Communications</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JSON request/response bodies, HTTPS, Bearer authentication, HMAC-SHA256 webhook signature headers, standard HTTP status codes (200/201/400/401/403/404/409/422/429/500), stable machine-readable error codes, and correlation IDs.</w:t>
            </w:r>
          </w:p>
        </w:tc>
      </w:tr>
    </w:tbl>
    <w:p>
      <w:pPr>
        <w:spacing w:after="40"/>
      </w:pPr>
    </w:p>
    <w:p>
      <w:pPr>
        <w:pStyle w:val="Heading1"/>
        <w:keepNext/>
      </w:pPr>
      <w:r>
        <w:t>10. Constraints &amp; Assumptions</w:t>
      </w:r>
    </w:p>
    <w:p>
      <w:pPr>
        <w:pStyle w:val="ListBullet"/>
      </w:pPr>
      <w:r>
        <w:t>Multi-tenant merchant data isolation is mandatory.</w:t>
      </w:r>
    </w:p>
    <w:p>
      <w:pPr>
        <w:pStyle w:val="ListBullet"/>
      </w:pPr>
      <w:r>
        <w:t>REST principles and standard HTTP status codes shall be followed.</w:t>
      </w:r>
    </w:p>
    <w:p>
      <w:pPr>
        <w:pStyle w:val="ListBullet"/>
      </w:pPr>
      <w:r>
        <w:t>Predefined simulation scenarios shall be deterministic.</w:t>
      </w:r>
    </w:p>
    <w:p>
      <w:pPr>
        <w:pStyle w:val="ListBullet"/>
      </w:pPr>
      <w:r>
        <w:t>Webhook processing shall be asynchronous.</w:t>
      </w:r>
    </w:p>
    <w:p>
      <w:pPr>
        <w:pStyle w:val="ListBullet"/>
      </w:pPr>
      <w:r>
        <w:t>Secrets and complete payment credentials shall not appear in logs.</w:t>
      </w:r>
    </w:p>
    <w:p>
      <w:pPr>
        <w:pStyle w:val="ListBullet"/>
      </w:pPr>
      <w:r>
        <w:t>The implementation shall remain modular and suitable for software-engineering design patterns.</w:t>
      </w:r>
    </w:p>
    <w:p>
      <w:pPr>
        <w:pStyle w:val="ListBullet"/>
      </w:pPr>
      <w:r>
        <w:t>The database and cache/queue dependencies are assumed to be available during demonstrations.</w:t>
      </w:r>
    </w:p>
    <w:p>
      <w:pPr>
        <w:pStyle w:val="ListBullet"/>
      </w:pPr>
      <w:r>
        <w:t>Webhook endpoints are assumed to be reachable when external delivery is demonstrated.</w:t>
      </w:r>
    </w:p>
    <w:p>
      <w:pPr>
        <w:pStyle w:val="ListBullet"/>
      </w:pPr>
      <w:r>
        <w:t>The system is intended for academic development, demonstration, and testing only.</w:t>
      </w:r>
    </w:p>
    <w:p>
      <w:pPr>
        <w:pStyle w:val="Heading1"/>
        <w:keepNext/>
      </w:pPr>
      <w:r>
        <w:t>11. TBDs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TBD ID</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Open Decision</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TBD-01</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Final backend implementation language (Node.js or Python).</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TBD-02</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Whether Redis is mandatory or optional in the final deployment.</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TBD-03</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Final webhook retry count and exponential-backoff tuning.</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TBD-04</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Final fraud/risk scenario catalogue.</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TBD-05</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Default API rate limit.</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TBD-06</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Final validated throughput target after load testing.</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TBD-07</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Additional supported test currencies beyond the baseline.</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TBD-08</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Final measured automated test coverage.</w:t>
            </w:r>
          </w:p>
        </w:tc>
      </w:tr>
    </w:tbl>
    <w:p>
      <w:pPr>
        <w:spacing w:after="40"/>
      </w:pPr>
    </w:p>
    <w:p>
      <w:pPr>
        <w:pStyle w:val="Heading1"/>
        <w:keepNext/>
      </w:pPr>
      <w:r>
        <w:t>12. Requirement Elicitation Methods</w:t>
      </w:r>
    </w:p>
    <w:p>
      <w:pPr>
        <w:pStyle w:val="BodyText"/>
      </w:pPr>
      <w:r>
        <w:t>This section records how the requirements for OPGS were elicited, validated, and organized. It is a post-v1.0 mirror of the requirements process and does not alter the frozen v1.0 approved SRS. The methods are mapped to the requirement groups and analysis artefacts they informed.</w:t>
      </w:r>
    </w:p>
    <w:p>
      <w:pPr>
        <w:pStyle w:val="Heading2"/>
        <w:keepNext/>
      </w:pPr>
      <w:r>
        <w:t>12.1 Stakeholder Interviews</w:t>
      </w:r>
    </w:p>
    <w:p>
      <w:pPr>
        <w:pStyle w:val="BodyText"/>
      </w:pPr>
      <w:r>
        <w:t>Semi-structured interviews were used to identify the expectations and pain points of the primary user classes: merchant/developer, customer/test user, QA engineer/tester, system administrator, and project manager. Questions focused on the payment lifecycle, integration workflow, failure handling, testing needs, security boundaries, administrative controls, and observability.</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Aspect</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Details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Output</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stakeholder goals, user-class responsibilities, core payment workflow, dashboard expectations, and initial functional requirements REQ-F-001..080.</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Validation / Boundary</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requirements were checked for actor ownership, observable system response, and consistency with the intended simulation-only scope.</w:t>
            </w:r>
          </w:p>
        </w:tc>
      </w:tr>
    </w:tbl>
    <w:p>
      <w:pPr>
        <w:spacing w:after="40"/>
      </w:pPr>
    </w:p>
    <w:p>
      <w:pPr>
        <w:pStyle w:val="Heading2"/>
        <w:keepNext/>
      </w:pPr>
      <w:r>
        <w:t>12.2 Document Analysis and Benchmarking</w:t>
      </w:r>
    </w:p>
    <w:p>
      <w:pPr>
        <w:pStyle w:val="BodyText"/>
      </w:pPr>
      <w:r>
        <w:t>Existing payment-gateway documentation and software-engineering references were reviewed to identify common concepts and terminology without copying live payment behaviour into the simulator. Conceptual references included Stripe Testing, Razorpay Test Mode, Dodo Payments developer documentation, the Wiegers SRS template, IEEE Std 830-1998, and ISO/IEC 25010.</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Aspect</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Details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Output</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reference structure for payment states, webhooks, test scenarios, HMAC signing, API errors, security considerations, and software-quality attributes.</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Validation / Boundary</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external payment-provider documentation was treated as conceptual guidance only; no live credentials, production payment processing, or real financial integration is part of the project.</w:t>
            </w:r>
          </w:p>
        </w:tc>
      </w:tr>
    </w:tbl>
    <w:p>
      <w:pPr>
        <w:spacing w:after="40"/>
      </w:pPr>
    </w:p>
    <w:p>
      <w:pPr>
        <w:pStyle w:val="Heading2"/>
        <w:keepNext/>
      </w:pPr>
      <w:r>
        <w:t>12.3 Brainstorming and Requirements Workshops</w:t>
      </w:r>
    </w:p>
    <w:p>
      <w:pPr>
        <w:pStyle w:val="BodyText"/>
      </w:pPr>
      <w:r>
        <w:t>Team brainstorming and workshop sessions were used to enumerate deterministic payment outcomes and edge cases that developers and testers should be able to reproduce. The sessions emphasized coverage of both successful and failure-oriented scenarios.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Aspect</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Details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Output</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the simulated outcome catalogue (success, decline, insufficient funds, expired/blocked credentials, timeout, fraud block, artificial delay) and TEST-001..020.</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Validation / Boundary</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scenarios were reviewed against the payment lifecycle and nonfunctional requirements to ensure each scenario has an observable and testable result.</w:t>
            </w:r>
          </w:p>
        </w:tc>
      </w:tr>
    </w:tbl>
    <w:p>
      <w:pPr>
        <w:spacing w:after="40"/>
      </w:pPr>
    </w:p>
    <w:p>
      <w:pPr>
        <w:pStyle w:val="Heading2"/>
        <w:keepNext/>
      </w:pPr>
      <w:r>
        <w:t>12.4 Use-Case Analysis</w:t>
      </w:r>
    </w:p>
    <w:p>
      <w:pPr>
        <w:pStyle w:val="BodyText"/>
      </w:pPr>
      <w:r>
        <w:t>Use-case analysis was used to connect actors with system goals and to define the normal and exceptional flows. Core use cases include Create Payment, Complete Checkout, Run Scenario, Receive Webhook, Refund Payment, Configure Fraud Rule, Manage API Key, and Inspect Transaction.</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Aspect</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Details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Output</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actor/goal mapping, preconditions, main outcomes, Appendix B use cases, and the basis for the context/Level-0 data-flow analysis.</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Validation / Boundary</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every major use case was checked for a clear primary actor, trigger, precondition, system response, and measurable outcome.</w:t>
            </w:r>
          </w:p>
        </w:tc>
      </w:tr>
    </w:tbl>
    <w:p>
      <w:pPr>
        <w:spacing w:after="40"/>
      </w:pPr>
    </w:p>
    <w:p>
      <w:pPr>
        <w:pStyle w:val="Heading2"/>
        <w:keepNext/>
      </w:pPr>
      <w:r>
        <w:t>12.5 Prototyping and Walkthroughs</w:t>
      </w:r>
    </w:p>
    <w:p>
      <w:pPr>
        <w:pStyle w:val="BodyText"/>
      </w:pPr>
      <w:r>
        <w:t>Low-fidelity and implementation-oriented walkthroughs were used to validate the intended interaction sequence from checkout through authorization/capture, webhook delivery, refund, and dashboard inspection. The walkthrough approach was particularly useful for identifying missing states, unclear error responses, and usability requirements.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Aspect</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Details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Output</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checkout-to-payment flow, dashboard explorer requirements, webhook-log requirements, TEST MODE visibility, and usability expectations.</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Validation / Boundary</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walkthroughs were performed as scenario-based reviews, following both successful and failure paths rather than validating only the happy path.</w:t>
            </w:r>
          </w:p>
        </w:tc>
      </w:tr>
    </w:tbl>
    <w:p>
      <w:pPr>
        <w:spacing w:after="40"/>
      </w:pPr>
    </w:p>
    <w:p>
      <w:pPr>
        <w:pStyle w:val="Heading2"/>
        <w:keepNext/>
      </w:pPr>
      <w:r>
        <w:t>12.6 Questionnaire / Lightweight Confirmation</w:t>
      </w:r>
    </w:p>
    <w:p>
      <w:pPr>
        <w:pStyle w:val="BodyText"/>
      </w:pPr>
      <w:r>
        <w:t>A lightweight questionnaire or structured confirmation checklist was used to close unresolved decisions that could not be reliably determined from interviews or document analysis. The questions were intentionally narrow and focused on configuration choices rather than redefining the overall scope.</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Aspect</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Details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Output</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confirmation targets for TBD-01..08, including backend technology, Redis usage, retry tuning, fraud scenarios, default rate limit, throughput, currencies, and final test coverage.</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Validation / Boundary</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unresolved answers were retained as explicit TBDs instead of being silently assumed or presented as finalized requirements.</w:t>
            </w:r>
          </w:p>
        </w:tc>
      </w:tr>
    </w:tbl>
    <w:p>
      <w:pPr>
        <w:spacing w:after="40"/>
      </w:pPr>
    </w:p>
    <w:p>
      <w:pPr>
        <w:pStyle w:val="Heading2"/>
        <w:keepNext/>
      </w:pPr>
      <w:r>
        <w:t>12.7 Requirements Consolidation and Traceability</w:t>
      </w:r>
    </w:p>
    <w:p>
      <w:pPr>
        <w:pStyle w:val="BodyText"/>
      </w:pPr>
      <w:r>
        <w:t>The elicited information was consolidated into the requirements report and the approved SRS. Requirements were assigned stable identifiers so that functional requirements, nonfunctional requirements, business rules, and test scenarios can be traced to implementation and evaluation activities.</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4997"/>
        <w:gridCol w:w="4997"/>
      </w:tblGrid>
      <w:tr>
        <w:trPr>
          <w:tblHeader w:val="true"/>
        </w:trPr>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Identifier Group</w:t>
            </w:r>
          </w:p>
        </w:tc>
        <w:tc>
          <w:tcPr>
            <w:tcW w:type="dxa" w:w="4997"/>
            <w:vAlign w:val="center"/>
            <w:tcMar>
              <w:top w:w="90" w:type="dxa"/>
              <w:start w:w="100" w:type="dxa"/>
              <w:bottom w:w="90" w:type="dxa"/>
              <w:end w:w="100" w:type="dxa"/>
            </w:tcMar>
            <w:shd w:fill="17365D"/>
          </w:tcPr>
          <w:p>
            <w:pPr>
              <w:spacing w:after="0"/>
              <w:jc w:val="left"/>
            </w:pPr>
            <w:r/>
            <w:r>
              <w:rPr>
                <w:rFonts w:ascii="Aptos" w:hAnsi="Aptos"/>
                <w:b/>
                <w:color w:val="FFFFFF"/>
                <w:sz w:val="18"/>
              </w:rPr>
              <w:t>Meaning</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REQ-F-001..080</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Functional requirements.</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REQ-NF-*</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Performance, safety, security, and quality requirements.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BR-001..010</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Business rules.</w:t>
            </w:r>
          </w:p>
        </w:tc>
      </w:tr>
      <w:tr>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TEST-001..020</w:t>
            </w:r>
          </w:p>
        </w:tc>
        <w:tc>
          <w:tcPr>
            <w:tcW w:type="dxa" w:w="4997"/>
            <w:vAlign w:val="center"/>
            <w:tcMar>
              <w:top w:w="90" w:type="dxa"/>
              <w:start w:w="100" w:type="dxa"/>
              <w:bottom w:w="90" w:type="dxa"/>
              <w:end w:w="100" w:type="dxa"/>
            </w:tcMar>
            <w:shd w:fill="F3F6FA"/>
          </w:tcPr>
          <w:p>
            <w:pPr>
              <w:spacing w:after="0"/>
              <w:jc w:val="left"/>
            </w:pPr>
            <w:r/>
            <w:r>
              <w:rPr>
                <w:rFonts w:ascii="Aptos" w:hAnsi="Aptos"/>
                <w:b w:val="0"/>
                <w:color w:val="000000"/>
                <w:sz w:val="18"/>
              </w:rPr>
              <w:t>Representative verification scenarios.</w:t>
            </w:r>
          </w:p>
        </w:tc>
      </w:tr>
      <w:tr>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TBD-01..08</w:t>
            </w:r>
          </w:p>
        </w:tc>
        <w:tc>
          <w:tcPr>
            <w:tcW w:type="dxa" w:w="4997"/>
            <w:vAlign w:val="center"/>
            <w:tcMar>
              <w:top w:w="90" w:type="dxa"/>
              <w:start w:w="100" w:type="dxa"/>
              <w:bottom w:w="90" w:type="dxa"/>
              <w:end w:w="100" w:type="dxa"/>
            </w:tcMar>
          </w:tcPr>
          <w:p>
            <w:pPr>
              <w:spacing w:after="0"/>
              <w:jc w:val="left"/>
            </w:pPr>
            <w:r/>
            <w:r>
              <w:rPr>
                <w:rFonts w:ascii="Aptos" w:hAnsi="Aptos"/>
                <w:b w:val="0"/>
                <w:color w:val="000000"/>
                <w:sz w:val="18"/>
              </w:rPr>
              <w:t>Unresolved decisions requiring closure in a future revision.</w:t>
            </w:r>
          </w:p>
        </w:tc>
      </w:tr>
    </w:tbl>
    <w:p>
      <w:pPr>
        <w:spacing w:after="40"/>
      </w:pPr>
    </w:p>
    <w:p>
      <w:pPr>
        <w:pStyle w:val="BodyText"/>
      </w:pPr>
      <w:r>
        <w:t>This consolidation step reduces ambiguity by separating stakeholder needs, system requirements, business rules, and verification scenarios instead of treating them as interchangeable statements.</w:t>
      </w:r>
    </w:p>
    <w:p>
      <w:pPr>
        <w:pStyle w:val="Heading2"/>
        <w:keepNext/>
      </w:pPr>
      <w:r>
        <w:t>12.8 Elicitation-to-Requirement Mapping</w:t>
      </w:r>
    </w:p>
    <w:tbl>
      <w:tblPr>
        <w:tblW w:type="auto" w:w="0"/>
        <w:jc w:val="center"/>
        <w:tblLayout w:type="autofit"/>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331"/>
        <w:gridCol w:w="3331"/>
        <w:gridCol w:w="3331"/>
      </w:tblGrid>
      <w:tr>
        <w:trPr>
          <w:tblHeader w:val="true"/>
        </w:trPr>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Elicitation Method</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Primary Evidence / Output</w:t>
            </w:r>
          </w:p>
        </w:tc>
        <w:tc>
          <w:tcPr>
            <w:tcW w:type="dxa" w:w="3331"/>
            <w:vAlign w:val="center"/>
            <w:tcMar>
              <w:top w:w="90" w:type="dxa"/>
              <w:start w:w="100" w:type="dxa"/>
              <w:bottom w:w="90" w:type="dxa"/>
              <w:end w:w="100" w:type="dxa"/>
            </w:tcMar>
            <w:shd w:fill="17365D"/>
          </w:tcPr>
          <w:p>
            <w:pPr>
              <w:spacing w:after="0"/>
              <w:jc w:val="left"/>
            </w:pPr>
            <w:r/>
            <w:r>
              <w:rPr>
                <w:rFonts w:ascii="Aptos" w:hAnsi="Aptos"/>
                <w:b/>
                <w:color w:val="FFFFFF"/>
                <w:sz w:val="18"/>
              </w:rPr>
              <w:t>Requirements or Artefacts Influenced</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Interviews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Stakeholder goals, actor responsibilities, workflow expectations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§2 user classes; REQ-F-001..080; dashboard and API needs</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Document analysis / benchmarking</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Gateway terminology, testing patterns, webhook/security concepts</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§1.5 references; webhook/HMAC; TEST MODE; API/error conventions</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Brainstorming / workshops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Deterministic outcome and edge-case catalogue</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REQ-F-011..018; REQ-F-025; TEST-001..020</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Use-case analysis</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Actors, preconditions, flows, outcomes</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Appendix B use cases; DFD context/Level 0; lifecycle requirements</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Prototyping / walkthroughs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Interaction sequence and usability observations</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Checkout → capture → webhook → refund; dashboard; TEST MODE</w:t>
            </w:r>
          </w:p>
        </w:tc>
      </w:tr>
      <w:tr>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Questionnaire / confirmation</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Closure or explicit retention of unresolved decisions</w:t>
            </w:r>
          </w:p>
        </w:tc>
        <w:tc>
          <w:tcPr>
            <w:tcW w:type="dxa" w:w="3331"/>
            <w:vAlign w:val="center"/>
            <w:tcMar>
              <w:top w:w="90" w:type="dxa"/>
              <w:start w:w="100" w:type="dxa"/>
              <w:bottom w:w="90" w:type="dxa"/>
              <w:end w:w="100" w:type="dxa"/>
            </w:tcMar>
            <w:shd w:fill="F3F6FA"/>
          </w:tcPr>
          <w:p>
            <w:pPr>
              <w:spacing w:after="0"/>
              <w:jc w:val="left"/>
            </w:pPr>
            <w:r/>
            <w:r>
              <w:rPr>
                <w:rFonts w:ascii="Aptos" w:hAnsi="Aptos"/>
                <w:b w:val="0"/>
                <w:color w:val="000000"/>
                <w:sz w:val="18"/>
              </w:rPr>
              <w:t>TBD-01..08</w:t>
            </w:r>
          </w:p>
        </w:tc>
      </w:tr>
      <w:tr>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Consolidation / traceability</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Stable IDs and verification mapping</w:t>
            </w:r>
          </w:p>
        </w:tc>
        <w:tc>
          <w:tcPr>
            <w:tcW w:type="dxa" w:w="3331"/>
            <w:vAlign w:val="center"/>
            <w:tcMar>
              <w:top w:w="90" w:type="dxa"/>
              <w:start w:w="100" w:type="dxa"/>
              <w:bottom w:w="90" w:type="dxa"/>
              <w:end w:w="100" w:type="dxa"/>
            </w:tcMar>
          </w:tcPr>
          <w:p>
            <w:pPr>
              <w:spacing w:after="0"/>
              <w:jc w:val="left"/>
            </w:pPr>
            <w:r/>
            <w:r>
              <w:rPr>
                <w:rFonts w:ascii="Aptos" w:hAnsi="Aptos"/>
                <w:b w:val="0"/>
                <w:color w:val="000000"/>
                <w:sz w:val="18"/>
              </w:rPr>
              <w:t>REQ-F, REQ-NF, BR, TEST, TBD identifiers</w:t>
            </w:r>
          </w:p>
        </w:tc>
      </w:tr>
    </w:tbl>
    <w:p>
      <w:pPr>
        <w:spacing w:after="40"/>
      </w:pPr>
    </w:p>
    <w:p>
      <w:pPr>
        <w:pStyle w:val="Heading2"/>
        <w:keepNext/>
      </w:pPr>
      <w:r>
        <w:t>12.9 Elicitation Limitations</w:t>
      </w:r>
    </w:p>
    <w:p>
      <w:pPr>
        <w:pStyle w:val="BodyText"/>
      </w:pPr>
      <w:r>
        <w:t>The elicitation record is based on an academic simulation project and therefore does not claim production-scale validation with real payment institutions, acquiring banks, card networks, or a statistically representative customer population. Provider documentation was used for conceptual benchmarking, not as evidence that the simulator's behaviour is identical to a production gateway. Requirements that depend on implementation measurements or final configuration remain explicitly marked as TBD.</w:t>
      </w:r>
    </w:p>
    <w:p>
      <w:pPr>
        <w:pStyle w:val="Heading1"/>
        <w:keepNext/>
      </w:pPr>
      <w:r>
        <w:t>13. Source and Document Status</w:t>
      </w:r>
    </w:p>
    <w:p>
      <w:pPr>
        <w:pStyle w:val="BodyText"/>
      </w:pPr>
      <w:r>
        <w:t>Source repository: the project Requirements Report and related SRS artefacts maintained in the online_payment_gateway repository.</w:t>
      </w:r>
    </w:p>
    <w:p>
      <w:pPr>
        <w:pStyle w:val="BodyText"/>
      </w:pPr>
      <w:r>
        <w:t>Document status: this refined report is intended to complement the frozen OPGS_SRS_IEEE.docx v1.0 Approved document. The refined Requirement Elicitation Methods section is a documentation enhancement and should be incorporated into the formal SRS only as part of a future controlled revision.</w:t>
      </w:r>
    </w:p>
    <w:p>
      <w:pPr>
        <w:pStyle w:val="BodyText"/>
      </w:pPr>
      <w:r>
        <w:t>Repository: online_payment_gateway</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Online Payment Gateway Simulation  •  Version 1.0 Approved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ONLINE PAYMENT GATEWAY SIMULATION  |  REQUIREMENTS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