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E11874" w14:textId="77777777" w:rsidR="006755D4" w:rsidRPr="001D409B" w:rsidRDefault="006755D4" w:rsidP="007D2C81">
      <w:pPr>
        <w:spacing w:line="276" w:lineRule="auto"/>
        <w:rPr>
          <w:rFonts w:cstheme="minorHAnsi"/>
          <w:sz w:val="26"/>
          <w:szCs w:val="26"/>
        </w:rPr>
      </w:pPr>
      <w:r w:rsidRPr="001D409B">
        <w:rPr>
          <w:rFonts w:cstheme="minorHAnsi"/>
          <w:sz w:val="26"/>
          <w:szCs w:val="26"/>
        </w:rPr>
        <w:t>Patent Draft for E-Portal for Case Management and Legal Proceedings Facilitation</w:t>
      </w:r>
    </w:p>
    <w:p w14:paraId="5D08BE7D" w14:textId="77777777" w:rsidR="0022357B" w:rsidRPr="001352BB" w:rsidRDefault="0022357B" w:rsidP="007D2C81">
      <w:pPr>
        <w:spacing w:line="276" w:lineRule="auto"/>
        <w:rPr>
          <w:rFonts w:cstheme="minorHAnsi"/>
          <w:lang w:val="en-US"/>
        </w:rPr>
      </w:pPr>
    </w:p>
    <w:p w14:paraId="118F1BA7" w14:textId="33CD10C2" w:rsidR="0022357B" w:rsidRPr="001D409B" w:rsidRDefault="0022357B" w:rsidP="007D2C81">
      <w:pPr>
        <w:spacing w:line="276" w:lineRule="auto"/>
        <w:rPr>
          <w:rFonts w:cstheme="minorHAnsi"/>
          <w:sz w:val="26"/>
          <w:szCs w:val="26"/>
          <w:lang w:val="en-US"/>
        </w:rPr>
      </w:pPr>
      <w:r w:rsidRPr="001D409B">
        <w:rPr>
          <w:rFonts w:cstheme="minorHAnsi"/>
          <w:sz w:val="26"/>
          <w:szCs w:val="26"/>
          <w:lang w:val="en-US"/>
        </w:rPr>
        <w:t>APPLICANT(S)</w:t>
      </w:r>
    </w:p>
    <w:p w14:paraId="3A2494C2" w14:textId="77777777" w:rsidR="0022357B" w:rsidRPr="001352BB" w:rsidRDefault="0022357B" w:rsidP="007D2C81">
      <w:pPr>
        <w:spacing w:line="276" w:lineRule="auto"/>
        <w:rPr>
          <w:rFonts w:cstheme="minorHAnsi"/>
          <w:lang w:val="en-US"/>
        </w:rPr>
      </w:pPr>
    </w:p>
    <w:tbl>
      <w:tblPr>
        <w:tblStyle w:val="TableGrid"/>
        <w:tblW w:w="0" w:type="auto"/>
        <w:tblLook w:val="04A0" w:firstRow="1" w:lastRow="0" w:firstColumn="1" w:lastColumn="0" w:noHBand="0" w:noVBand="1"/>
      </w:tblPr>
      <w:tblGrid>
        <w:gridCol w:w="2267"/>
        <w:gridCol w:w="1479"/>
        <w:gridCol w:w="1665"/>
        <w:gridCol w:w="3605"/>
      </w:tblGrid>
      <w:tr w:rsidR="0022357B" w:rsidRPr="001352BB" w14:paraId="77F69AC1" w14:textId="77777777" w:rsidTr="009E664E">
        <w:tc>
          <w:tcPr>
            <w:tcW w:w="2310" w:type="dxa"/>
            <w:tcBorders>
              <w:top w:val="single" w:sz="4" w:space="0" w:color="auto"/>
              <w:left w:val="single" w:sz="4" w:space="0" w:color="auto"/>
              <w:bottom w:val="single" w:sz="4" w:space="0" w:color="auto"/>
              <w:right w:val="single" w:sz="4" w:space="0" w:color="auto"/>
            </w:tcBorders>
            <w:hideMark/>
          </w:tcPr>
          <w:p w14:paraId="286BAE12" w14:textId="77777777" w:rsidR="0022357B" w:rsidRPr="001D409B" w:rsidRDefault="0022357B" w:rsidP="007D2C81">
            <w:pPr>
              <w:spacing w:line="276" w:lineRule="auto"/>
              <w:rPr>
                <w:rFonts w:cstheme="minorHAnsi"/>
                <w:lang w:val="en-US"/>
              </w:rPr>
            </w:pPr>
            <w:r w:rsidRPr="001D409B">
              <w:rPr>
                <w:rFonts w:cstheme="minorHAnsi"/>
                <w:lang w:val="en-US"/>
              </w:rPr>
              <w:t>Name in Full</w:t>
            </w:r>
          </w:p>
        </w:tc>
        <w:tc>
          <w:tcPr>
            <w:tcW w:w="1513" w:type="dxa"/>
            <w:tcBorders>
              <w:top w:val="single" w:sz="4" w:space="0" w:color="auto"/>
              <w:left w:val="single" w:sz="4" w:space="0" w:color="auto"/>
              <w:bottom w:val="single" w:sz="4" w:space="0" w:color="auto"/>
              <w:right w:val="single" w:sz="4" w:space="0" w:color="auto"/>
            </w:tcBorders>
            <w:hideMark/>
          </w:tcPr>
          <w:p w14:paraId="4601A8FA" w14:textId="77777777" w:rsidR="0022357B" w:rsidRPr="001D409B" w:rsidRDefault="0022357B" w:rsidP="007D2C81">
            <w:pPr>
              <w:spacing w:line="276" w:lineRule="auto"/>
              <w:rPr>
                <w:rFonts w:cstheme="minorHAnsi"/>
                <w:lang w:val="en-US"/>
              </w:rPr>
            </w:pPr>
            <w:r w:rsidRPr="001D409B">
              <w:rPr>
                <w:rFonts w:cstheme="minorHAnsi"/>
                <w:lang w:val="en-US"/>
              </w:rPr>
              <w:t>Nationality</w:t>
            </w:r>
          </w:p>
        </w:tc>
        <w:tc>
          <w:tcPr>
            <w:tcW w:w="1701" w:type="dxa"/>
            <w:tcBorders>
              <w:top w:val="single" w:sz="4" w:space="0" w:color="auto"/>
              <w:left w:val="single" w:sz="4" w:space="0" w:color="auto"/>
              <w:bottom w:val="single" w:sz="4" w:space="0" w:color="auto"/>
              <w:right w:val="single" w:sz="4" w:space="0" w:color="auto"/>
            </w:tcBorders>
            <w:hideMark/>
          </w:tcPr>
          <w:p w14:paraId="48BC60C0" w14:textId="77777777" w:rsidR="0022357B" w:rsidRPr="001D409B" w:rsidRDefault="0022357B" w:rsidP="007D2C81">
            <w:pPr>
              <w:spacing w:line="276" w:lineRule="auto"/>
              <w:rPr>
                <w:rFonts w:cstheme="minorHAnsi"/>
                <w:lang w:val="en-US"/>
              </w:rPr>
            </w:pPr>
            <w:r w:rsidRPr="001D409B">
              <w:rPr>
                <w:rFonts w:cstheme="minorHAnsi"/>
                <w:lang w:val="en-US"/>
              </w:rPr>
              <w:t>Country of Residence</w:t>
            </w:r>
          </w:p>
        </w:tc>
        <w:tc>
          <w:tcPr>
            <w:tcW w:w="3716" w:type="dxa"/>
            <w:tcBorders>
              <w:top w:val="single" w:sz="4" w:space="0" w:color="auto"/>
              <w:left w:val="single" w:sz="4" w:space="0" w:color="auto"/>
              <w:bottom w:val="single" w:sz="4" w:space="0" w:color="auto"/>
              <w:right w:val="single" w:sz="4" w:space="0" w:color="auto"/>
            </w:tcBorders>
            <w:hideMark/>
          </w:tcPr>
          <w:p w14:paraId="7DD88F19" w14:textId="77777777" w:rsidR="0022357B" w:rsidRPr="001D409B" w:rsidRDefault="0022357B" w:rsidP="007D2C81">
            <w:pPr>
              <w:spacing w:line="276" w:lineRule="auto"/>
              <w:rPr>
                <w:rFonts w:cstheme="minorHAnsi"/>
                <w:lang w:val="en-US"/>
              </w:rPr>
            </w:pPr>
            <w:r w:rsidRPr="001D409B">
              <w:rPr>
                <w:rFonts w:cstheme="minorHAnsi"/>
                <w:lang w:val="en-US"/>
              </w:rPr>
              <w:t>Address of the Applicant</w:t>
            </w:r>
          </w:p>
        </w:tc>
      </w:tr>
      <w:tr w:rsidR="0022357B" w:rsidRPr="001352BB" w14:paraId="0AC9B58A" w14:textId="77777777" w:rsidTr="009E664E">
        <w:tc>
          <w:tcPr>
            <w:tcW w:w="2310" w:type="dxa"/>
            <w:tcBorders>
              <w:top w:val="single" w:sz="4" w:space="0" w:color="auto"/>
              <w:left w:val="single" w:sz="4" w:space="0" w:color="auto"/>
              <w:bottom w:val="single" w:sz="4" w:space="0" w:color="auto"/>
              <w:right w:val="single" w:sz="4" w:space="0" w:color="auto"/>
            </w:tcBorders>
            <w:hideMark/>
          </w:tcPr>
          <w:p w14:paraId="4A9BD4E0" w14:textId="77777777" w:rsidR="0022357B" w:rsidRPr="001D409B" w:rsidRDefault="0022357B" w:rsidP="007D2C81">
            <w:pPr>
              <w:spacing w:line="276" w:lineRule="auto"/>
              <w:rPr>
                <w:rFonts w:cstheme="minorHAnsi"/>
                <w:lang w:val="en-US"/>
              </w:rPr>
            </w:pPr>
            <w:r w:rsidRPr="001D409B">
              <w:rPr>
                <w:rFonts w:cstheme="minorHAnsi"/>
                <w:lang w:val="en-US"/>
              </w:rPr>
              <w:t>Akash Tiwari</w:t>
            </w:r>
          </w:p>
        </w:tc>
        <w:tc>
          <w:tcPr>
            <w:tcW w:w="1513" w:type="dxa"/>
            <w:tcBorders>
              <w:top w:val="single" w:sz="4" w:space="0" w:color="auto"/>
              <w:left w:val="single" w:sz="4" w:space="0" w:color="auto"/>
              <w:bottom w:val="single" w:sz="4" w:space="0" w:color="auto"/>
              <w:right w:val="single" w:sz="4" w:space="0" w:color="auto"/>
            </w:tcBorders>
            <w:hideMark/>
          </w:tcPr>
          <w:p w14:paraId="57426B77" w14:textId="77777777" w:rsidR="0022357B" w:rsidRPr="001D409B" w:rsidRDefault="0022357B" w:rsidP="007D2C81">
            <w:pPr>
              <w:spacing w:line="276" w:lineRule="auto"/>
              <w:rPr>
                <w:rFonts w:cstheme="minorHAnsi"/>
                <w:lang w:val="en-US"/>
              </w:rPr>
            </w:pPr>
            <w:r w:rsidRPr="001D409B">
              <w:rPr>
                <w:rFonts w:cstheme="minorHAnsi"/>
                <w:lang w:val="en-US"/>
              </w:rPr>
              <w:t>Indian</w:t>
            </w:r>
          </w:p>
        </w:tc>
        <w:tc>
          <w:tcPr>
            <w:tcW w:w="1701" w:type="dxa"/>
            <w:tcBorders>
              <w:top w:val="single" w:sz="4" w:space="0" w:color="auto"/>
              <w:left w:val="single" w:sz="4" w:space="0" w:color="auto"/>
              <w:bottom w:val="single" w:sz="4" w:space="0" w:color="auto"/>
              <w:right w:val="single" w:sz="4" w:space="0" w:color="auto"/>
            </w:tcBorders>
            <w:hideMark/>
          </w:tcPr>
          <w:p w14:paraId="2A21A91F" w14:textId="77777777" w:rsidR="0022357B" w:rsidRPr="001D409B" w:rsidRDefault="0022357B" w:rsidP="007D2C81">
            <w:pPr>
              <w:spacing w:line="276" w:lineRule="auto"/>
              <w:rPr>
                <w:rFonts w:cstheme="minorHAnsi"/>
                <w:lang w:val="en-US"/>
              </w:rPr>
            </w:pPr>
            <w:r w:rsidRPr="001D409B">
              <w:rPr>
                <w:rFonts w:cstheme="minorHAnsi"/>
                <w:lang w:val="en-US"/>
              </w:rPr>
              <w:t>India</w:t>
            </w:r>
          </w:p>
        </w:tc>
        <w:tc>
          <w:tcPr>
            <w:tcW w:w="3716" w:type="dxa"/>
            <w:tcBorders>
              <w:top w:val="single" w:sz="4" w:space="0" w:color="auto"/>
              <w:left w:val="single" w:sz="4" w:space="0" w:color="auto"/>
              <w:bottom w:val="single" w:sz="4" w:space="0" w:color="auto"/>
              <w:right w:val="single" w:sz="4" w:space="0" w:color="auto"/>
            </w:tcBorders>
            <w:hideMark/>
          </w:tcPr>
          <w:p w14:paraId="6861CB86" w14:textId="77777777" w:rsidR="0022357B" w:rsidRPr="001D409B" w:rsidRDefault="0022357B" w:rsidP="007D2C81">
            <w:pPr>
              <w:spacing w:line="276" w:lineRule="auto"/>
              <w:rPr>
                <w:rFonts w:cstheme="minorHAnsi"/>
                <w:lang w:val="en-US"/>
              </w:rPr>
            </w:pPr>
            <w:r w:rsidRPr="001D409B">
              <w:rPr>
                <w:rFonts w:cstheme="minorHAnsi"/>
                <w:lang w:val="en-US"/>
              </w:rPr>
              <w:t>KIET Group of Institutions, Ghaziabad, Uttar Pradesh 201206</w:t>
            </w:r>
          </w:p>
        </w:tc>
      </w:tr>
      <w:tr w:rsidR="0022357B" w:rsidRPr="001352BB" w14:paraId="6DA33C1F" w14:textId="77777777" w:rsidTr="009E664E">
        <w:tc>
          <w:tcPr>
            <w:tcW w:w="2310" w:type="dxa"/>
            <w:tcBorders>
              <w:top w:val="single" w:sz="4" w:space="0" w:color="auto"/>
              <w:left w:val="single" w:sz="4" w:space="0" w:color="auto"/>
              <w:bottom w:val="single" w:sz="4" w:space="0" w:color="auto"/>
              <w:right w:val="single" w:sz="4" w:space="0" w:color="auto"/>
            </w:tcBorders>
            <w:hideMark/>
          </w:tcPr>
          <w:p w14:paraId="77462B26" w14:textId="77777777" w:rsidR="0022357B" w:rsidRPr="001D409B" w:rsidRDefault="0022357B" w:rsidP="007D2C81">
            <w:pPr>
              <w:spacing w:line="276" w:lineRule="auto"/>
              <w:rPr>
                <w:rFonts w:cstheme="minorHAnsi"/>
                <w:lang w:val="en-US"/>
              </w:rPr>
            </w:pPr>
            <w:r w:rsidRPr="001D409B">
              <w:rPr>
                <w:rFonts w:cstheme="minorHAnsi"/>
                <w:lang w:val="en-US"/>
              </w:rPr>
              <w:t>Akshat Jain</w:t>
            </w:r>
          </w:p>
        </w:tc>
        <w:tc>
          <w:tcPr>
            <w:tcW w:w="1513" w:type="dxa"/>
            <w:tcBorders>
              <w:top w:val="single" w:sz="4" w:space="0" w:color="auto"/>
              <w:left w:val="single" w:sz="4" w:space="0" w:color="auto"/>
              <w:bottom w:val="single" w:sz="4" w:space="0" w:color="auto"/>
              <w:right w:val="single" w:sz="4" w:space="0" w:color="auto"/>
            </w:tcBorders>
            <w:hideMark/>
          </w:tcPr>
          <w:p w14:paraId="59F23D99" w14:textId="77777777" w:rsidR="0022357B" w:rsidRPr="001D409B" w:rsidRDefault="0022357B" w:rsidP="007D2C81">
            <w:pPr>
              <w:spacing w:line="276" w:lineRule="auto"/>
              <w:rPr>
                <w:rFonts w:cstheme="minorHAnsi"/>
                <w:lang w:val="en-US"/>
              </w:rPr>
            </w:pPr>
            <w:r w:rsidRPr="001D409B">
              <w:rPr>
                <w:rFonts w:cstheme="minorHAnsi"/>
                <w:lang w:val="en-US"/>
              </w:rPr>
              <w:t>Indian</w:t>
            </w:r>
          </w:p>
        </w:tc>
        <w:tc>
          <w:tcPr>
            <w:tcW w:w="1701" w:type="dxa"/>
            <w:tcBorders>
              <w:top w:val="single" w:sz="4" w:space="0" w:color="auto"/>
              <w:left w:val="single" w:sz="4" w:space="0" w:color="auto"/>
              <w:bottom w:val="single" w:sz="4" w:space="0" w:color="auto"/>
              <w:right w:val="single" w:sz="4" w:space="0" w:color="auto"/>
            </w:tcBorders>
            <w:hideMark/>
          </w:tcPr>
          <w:p w14:paraId="3D320CE5" w14:textId="77777777" w:rsidR="0022357B" w:rsidRPr="001D409B" w:rsidRDefault="0022357B" w:rsidP="007D2C81">
            <w:pPr>
              <w:spacing w:line="276" w:lineRule="auto"/>
              <w:rPr>
                <w:rFonts w:cstheme="minorHAnsi"/>
                <w:lang w:val="en-US"/>
              </w:rPr>
            </w:pPr>
            <w:r w:rsidRPr="001D409B">
              <w:rPr>
                <w:rFonts w:cstheme="minorHAnsi"/>
                <w:lang w:val="en-US"/>
              </w:rPr>
              <w:t>India</w:t>
            </w:r>
          </w:p>
        </w:tc>
        <w:tc>
          <w:tcPr>
            <w:tcW w:w="3716" w:type="dxa"/>
            <w:tcBorders>
              <w:top w:val="single" w:sz="4" w:space="0" w:color="auto"/>
              <w:left w:val="single" w:sz="4" w:space="0" w:color="auto"/>
              <w:bottom w:val="single" w:sz="4" w:space="0" w:color="auto"/>
              <w:right w:val="single" w:sz="4" w:space="0" w:color="auto"/>
            </w:tcBorders>
            <w:hideMark/>
          </w:tcPr>
          <w:p w14:paraId="44257FC3" w14:textId="77777777" w:rsidR="0022357B" w:rsidRPr="001D409B" w:rsidRDefault="0022357B" w:rsidP="007D2C81">
            <w:pPr>
              <w:spacing w:line="276" w:lineRule="auto"/>
              <w:rPr>
                <w:rFonts w:cstheme="minorHAnsi"/>
                <w:lang w:val="en-US"/>
              </w:rPr>
            </w:pPr>
            <w:r w:rsidRPr="001D409B">
              <w:rPr>
                <w:rFonts w:cstheme="minorHAnsi"/>
                <w:lang w:val="en-US"/>
              </w:rPr>
              <w:t>KIET Group of Institutions, Ghaziabad, Uttar Pradesh 201206.</w:t>
            </w:r>
          </w:p>
        </w:tc>
      </w:tr>
      <w:tr w:rsidR="0022357B" w:rsidRPr="001352BB" w14:paraId="357EE91F" w14:textId="77777777" w:rsidTr="009E664E">
        <w:tc>
          <w:tcPr>
            <w:tcW w:w="2310" w:type="dxa"/>
            <w:tcBorders>
              <w:top w:val="single" w:sz="4" w:space="0" w:color="auto"/>
              <w:left w:val="single" w:sz="4" w:space="0" w:color="auto"/>
              <w:bottom w:val="single" w:sz="4" w:space="0" w:color="auto"/>
              <w:right w:val="single" w:sz="4" w:space="0" w:color="auto"/>
            </w:tcBorders>
            <w:hideMark/>
          </w:tcPr>
          <w:p w14:paraId="2A465AC3" w14:textId="77777777" w:rsidR="0022357B" w:rsidRPr="001D409B" w:rsidRDefault="0022357B" w:rsidP="007D2C81">
            <w:pPr>
              <w:spacing w:line="276" w:lineRule="auto"/>
              <w:rPr>
                <w:rFonts w:cstheme="minorHAnsi"/>
                <w:lang w:val="en-US"/>
              </w:rPr>
            </w:pPr>
            <w:r w:rsidRPr="001D409B">
              <w:rPr>
                <w:rFonts w:cstheme="minorHAnsi"/>
                <w:lang w:val="en-US"/>
              </w:rPr>
              <w:t>Aaditiya Tyagi</w:t>
            </w:r>
          </w:p>
        </w:tc>
        <w:tc>
          <w:tcPr>
            <w:tcW w:w="1513" w:type="dxa"/>
            <w:tcBorders>
              <w:top w:val="single" w:sz="4" w:space="0" w:color="auto"/>
              <w:left w:val="single" w:sz="4" w:space="0" w:color="auto"/>
              <w:bottom w:val="single" w:sz="4" w:space="0" w:color="auto"/>
              <w:right w:val="single" w:sz="4" w:space="0" w:color="auto"/>
            </w:tcBorders>
            <w:hideMark/>
          </w:tcPr>
          <w:p w14:paraId="6814BB16" w14:textId="77777777" w:rsidR="0022357B" w:rsidRPr="001D409B" w:rsidRDefault="0022357B" w:rsidP="007D2C81">
            <w:pPr>
              <w:spacing w:line="276" w:lineRule="auto"/>
              <w:rPr>
                <w:rFonts w:cstheme="minorHAnsi"/>
                <w:lang w:val="en-US"/>
              </w:rPr>
            </w:pPr>
            <w:r w:rsidRPr="001D409B">
              <w:rPr>
                <w:rFonts w:cstheme="minorHAnsi"/>
                <w:lang w:val="en-US"/>
              </w:rPr>
              <w:t>Indian</w:t>
            </w:r>
          </w:p>
        </w:tc>
        <w:tc>
          <w:tcPr>
            <w:tcW w:w="1701" w:type="dxa"/>
            <w:tcBorders>
              <w:top w:val="single" w:sz="4" w:space="0" w:color="auto"/>
              <w:left w:val="single" w:sz="4" w:space="0" w:color="auto"/>
              <w:bottom w:val="single" w:sz="4" w:space="0" w:color="auto"/>
              <w:right w:val="single" w:sz="4" w:space="0" w:color="auto"/>
            </w:tcBorders>
            <w:hideMark/>
          </w:tcPr>
          <w:p w14:paraId="7E5A296F" w14:textId="77777777" w:rsidR="0022357B" w:rsidRPr="001D409B" w:rsidRDefault="0022357B" w:rsidP="007D2C81">
            <w:pPr>
              <w:spacing w:line="276" w:lineRule="auto"/>
              <w:rPr>
                <w:rFonts w:cstheme="minorHAnsi"/>
                <w:lang w:val="en-US"/>
              </w:rPr>
            </w:pPr>
            <w:r w:rsidRPr="001D409B">
              <w:rPr>
                <w:rFonts w:cstheme="minorHAnsi"/>
                <w:lang w:val="en-US"/>
              </w:rPr>
              <w:t>India</w:t>
            </w:r>
          </w:p>
        </w:tc>
        <w:tc>
          <w:tcPr>
            <w:tcW w:w="3716" w:type="dxa"/>
            <w:tcBorders>
              <w:top w:val="single" w:sz="4" w:space="0" w:color="auto"/>
              <w:left w:val="single" w:sz="4" w:space="0" w:color="auto"/>
              <w:bottom w:val="single" w:sz="4" w:space="0" w:color="auto"/>
              <w:right w:val="single" w:sz="4" w:space="0" w:color="auto"/>
            </w:tcBorders>
            <w:hideMark/>
          </w:tcPr>
          <w:p w14:paraId="63F47D7C" w14:textId="77777777" w:rsidR="0022357B" w:rsidRPr="001D409B" w:rsidRDefault="0022357B" w:rsidP="007D2C81">
            <w:pPr>
              <w:spacing w:line="276" w:lineRule="auto"/>
              <w:rPr>
                <w:rFonts w:cstheme="minorHAnsi"/>
                <w:lang w:val="en-US"/>
              </w:rPr>
            </w:pPr>
            <w:r w:rsidRPr="001D409B">
              <w:rPr>
                <w:rFonts w:cstheme="minorHAnsi"/>
                <w:lang w:val="en-US"/>
              </w:rPr>
              <w:t>KIET Group of Institutions, Ghaziabad, Uttar Pradesh 201206</w:t>
            </w:r>
          </w:p>
        </w:tc>
      </w:tr>
      <w:tr w:rsidR="0022357B" w:rsidRPr="001352BB" w14:paraId="757EA2A3" w14:textId="77777777" w:rsidTr="009E664E">
        <w:tc>
          <w:tcPr>
            <w:tcW w:w="2310" w:type="dxa"/>
            <w:tcBorders>
              <w:top w:val="single" w:sz="4" w:space="0" w:color="auto"/>
              <w:left w:val="single" w:sz="4" w:space="0" w:color="auto"/>
              <w:bottom w:val="single" w:sz="4" w:space="0" w:color="auto"/>
              <w:right w:val="single" w:sz="4" w:space="0" w:color="auto"/>
            </w:tcBorders>
            <w:hideMark/>
          </w:tcPr>
          <w:p w14:paraId="60C21364" w14:textId="77777777" w:rsidR="0022357B" w:rsidRPr="001D409B" w:rsidRDefault="0022357B" w:rsidP="007D2C81">
            <w:pPr>
              <w:spacing w:line="276" w:lineRule="auto"/>
              <w:rPr>
                <w:rFonts w:cstheme="minorHAnsi"/>
                <w:lang w:val="en-US"/>
              </w:rPr>
            </w:pPr>
            <w:r w:rsidRPr="001D409B">
              <w:rPr>
                <w:rFonts w:cstheme="minorHAnsi"/>
                <w:lang w:val="en-US"/>
              </w:rPr>
              <w:t>Ankit Chaudhary</w:t>
            </w:r>
          </w:p>
        </w:tc>
        <w:tc>
          <w:tcPr>
            <w:tcW w:w="1513" w:type="dxa"/>
            <w:tcBorders>
              <w:top w:val="single" w:sz="4" w:space="0" w:color="auto"/>
              <w:left w:val="single" w:sz="4" w:space="0" w:color="auto"/>
              <w:bottom w:val="single" w:sz="4" w:space="0" w:color="auto"/>
              <w:right w:val="single" w:sz="4" w:space="0" w:color="auto"/>
            </w:tcBorders>
            <w:hideMark/>
          </w:tcPr>
          <w:p w14:paraId="106EC7F6" w14:textId="77777777" w:rsidR="0022357B" w:rsidRPr="001D409B" w:rsidRDefault="0022357B" w:rsidP="007D2C81">
            <w:pPr>
              <w:spacing w:line="276" w:lineRule="auto"/>
              <w:rPr>
                <w:rFonts w:cstheme="minorHAnsi"/>
                <w:lang w:val="en-US"/>
              </w:rPr>
            </w:pPr>
            <w:r w:rsidRPr="001D409B">
              <w:rPr>
                <w:rFonts w:cstheme="minorHAnsi"/>
                <w:lang w:val="en-US"/>
              </w:rPr>
              <w:t>Indian</w:t>
            </w:r>
          </w:p>
        </w:tc>
        <w:tc>
          <w:tcPr>
            <w:tcW w:w="1701" w:type="dxa"/>
            <w:tcBorders>
              <w:top w:val="single" w:sz="4" w:space="0" w:color="auto"/>
              <w:left w:val="single" w:sz="4" w:space="0" w:color="auto"/>
              <w:bottom w:val="single" w:sz="4" w:space="0" w:color="auto"/>
              <w:right w:val="single" w:sz="4" w:space="0" w:color="auto"/>
            </w:tcBorders>
            <w:hideMark/>
          </w:tcPr>
          <w:p w14:paraId="04F9D9AD" w14:textId="77777777" w:rsidR="0022357B" w:rsidRPr="001D409B" w:rsidRDefault="0022357B" w:rsidP="007D2C81">
            <w:pPr>
              <w:spacing w:line="276" w:lineRule="auto"/>
              <w:rPr>
                <w:rFonts w:cstheme="minorHAnsi"/>
                <w:lang w:val="en-US"/>
              </w:rPr>
            </w:pPr>
            <w:r w:rsidRPr="001D409B">
              <w:rPr>
                <w:rFonts w:cstheme="minorHAnsi"/>
                <w:lang w:val="en-US"/>
              </w:rPr>
              <w:t>India</w:t>
            </w:r>
          </w:p>
        </w:tc>
        <w:tc>
          <w:tcPr>
            <w:tcW w:w="3716" w:type="dxa"/>
            <w:tcBorders>
              <w:top w:val="single" w:sz="4" w:space="0" w:color="auto"/>
              <w:left w:val="single" w:sz="4" w:space="0" w:color="auto"/>
              <w:bottom w:val="single" w:sz="4" w:space="0" w:color="auto"/>
              <w:right w:val="single" w:sz="4" w:space="0" w:color="auto"/>
            </w:tcBorders>
            <w:hideMark/>
          </w:tcPr>
          <w:p w14:paraId="002062E5" w14:textId="77777777" w:rsidR="0022357B" w:rsidRPr="001D409B" w:rsidRDefault="0022357B" w:rsidP="007D2C81">
            <w:pPr>
              <w:spacing w:line="276" w:lineRule="auto"/>
              <w:rPr>
                <w:rFonts w:cstheme="minorHAnsi"/>
                <w:lang w:val="en-US"/>
              </w:rPr>
            </w:pPr>
            <w:r w:rsidRPr="001D409B">
              <w:rPr>
                <w:rFonts w:cstheme="minorHAnsi"/>
                <w:lang w:val="en-US"/>
              </w:rPr>
              <w:t>KIET Group of Institutions, Ghaziabad, Uttar Pradesh 201206.</w:t>
            </w:r>
          </w:p>
        </w:tc>
      </w:tr>
    </w:tbl>
    <w:p w14:paraId="416A07F1" w14:textId="77777777" w:rsidR="0022357B" w:rsidRPr="001352BB" w:rsidRDefault="0022357B" w:rsidP="007D2C81">
      <w:pPr>
        <w:spacing w:line="276" w:lineRule="auto"/>
        <w:rPr>
          <w:rFonts w:cstheme="minorHAnsi"/>
          <w:lang w:val="en-US"/>
        </w:rPr>
      </w:pPr>
    </w:p>
    <w:p w14:paraId="13CC0071" w14:textId="0EC9ED3F" w:rsidR="0022357B" w:rsidRPr="001D409B" w:rsidRDefault="00FD2FAB" w:rsidP="007D2C81">
      <w:pPr>
        <w:spacing w:line="276" w:lineRule="auto"/>
        <w:rPr>
          <w:rFonts w:cstheme="minorHAnsi"/>
          <w:sz w:val="26"/>
          <w:szCs w:val="26"/>
          <w:lang w:val="en-US"/>
        </w:rPr>
      </w:pPr>
      <w:r w:rsidRPr="001D409B">
        <w:rPr>
          <w:rFonts w:cstheme="minorHAnsi"/>
          <w:sz w:val="26"/>
          <w:szCs w:val="26"/>
          <w:lang w:val="en-US"/>
        </w:rPr>
        <w:t>1.Proposed Title</w:t>
      </w:r>
    </w:p>
    <w:p w14:paraId="3D0DD7F7" w14:textId="0C5512D8" w:rsidR="00FD2FAB" w:rsidRPr="001D409B" w:rsidRDefault="00BA06B7" w:rsidP="007D2C81">
      <w:pPr>
        <w:spacing w:line="276" w:lineRule="auto"/>
        <w:rPr>
          <w:rFonts w:cstheme="minorHAnsi"/>
        </w:rPr>
      </w:pPr>
      <w:r w:rsidRPr="001D409B">
        <w:rPr>
          <w:rFonts w:cstheme="minorHAnsi"/>
        </w:rPr>
        <w:t>E-Portal for Case Management Hearing and Facilitation of Legal Proceedings.</w:t>
      </w:r>
    </w:p>
    <w:p w14:paraId="2B8932DF" w14:textId="77777777" w:rsidR="007D2C81" w:rsidRPr="001352BB" w:rsidRDefault="007D2C81" w:rsidP="007D2C81">
      <w:pPr>
        <w:spacing w:line="276" w:lineRule="auto"/>
        <w:rPr>
          <w:rFonts w:cstheme="minorHAnsi"/>
        </w:rPr>
      </w:pPr>
    </w:p>
    <w:p w14:paraId="16DD9C92" w14:textId="7C88DDFF" w:rsidR="00BA06B7" w:rsidRPr="001D409B" w:rsidRDefault="00BA06B7" w:rsidP="007D2C81">
      <w:pPr>
        <w:spacing w:line="276" w:lineRule="auto"/>
        <w:rPr>
          <w:rFonts w:cstheme="minorHAnsi"/>
          <w:sz w:val="26"/>
          <w:szCs w:val="26"/>
        </w:rPr>
      </w:pPr>
      <w:r w:rsidRPr="001D409B">
        <w:rPr>
          <w:rFonts w:cstheme="minorHAnsi"/>
          <w:sz w:val="26"/>
          <w:szCs w:val="26"/>
        </w:rPr>
        <w:t>2.Field of Invention</w:t>
      </w:r>
    </w:p>
    <w:p w14:paraId="4D951F67" w14:textId="7295DB17" w:rsidR="00BA06B7" w:rsidRPr="001D409B" w:rsidRDefault="00247DE7" w:rsidP="007D2C81">
      <w:pPr>
        <w:spacing w:line="276" w:lineRule="auto"/>
        <w:jc w:val="both"/>
        <w:rPr>
          <w:rFonts w:cstheme="minorHAnsi"/>
          <w:lang w:val="en-US"/>
        </w:rPr>
      </w:pPr>
      <w:r w:rsidRPr="001D409B">
        <w:rPr>
          <w:rFonts w:cstheme="minorHAnsi"/>
        </w:rPr>
        <w:t>This invention falls under digital case management and legal proceedings. In this regard, it deals with an electronic portal designed to automate the management of court hearings, case filing, document submission, status tracking, and role-based access integrated for litigants</w:t>
      </w:r>
      <w:r w:rsidR="005114E2" w:rsidRPr="001D409B">
        <w:rPr>
          <w:rFonts w:cstheme="minorHAnsi"/>
        </w:rPr>
        <w:t xml:space="preserve">. </w:t>
      </w:r>
      <w:r w:rsidRPr="001D409B">
        <w:rPr>
          <w:rFonts w:cstheme="minorHAnsi"/>
        </w:rPr>
        <w:t>lawyers, judges, court staff, and administrators.</w:t>
      </w:r>
      <w:r w:rsidR="00496C9C" w:rsidRPr="001D409B">
        <w:rPr>
          <w:rFonts w:cstheme="minorHAnsi"/>
        </w:rPr>
        <w:br/>
      </w:r>
    </w:p>
    <w:p w14:paraId="5E1C9536" w14:textId="7BB78AAF" w:rsidR="003F7111" w:rsidRPr="000846C9" w:rsidRDefault="008C66DF" w:rsidP="007D2C81">
      <w:pPr>
        <w:spacing w:line="276" w:lineRule="auto"/>
        <w:jc w:val="both"/>
        <w:rPr>
          <w:rFonts w:cstheme="minorHAnsi"/>
          <w:sz w:val="26"/>
          <w:szCs w:val="26"/>
        </w:rPr>
      </w:pPr>
      <w:r w:rsidRPr="000846C9">
        <w:rPr>
          <w:rFonts w:cstheme="minorHAnsi"/>
          <w:sz w:val="26"/>
          <w:szCs w:val="26"/>
        </w:rPr>
        <w:t>3.</w:t>
      </w:r>
      <w:r w:rsidR="00733D07" w:rsidRPr="000846C9">
        <w:rPr>
          <w:rFonts w:cstheme="minorHAnsi"/>
          <w:sz w:val="26"/>
          <w:szCs w:val="26"/>
        </w:rPr>
        <w:t>Backg</w:t>
      </w:r>
      <w:r w:rsidR="00416870" w:rsidRPr="000846C9">
        <w:rPr>
          <w:rFonts w:cstheme="minorHAnsi"/>
          <w:sz w:val="26"/>
          <w:szCs w:val="26"/>
        </w:rPr>
        <w:t xml:space="preserve">round </w:t>
      </w:r>
      <w:r w:rsidR="00CC3B08" w:rsidRPr="000846C9">
        <w:rPr>
          <w:rFonts w:cstheme="minorHAnsi"/>
          <w:sz w:val="26"/>
          <w:szCs w:val="26"/>
        </w:rPr>
        <w:t>(Reason to Work)</w:t>
      </w:r>
    </w:p>
    <w:p w14:paraId="623FF13F" w14:textId="1E390C07" w:rsidR="00CC3B08" w:rsidRPr="001D409B" w:rsidRDefault="00C00FEE" w:rsidP="007D2C81">
      <w:pPr>
        <w:spacing w:line="276" w:lineRule="auto"/>
        <w:jc w:val="both"/>
        <w:rPr>
          <w:rFonts w:cstheme="minorHAnsi"/>
        </w:rPr>
      </w:pPr>
      <w:r w:rsidRPr="001D409B">
        <w:rPr>
          <w:rFonts w:cstheme="minorHAnsi"/>
        </w:rPr>
        <w:t xml:space="preserve">The courts use mainly manual case management. Those include issues like delay and back-log, where access to justice seems not guaranteed. All these are manifestations of paper-work, in-person interaction, and errors made in the tracking of the case status. Such manual processes decrease the accessibility of litigant justice since a litigant is at the inevitable mercy of complexity about managing cases. An automated, transparent, and accessible digital solution is necessary to address these issues. This invention shall try to make the entire process of case management streamlined because it digitizes it while being more efficient, transparent, and delay-free, hence reaching justice quicker and easier. The system would also provide real-time updates and improve the overall flow of information, ensuring that all involved parties, including lawyers, clients, and court staff, can collaborate more effectively. By minimizing human </w:t>
      </w:r>
      <w:r w:rsidRPr="001D409B">
        <w:rPr>
          <w:rFonts w:cstheme="minorHAnsi"/>
        </w:rPr>
        <w:lastRenderedPageBreak/>
        <w:t>errors and reducing the dependence on physical documents, this solution could revolutionize the judicial system, offering both speed and accuracy.</w:t>
      </w:r>
    </w:p>
    <w:p w14:paraId="1746BB83" w14:textId="77777777" w:rsidR="00C00FEE" w:rsidRPr="001D409B" w:rsidRDefault="00C00FEE" w:rsidP="007D2C81">
      <w:pPr>
        <w:spacing w:line="276" w:lineRule="auto"/>
        <w:jc w:val="both"/>
        <w:rPr>
          <w:rFonts w:cstheme="minorHAnsi"/>
        </w:rPr>
      </w:pPr>
    </w:p>
    <w:p w14:paraId="2D2BC94C" w14:textId="560E58AC" w:rsidR="00784558" w:rsidRPr="000846C9" w:rsidRDefault="00784558" w:rsidP="007D2C81">
      <w:pPr>
        <w:spacing w:line="276" w:lineRule="auto"/>
        <w:jc w:val="both"/>
        <w:rPr>
          <w:rFonts w:cstheme="minorHAnsi"/>
          <w:sz w:val="26"/>
          <w:szCs w:val="26"/>
        </w:rPr>
      </w:pPr>
      <w:r w:rsidRPr="000846C9">
        <w:rPr>
          <w:rFonts w:cstheme="minorHAnsi"/>
          <w:sz w:val="26"/>
          <w:szCs w:val="26"/>
        </w:rPr>
        <w:t xml:space="preserve">4.Differentiate with other works </w:t>
      </w:r>
    </w:p>
    <w:p w14:paraId="406F02BE" w14:textId="77777777" w:rsidR="001E7913" w:rsidRPr="001D409B" w:rsidRDefault="0034178F" w:rsidP="007D2C81">
      <w:pPr>
        <w:spacing w:line="276" w:lineRule="auto"/>
        <w:jc w:val="both"/>
        <w:rPr>
          <w:rFonts w:cstheme="minorHAnsi"/>
        </w:rPr>
      </w:pPr>
      <w:r w:rsidRPr="001D409B">
        <w:rPr>
          <w:rFonts w:cstheme="minorHAnsi"/>
        </w:rPr>
        <w:t>Unlike any other case management system, this innovation is an all-in-one solution. The automatically created workflow forms shall address the role of the litigant, lawyer, judge, court staff, and administrator. This innovation contains the following:</w:t>
      </w:r>
    </w:p>
    <w:p w14:paraId="38D8F0A1" w14:textId="6712E6CB" w:rsidR="00E27C0A" w:rsidRPr="001D409B" w:rsidRDefault="00E27C0A" w:rsidP="007D2C81">
      <w:pPr>
        <w:spacing w:line="276" w:lineRule="auto"/>
        <w:jc w:val="both"/>
        <w:rPr>
          <w:rFonts w:cstheme="minorHAnsi"/>
        </w:rPr>
      </w:pPr>
      <w:r w:rsidRPr="001D409B">
        <w:rPr>
          <w:rFonts w:cstheme="minorHAnsi"/>
        </w:rPr>
        <w:t>This system includes a user verification system to ensure proper role-based access. It allows submission and tracking of cases with the capability to upload documents. A pre-hearing settlement option enables discussion of the case before the actual hearing process. The system provides automatic alerts for schedules and updates related to hearings. It incorporates data analysis tools to generate performance reports and identify trends. Strong security measures, including encryption, audit trails, and adherence to legal requirements, ensure the safety and confidentiality of data. The level of integration, automation, and security offered by this system sets it apart in the marketplace.</w:t>
      </w:r>
    </w:p>
    <w:p w14:paraId="6694DB6C" w14:textId="77777777" w:rsidR="001E7913" w:rsidRPr="001D409B" w:rsidRDefault="001E7913" w:rsidP="007D2C81">
      <w:pPr>
        <w:spacing w:line="276" w:lineRule="auto"/>
        <w:jc w:val="both"/>
        <w:rPr>
          <w:rFonts w:cstheme="minorHAnsi"/>
        </w:rPr>
      </w:pPr>
    </w:p>
    <w:p w14:paraId="4D03CE66" w14:textId="3B03955B" w:rsidR="00E27C0A" w:rsidRPr="000846C9" w:rsidRDefault="00E24DCE" w:rsidP="007D2C81">
      <w:pPr>
        <w:spacing w:line="276" w:lineRule="auto"/>
        <w:jc w:val="both"/>
        <w:rPr>
          <w:rFonts w:cstheme="minorHAnsi"/>
          <w:sz w:val="26"/>
          <w:szCs w:val="26"/>
        </w:rPr>
      </w:pPr>
      <w:r w:rsidRPr="000846C9">
        <w:rPr>
          <w:rFonts w:cstheme="minorHAnsi"/>
          <w:sz w:val="26"/>
          <w:szCs w:val="26"/>
        </w:rPr>
        <w:t xml:space="preserve">5.Objectives </w:t>
      </w:r>
    </w:p>
    <w:p w14:paraId="0733FB3E" w14:textId="77777777" w:rsidR="00346709" w:rsidRPr="001D409B" w:rsidRDefault="00346709" w:rsidP="007D2C81">
      <w:pPr>
        <w:spacing w:line="276" w:lineRule="auto"/>
        <w:jc w:val="both"/>
        <w:rPr>
          <w:rFonts w:cstheme="minorHAnsi"/>
        </w:rPr>
      </w:pPr>
      <w:r w:rsidRPr="00346709">
        <w:rPr>
          <w:rFonts w:cstheme="minorHAnsi"/>
        </w:rPr>
        <w:t>Case management would be automated. The backlog and the delays would be discontinued. Role-based access to the system would increase transparency and security. Automated alerts and notifications would be triggered for any hearing schedule and status change of a case. Settlement of cases would occur before formal hearings. The system would enable data-driven decisions through performance monitoring and analytics tools.</w:t>
      </w:r>
    </w:p>
    <w:p w14:paraId="1D7794ED" w14:textId="77777777" w:rsidR="001E7913" w:rsidRPr="00346709" w:rsidRDefault="001E7913" w:rsidP="007D2C81">
      <w:pPr>
        <w:spacing w:line="276" w:lineRule="auto"/>
        <w:jc w:val="both"/>
        <w:rPr>
          <w:rFonts w:cstheme="minorHAnsi"/>
        </w:rPr>
      </w:pPr>
    </w:p>
    <w:p w14:paraId="07E4D3C8" w14:textId="2D19B43E" w:rsidR="00E24DCE" w:rsidRPr="000846C9" w:rsidRDefault="00846387" w:rsidP="007D2C81">
      <w:pPr>
        <w:spacing w:line="276" w:lineRule="auto"/>
        <w:jc w:val="both"/>
        <w:rPr>
          <w:rFonts w:cstheme="minorHAnsi"/>
          <w:sz w:val="26"/>
          <w:szCs w:val="26"/>
        </w:rPr>
      </w:pPr>
      <w:r w:rsidRPr="000846C9">
        <w:rPr>
          <w:rFonts w:cstheme="minorHAnsi"/>
          <w:sz w:val="26"/>
          <w:szCs w:val="26"/>
        </w:rPr>
        <w:t xml:space="preserve">6.Drawing </w:t>
      </w:r>
    </w:p>
    <w:p w14:paraId="6CE90FDC" w14:textId="0682454B" w:rsidR="008D3542" w:rsidRPr="001D409B" w:rsidRDefault="008D3542" w:rsidP="007D2C81">
      <w:pPr>
        <w:spacing w:line="276" w:lineRule="auto"/>
        <w:jc w:val="both"/>
        <w:rPr>
          <w:rFonts w:cstheme="minorHAnsi"/>
        </w:rPr>
      </w:pPr>
      <w:r w:rsidRPr="001D409B">
        <w:rPr>
          <w:rFonts w:cstheme="minorHAnsi"/>
          <w:noProof/>
        </w:rPr>
        <w:lastRenderedPageBreak/>
        <w:drawing>
          <wp:inline distT="0" distB="0" distL="0" distR="0" wp14:anchorId="41842BD0" wp14:editId="5DA4B13F">
            <wp:extent cx="5276850" cy="8591550"/>
            <wp:effectExtent l="0" t="0" r="0" b="0"/>
            <wp:docPr id="95686276"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6276" name="Picture 1" descr="A diagram of a company&#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7815" cy="8593121"/>
                    </a:xfrm>
                    <a:prstGeom prst="rect">
                      <a:avLst/>
                    </a:prstGeom>
                    <a:noFill/>
                    <a:ln>
                      <a:noFill/>
                    </a:ln>
                  </pic:spPr>
                </pic:pic>
              </a:graphicData>
            </a:graphic>
          </wp:inline>
        </w:drawing>
      </w:r>
    </w:p>
    <w:p w14:paraId="09D4B3F5" w14:textId="687C98C0" w:rsidR="008D3542" w:rsidRPr="000846C9" w:rsidRDefault="008D3542" w:rsidP="007D2C81">
      <w:pPr>
        <w:spacing w:line="276" w:lineRule="auto"/>
        <w:jc w:val="both"/>
        <w:rPr>
          <w:rFonts w:cstheme="minorHAnsi"/>
          <w:sz w:val="26"/>
          <w:szCs w:val="26"/>
        </w:rPr>
      </w:pPr>
      <w:r w:rsidRPr="000846C9">
        <w:rPr>
          <w:rFonts w:cstheme="minorHAnsi"/>
          <w:sz w:val="26"/>
          <w:szCs w:val="26"/>
        </w:rPr>
        <w:lastRenderedPageBreak/>
        <w:t>7.Cases</w:t>
      </w:r>
      <w:r w:rsidR="00EA3239" w:rsidRPr="000846C9">
        <w:rPr>
          <w:rFonts w:cstheme="minorHAnsi"/>
          <w:sz w:val="26"/>
          <w:szCs w:val="26"/>
        </w:rPr>
        <w:t xml:space="preserve"> </w:t>
      </w:r>
      <w:r w:rsidRPr="000846C9">
        <w:rPr>
          <w:rFonts w:cstheme="minorHAnsi"/>
          <w:sz w:val="26"/>
          <w:szCs w:val="26"/>
        </w:rPr>
        <w:t>(New/Innovative concepts)</w:t>
      </w:r>
    </w:p>
    <w:p w14:paraId="678C6E6E" w14:textId="77777777" w:rsidR="00003520" w:rsidRPr="001D409B" w:rsidRDefault="00003520" w:rsidP="007D2C81">
      <w:pPr>
        <w:spacing w:line="276" w:lineRule="auto"/>
        <w:jc w:val="both"/>
        <w:rPr>
          <w:rFonts w:cstheme="minorHAnsi"/>
        </w:rPr>
      </w:pPr>
      <w:r w:rsidRPr="001D409B">
        <w:rPr>
          <w:rFonts w:cstheme="minorHAnsi"/>
        </w:rPr>
        <w:t>Digital case management system with automatic workflows in filing cases, fixing for hearings, and tracking of documents.</w:t>
      </w:r>
      <w:r w:rsidRPr="001D409B">
        <w:rPr>
          <w:rFonts w:cstheme="minorHAnsi"/>
        </w:rPr>
        <w:br/>
        <w:t>User verification system where access is allowed with the specified roles of a litigant, lawyer, judge, clerk, or administrator for security and confidentiality.</w:t>
      </w:r>
      <w:r w:rsidRPr="001D409B">
        <w:rPr>
          <w:rFonts w:cstheme="minorHAnsi"/>
        </w:rPr>
        <w:br/>
        <w:t>Automated alerts and notices to both parties for a status update on the case, as well as the scheduled hearing date.</w:t>
      </w:r>
      <w:r w:rsidRPr="001D409B">
        <w:rPr>
          <w:rFonts w:cstheme="minorHAnsi"/>
        </w:rPr>
        <w:br/>
        <w:t>A pre-hearing settlement feature that will enable parties to seek solutions outside the courtroom prior to formal court hearings.</w:t>
      </w:r>
      <w:r w:rsidRPr="001D409B">
        <w:rPr>
          <w:rFonts w:cstheme="minorHAnsi"/>
        </w:rPr>
        <w:br/>
        <w:t>Analytics and reporting tools to allow data tracking of case trends and performance decisions.</w:t>
      </w:r>
    </w:p>
    <w:p w14:paraId="40745611" w14:textId="77777777" w:rsidR="001E7913" w:rsidRPr="001D409B" w:rsidRDefault="001E7913" w:rsidP="007D2C81">
      <w:pPr>
        <w:spacing w:line="276" w:lineRule="auto"/>
        <w:jc w:val="both"/>
        <w:rPr>
          <w:rFonts w:cstheme="minorHAnsi"/>
        </w:rPr>
      </w:pPr>
    </w:p>
    <w:p w14:paraId="70A03817" w14:textId="2F888009" w:rsidR="00EA3239" w:rsidRPr="000846C9" w:rsidRDefault="00EA3239" w:rsidP="007D2C81">
      <w:pPr>
        <w:spacing w:line="276" w:lineRule="auto"/>
        <w:jc w:val="both"/>
        <w:rPr>
          <w:rFonts w:cstheme="minorHAnsi"/>
          <w:sz w:val="26"/>
          <w:szCs w:val="26"/>
        </w:rPr>
      </w:pPr>
      <w:r w:rsidRPr="000846C9">
        <w:rPr>
          <w:rFonts w:cstheme="minorHAnsi"/>
          <w:sz w:val="26"/>
          <w:szCs w:val="26"/>
        </w:rPr>
        <w:t>8.Apparatus</w:t>
      </w:r>
      <w:r w:rsidR="002672BB" w:rsidRPr="000846C9">
        <w:rPr>
          <w:rFonts w:cstheme="minorHAnsi"/>
          <w:sz w:val="26"/>
          <w:szCs w:val="26"/>
        </w:rPr>
        <w:t>/Technology Used (hardware / Software)</w:t>
      </w:r>
    </w:p>
    <w:p w14:paraId="2086ECBB" w14:textId="29B26CC3" w:rsidR="002672BB" w:rsidRPr="000846C9" w:rsidRDefault="002672BB" w:rsidP="007D2C81">
      <w:pPr>
        <w:spacing w:line="276" w:lineRule="auto"/>
        <w:jc w:val="both"/>
        <w:rPr>
          <w:rFonts w:cstheme="minorHAnsi"/>
          <w:sz w:val="25"/>
          <w:szCs w:val="25"/>
        </w:rPr>
      </w:pPr>
      <w:r w:rsidRPr="000846C9">
        <w:rPr>
          <w:rFonts w:cstheme="minorHAnsi"/>
          <w:sz w:val="25"/>
          <w:szCs w:val="25"/>
        </w:rPr>
        <w:t>Hardware:</w:t>
      </w:r>
    </w:p>
    <w:p w14:paraId="7C68702E" w14:textId="5053DFE4" w:rsidR="00EA3239" w:rsidRPr="001D409B" w:rsidRDefault="00DE147D" w:rsidP="007D2C81">
      <w:pPr>
        <w:spacing w:line="276" w:lineRule="auto"/>
        <w:jc w:val="both"/>
        <w:rPr>
          <w:rFonts w:cstheme="minorHAnsi"/>
        </w:rPr>
      </w:pPr>
      <w:r w:rsidRPr="001D409B">
        <w:rPr>
          <w:rFonts w:cstheme="minorHAnsi"/>
        </w:rPr>
        <w:t>Servers for hosting the platform and storing case data. User devices (computers, mobile phones) for accessing the system.</w:t>
      </w:r>
    </w:p>
    <w:p w14:paraId="6CC1D433" w14:textId="63A29DAF" w:rsidR="008D3542" w:rsidRPr="000846C9" w:rsidRDefault="00DE147D" w:rsidP="007D2C81">
      <w:pPr>
        <w:spacing w:line="276" w:lineRule="auto"/>
        <w:jc w:val="both"/>
        <w:rPr>
          <w:rFonts w:cstheme="minorHAnsi"/>
          <w:sz w:val="25"/>
          <w:szCs w:val="25"/>
        </w:rPr>
      </w:pPr>
      <w:r w:rsidRPr="000846C9">
        <w:rPr>
          <w:rFonts w:cstheme="minorHAnsi"/>
          <w:sz w:val="25"/>
          <w:szCs w:val="25"/>
        </w:rPr>
        <w:t>Software:</w:t>
      </w:r>
    </w:p>
    <w:p w14:paraId="34B08967" w14:textId="00BCF726" w:rsidR="00DE147D" w:rsidRPr="001D409B" w:rsidRDefault="00C37465" w:rsidP="007D2C81">
      <w:pPr>
        <w:spacing w:line="276" w:lineRule="auto"/>
        <w:jc w:val="both"/>
        <w:rPr>
          <w:rFonts w:cstheme="minorHAnsi"/>
        </w:rPr>
      </w:pPr>
      <w:r w:rsidRPr="001D409B">
        <w:rPr>
          <w:rFonts w:cstheme="minorHAnsi"/>
        </w:rPr>
        <w:t>A web-based platform made with the latest technologies, such as React and Node.js. A database management system, for example, MySQL or PostgreSQL, for user and case data storage. Security protocols on data transmission via SSL/TLS encryption and access controls based on roles.</w:t>
      </w:r>
    </w:p>
    <w:p w14:paraId="5FBEF4B9" w14:textId="77777777" w:rsidR="001E7913" w:rsidRPr="001D409B" w:rsidRDefault="001E7913" w:rsidP="007D2C81">
      <w:pPr>
        <w:spacing w:line="276" w:lineRule="auto"/>
        <w:jc w:val="both"/>
        <w:rPr>
          <w:rFonts w:cstheme="minorHAnsi"/>
        </w:rPr>
      </w:pPr>
    </w:p>
    <w:p w14:paraId="0BD4D63F" w14:textId="4BC10BC3" w:rsidR="00C37465" w:rsidRPr="000846C9" w:rsidRDefault="009072E0" w:rsidP="007D2C81">
      <w:pPr>
        <w:spacing w:line="276" w:lineRule="auto"/>
        <w:jc w:val="both"/>
        <w:rPr>
          <w:rFonts w:cstheme="minorHAnsi"/>
          <w:sz w:val="26"/>
          <w:szCs w:val="26"/>
        </w:rPr>
      </w:pPr>
      <w:r w:rsidRPr="000846C9">
        <w:rPr>
          <w:rFonts w:cstheme="minorHAnsi"/>
          <w:sz w:val="26"/>
          <w:szCs w:val="26"/>
        </w:rPr>
        <w:t>9.Abstarct</w:t>
      </w:r>
    </w:p>
    <w:p w14:paraId="4626904C" w14:textId="71ECD000" w:rsidR="00C00FEE" w:rsidRPr="001D409B" w:rsidRDefault="000477F3" w:rsidP="007D2C81">
      <w:pPr>
        <w:spacing w:line="276" w:lineRule="auto"/>
        <w:jc w:val="both"/>
        <w:rPr>
          <w:rFonts w:cstheme="minorHAnsi"/>
        </w:rPr>
      </w:pPr>
      <w:r w:rsidRPr="001D409B">
        <w:rPr>
          <w:rFonts w:cstheme="minorHAnsi"/>
        </w:rPr>
        <w:t>The present invention lies in an automated e-portal for case management and a facilitation tool in legal proceedings. Digitizing the traditional case management system, the platform makes it easy to interact with litigants, lawyers, judges, court staff, and administrators based on a role-based access structure, thereby making it easy to manage such processes as filling in cases, submission of documents, scheduling of hearings, and tracking of cases. The portal comes with automated warnings, settlement modes, and analytical datasets that will promote efficiency and proper decision making while upholding transparency. The system is highly secure to respect user data and thus adhere to the regulations in place.</w:t>
      </w:r>
      <w:r w:rsidRPr="001D409B">
        <w:rPr>
          <w:rFonts w:cstheme="minorHAnsi"/>
        </w:rPr>
        <w:br/>
      </w:r>
    </w:p>
    <w:p w14:paraId="43737A4E" w14:textId="5BB7FC2A" w:rsidR="000477F3" w:rsidRPr="000846C9" w:rsidRDefault="000477F3" w:rsidP="007D2C81">
      <w:pPr>
        <w:spacing w:line="276" w:lineRule="auto"/>
        <w:jc w:val="both"/>
        <w:rPr>
          <w:rFonts w:cstheme="minorHAnsi"/>
          <w:sz w:val="26"/>
          <w:szCs w:val="26"/>
        </w:rPr>
      </w:pPr>
      <w:r w:rsidRPr="000846C9">
        <w:rPr>
          <w:rFonts w:cstheme="minorHAnsi"/>
          <w:sz w:val="26"/>
          <w:szCs w:val="26"/>
        </w:rPr>
        <w:t>10. End Users</w:t>
      </w:r>
    </w:p>
    <w:p w14:paraId="250C7D5E" w14:textId="3784DD4A" w:rsidR="000477F3" w:rsidRPr="001D409B" w:rsidRDefault="009037BE" w:rsidP="007D2C81">
      <w:pPr>
        <w:spacing w:line="276" w:lineRule="auto"/>
        <w:jc w:val="both"/>
        <w:rPr>
          <w:rFonts w:cstheme="minorHAnsi"/>
        </w:rPr>
      </w:pPr>
      <w:r w:rsidRPr="001D409B">
        <w:rPr>
          <w:rFonts w:cstheme="minorHAnsi"/>
        </w:rPr>
        <w:t>Litigants: Filer persons; persons for whom cases are filed.</w:t>
      </w:r>
      <w:r w:rsidRPr="001D409B">
        <w:rPr>
          <w:rFonts w:cstheme="minorHAnsi"/>
        </w:rPr>
        <w:br/>
        <w:t>Lawyers: Practicing legal professionals who represent clients.</w:t>
      </w:r>
      <w:r w:rsidRPr="001D409B">
        <w:rPr>
          <w:rFonts w:cstheme="minorHAnsi"/>
        </w:rPr>
        <w:br/>
        <w:t>Judicial Officers: People responsible for delivering judgments.</w:t>
      </w:r>
      <w:r w:rsidRPr="001D409B">
        <w:rPr>
          <w:rFonts w:cstheme="minorHAnsi"/>
        </w:rPr>
        <w:br/>
      </w:r>
      <w:r w:rsidRPr="001D409B">
        <w:rPr>
          <w:rFonts w:cstheme="minorHAnsi"/>
        </w:rPr>
        <w:lastRenderedPageBreak/>
        <w:t>Court Staff: Administrative people who take care of case documents, schedules, among other tasks.</w:t>
      </w:r>
    </w:p>
    <w:p w14:paraId="56697FE8" w14:textId="77777777" w:rsidR="00C00FEE" w:rsidRPr="001D409B" w:rsidRDefault="00C00FEE" w:rsidP="007D2C81">
      <w:pPr>
        <w:spacing w:line="276" w:lineRule="auto"/>
        <w:jc w:val="both"/>
        <w:rPr>
          <w:rFonts w:cstheme="minorHAnsi"/>
        </w:rPr>
      </w:pPr>
    </w:p>
    <w:p w14:paraId="01934A60" w14:textId="164600D9" w:rsidR="00DA525E" w:rsidRPr="000846C9" w:rsidRDefault="00BD3210" w:rsidP="007D2C81">
      <w:pPr>
        <w:spacing w:line="276" w:lineRule="auto"/>
        <w:jc w:val="both"/>
        <w:rPr>
          <w:rFonts w:cstheme="minorHAnsi"/>
          <w:sz w:val="26"/>
          <w:szCs w:val="26"/>
        </w:rPr>
      </w:pPr>
      <w:r w:rsidRPr="000846C9">
        <w:rPr>
          <w:rFonts w:cstheme="minorHAnsi"/>
          <w:sz w:val="26"/>
          <w:szCs w:val="26"/>
        </w:rPr>
        <w:t>11.</w:t>
      </w:r>
      <w:r w:rsidR="00B33C69" w:rsidRPr="000846C9">
        <w:rPr>
          <w:rFonts w:cstheme="minorHAnsi"/>
          <w:sz w:val="26"/>
          <w:szCs w:val="26"/>
        </w:rPr>
        <w:t xml:space="preserve">Advantage </w:t>
      </w:r>
    </w:p>
    <w:p w14:paraId="5BA3C40C" w14:textId="388FD8A0" w:rsidR="00B33C69" w:rsidRPr="001D409B" w:rsidRDefault="00B049B0" w:rsidP="007D2C81">
      <w:pPr>
        <w:spacing w:line="276" w:lineRule="auto"/>
        <w:jc w:val="both"/>
        <w:rPr>
          <w:rFonts w:cstheme="minorHAnsi"/>
        </w:rPr>
      </w:pPr>
      <w:r w:rsidRPr="001D409B">
        <w:rPr>
          <w:rFonts w:cstheme="minorHAnsi"/>
        </w:rPr>
        <w:t>Efficiency: Automates case backlog and reduces human error occurrence.</w:t>
      </w:r>
      <w:r w:rsidRPr="001D409B">
        <w:rPr>
          <w:rFonts w:cstheme="minorHAnsi"/>
        </w:rPr>
        <w:br/>
        <w:t>Accessibility: Online portal facilitates remote access to case status and documents.</w:t>
      </w:r>
      <w:r w:rsidRPr="001D409B">
        <w:rPr>
          <w:rFonts w:cstheme="minorHAnsi"/>
        </w:rPr>
        <w:br/>
        <w:t>Transparency: Instant updates help keep all parties informed regarding the case status.</w:t>
      </w:r>
      <w:r w:rsidRPr="001D409B">
        <w:rPr>
          <w:rFonts w:cstheme="minorHAnsi"/>
        </w:rPr>
        <w:br/>
        <w:t>Data-Driven Decision Making: Making informed decisions through case trends analysis tools.</w:t>
      </w:r>
      <w:r w:rsidRPr="001D409B">
        <w:rPr>
          <w:rFonts w:cstheme="minorHAnsi"/>
        </w:rPr>
        <w:br/>
        <w:t>Security: Encryption and role-based access controls secure data.</w:t>
      </w:r>
    </w:p>
    <w:p w14:paraId="35488DDA" w14:textId="77777777" w:rsidR="003C782A" w:rsidRPr="001D409B" w:rsidRDefault="003C782A" w:rsidP="007D2C81">
      <w:pPr>
        <w:spacing w:line="276" w:lineRule="auto"/>
        <w:jc w:val="both"/>
        <w:rPr>
          <w:rFonts w:cstheme="minorHAnsi"/>
        </w:rPr>
      </w:pPr>
    </w:p>
    <w:p w14:paraId="4700E622" w14:textId="77777777" w:rsidR="00DA525E" w:rsidRPr="000846C9" w:rsidRDefault="001352BB" w:rsidP="007D2C81">
      <w:pPr>
        <w:spacing w:line="276" w:lineRule="auto"/>
        <w:jc w:val="both"/>
        <w:rPr>
          <w:rFonts w:cstheme="minorHAnsi"/>
          <w:sz w:val="26"/>
          <w:szCs w:val="26"/>
        </w:rPr>
      </w:pPr>
      <w:r w:rsidRPr="000846C9">
        <w:rPr>
          <w:rFonts w:cstheme="minorHAnsi"/>
          <w:sz w:val="26"/>
          <w:szCs w:val="26"/>
        </w:rPr>
        <w:t>12.Conclusion/Summary</w:t>
      </w:r>
    </w:p>
    <w:p w14:paraId="764DE048" w14:textId="169B3AAC" w:rsidR="001352BB" w:rsidRPr="000846C9" w:rsidRDefault="001352BB" w:rsidP="007D2C81">
      <w:pPr>
        <w:spacing w:line="276" w:lineRule="auto"/>
        <w:jc w:val="both"/>
        <w:rPr>
          <w:rFonts w:cstheme="minorHAnsi"/>
        </w:rPr>
      </w:pPr>
      <w:r w:rsidRPr="000846C9">
        <w:rPr>
          <w:rFonts w:cstheme="minorHAnsi"/>
        </w:rPr>
        <w:t>The case management process receives a massive innovation in the form of the proposed e-portal. Key workflows are automated, coupled with heightened security on the portal, along with role-based access, to ease transparency and efficiency in the legal proceeding process. Case filing and scheduling of hearings in court becomes streamlined, with minimal delays, and updates are timely for the parties concerned. It further equips inherent data analysis tools and settlement options for managing all the inefficiencies that were inherent within traditional court systems. This patent has been able to protect an important step forward in legal technology, enhancing access to justice and decision-making processes.</w:t>
      </w:r>
    </w:p>
    <w:p w14:paraId="1C446AA4" w14:textId="77777777" w:rsidR="00B049B0" w:rsidRPr="001D409B" w:rsidRDefault="00B049B0" w:rsidP="007D2C81">
      <w:pPr>
        <w:spacing w:line="276" w:lineRule="auto"/>
        <w:jc w:val="both"/>
        <w:rPr>
          <w:rFonts w:cstheme="minorHAnsi"/>
        </w:rPr>
      </w:pPr>
    </w:p>
    <w:sectPr w:rsidR="00B049B0" w:rsidRPr="001D409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A32814" w14:textId="77777777" w:rsidR="008D3542" w:rsidRDefault="008D3542" w:rsidP="008D3542">
      <w:pPr>
        <w:spacing w:after="0" w:line="240" w:lineRule="auto"/>
      </w:pPr>
      <w:r>
        <w:separator/>
      </w:r>
    </w:p>
  </w:endnote>
  <w:endnote w:type="continuationSeparator" w:id="0">
    <w:p w14:paraId="0A0EF82C" w14:textId="77777777" w:rsidR="008D3542" w:rsidRDefault="008D3542" w:rsidP="008D3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AD8102" w14:textId="77777777" w:rsidR="008D3542" w:rsidRDefault="008D3542" w:rsidP="008D3542">
      <w:pPr>
        <w:spacing w:after="0" w:line="240" w:lineRule="auto"/>
      </w:pPr>
      <w:r>
        <w:separator/>
      </w:r>
    </w:p>
  </w:footnote>
  <w:footnote w:type="continuationSeparator" w:id="0">
    <w:p w14:paraId="7FA1BF9B" w14:textId="77777777" w:rsidR="008D3542" w:rsidRDefault="008D3542" w:rsidP="008D354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0"/>
  </w:compat>
  <w:rsids>
    <w:rsidRoot w:val="00021C73"/>
    <w:rsid w:val="00003520"/>
    <w:rsid w:val="00021C73"/>
    <w:rsid w:val="000477F3"/>
    <w:rsid w:val="000846C9"/>
    <w:rsid w:val="000F23DC"/>
    <w:rsid w:val="001352BB"/>
    <w:rsid w:val="001C16A6"/>
    <w:rsid w:val="001D409B"/>
    <w:rsid w:val="001E7913"/>
    <w:rsid w:val="0022357B"/>
    <w:rsid w:val="00247DE7"/>
    <w:rsid w:val="002672BB"/>
    <w:rsid w:val="0034178F"/>
    <w:rsid w:val="00346709"/>
    <w:rsid w:val="003B0C26"/>
    <w:rsid w:val="003B0D5A"/>
    <w:rsid w:val="003C782A"/>
    <w:rsid w:val="003F7111"/>
    <w:rsid w:val="00414B18"/>
    <w:rsid w:val="00416870"/>
    <w:rsid w:val="00496C9C"/>
    <w:rsid w:val="004C1DD9"/>
    <w:rsid w:val="004E4FE4"/>
    <w:rsid w:val="005114E2"/>
    <w:rsid w:val="00590C48"/>
    <w:rsid w:val="00630462"/>
    <w:rsid w:val="006755D4"/>
    <w:rsid w:val="00733D07"/>
    <w:rsid w:val="00784558"/>
    <w:rsid w:val="007857C9"/>
    <w:rsid w:val="007D2C81"/>
    <w:rsid w:val="00846387"/>
    <w:rsid w:val="008C0885"/>
    <w:rsid w:val="008C2FAE"/>
    <w:rsid w:val="008C66DF"/>
    <w:rsid w:val="008D3542"/>
    <w:rsid w:val="009037BE"/>
    <w:rsid w:val="009072E0"/>
    <w:rsid w:val="00934588"/>
    <w:rsid w:val="0094564C"/>
    <w:rsid w:val="00957E2E"/>
    <w:rsid w:val="00971E8A"/>
    <w:rsid w:val="00B049B0"/>
    <w:rsid w:val="00B33C69"/>
    <w:rsid w:val="00BA06B7"/>
    <w:rsid w:val="00BD3210"/>
    <w:rsid w:val="00BE307F"/>
    <w:rsid w:val="00C00FEE"/>
    <w:rsid w:val="00C37465"/>
    <w:rsid w:val="00CC25C2"/>
    <w:rsid w:val="00CC3B08"/>
    <w:rsid w:val="00DA525E"/>
    <w:rsid w:val="00DE147D"/>
    <w:rsid w:val="00E24DCE"/>
    <w:rsid w:val="00E27C0A"/>
    <w:rsid w:val="00EA3239"/>
    <w:rsid w:val="00EC7F80"/>
    <w:rsid w:val="00FD2FA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BF75D"/>
  <w15:chartTrackingRefBased/>
  <w15:docId w15:val="{80D2FC06-AA82-47B1-9008-270663B46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5D4"/>
    <w:pPr>
      <w:spacing w:line="278" w:lineRule="auto"/>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357B"/>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C0885"/>
    <w:pPr>
      <w:spacing w:after="0" w:line="240" w:lineRule="auto"/>
    </w:pPr>
    <w:rPr>
      <w:sz w:val="24"/>
      <w:szCs w:val="24"/>
    </w:rPr>
  </w:style>
  <w:style w:type="paragraph" w:styleId="Header">
    <w:name w:val="header"/>
    <w:basedOn w:val="Normal"/>
    <w:link w:val="HeaderChar"/>
    <w:uiPriority w:val="99"/>
    <w:unhideWhenUsed/>
    <w:rsid w:val="008D35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3542"/>
    <w:rPr>
      <w:sz w:val="24"/>
      <w:szCs w:val="24"/>
    </w:rPr>
  </w:style>
  <w:style w:type="paragraph" w:styleId="Footer">
    <w:name w:val="footer"/>
    <w:basedOn w:val="Normal"/>
    <w:link w:val="FooterChar"/>
    <w:uiPriority w:val="99"/>
    <w:unhideWhenUsed/>
    <w:rsid w:val="008D35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354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8230261">
      <w:bodyDiv w:val="1"/>
      <w:marLeft w:val="0"/>
      <w:marRight w:val="0"/>
      <w:marTop w:val="0"/>
      <w:marBottom w:val="0"/>
      <w:divBdr>
        <w:top w:val="none" w:sz="0" w:space="0" w:color="auto"/>
        <w:left w:val="none" w:sz="0" w:space="0" w:color="auto"/>
        <w:bottom w:val="none" w:sz="0" w:space="0" w:color="auto"/>
        <w:right w:val="none" w:sz="0" w:space="0" w:color="auto"/>
      </w:divBdr>
      <w:divsChild>
        <w:div w:id="1763379936">
          <w:marLeft w:val="0"/>
          <w:marRight w:val="0"/>
          <w:marTop w:val="0"/>
          <w:marBottom w:val="0"/>
          <w:divBdr>
            <w:top w:val="none" w:sz="0" w:space="0" w:color="auto"/>
            <w:left w:val="none" w:sz="0" w:space="0" w:color="auto"/>
            <w:bottom w:val="none" w:sz="0" w:space="0" w:color="auto"/>
            <w:right w:val="none" w:sz="0" w:space="0" w:color="auto"/>
          </w:divBdr>
          <w:divsChild>
            <w:div w:id="674840223">
              <w:marLeft w:val="0"/>
              <w:marRight w:val="0"/>
              <w:marTop w:val="0"/>
              <w:marBottom w:val="0"/>
              <w:divBdr>
                <w:top w:val="none" w:sz="0" w:space="0" w:color="auto"/>
                <w:left w:val="none" w:sz="0" w:space="0" w:color="auto"/>
                <w:bottom w:val="none" w:sz="0" w:space="0" w:color="auto"/>
                <w:right w:val="none" w:sz="0" w:space="0" w:color="auto"/>
              </w:divBdr>
              <w:divsChild>
                <w:div w:id="224875226">
                  <w:marLeft w:val="0"/>
                  <w:marRight w:val="0"/>
                  <w:marTop w:val="0"/>
                  <w:marBottom w:val="0"/>
                  <w:divBdr>
                    <w:top w:val="none" w:sz="0" w:space="0" w:color="auto"/>
                    <w:left w:val="none" w:sz="0" w:space="0" w:color="auto"/>
                    <w:bottom w:val="none" w:sz="0" w:space="0" w:color="auto"/>
                    <w:right w:val="none" w:sz="0" w:space="0" w:color="auto"/>
                  </w:divBdr>
                  <w:divsChild>
                    <w:div w:id="1776824067">
                      <w:marLeft w:val="0"/>
                      <w:marRight w:val="0"/>
                      <w:marTop w:val="0"/>
                      <w:marBottom w:val="0"/>
                      <w:divBdr>
                        <w:top w:val="none" w:sz="0" w:space="0" w:color="auto"/>
                        <w:left w:val="none" w:sz="0" w:space="0" w:color="auto"/>
                        <w:bottom w:val="none" w:sz="0" w:space="0" w:color="auto"/>
                        <w:right w:val="none" w:sz="0" w:space="0" w:color="auto"/>
                      </w:divBdr>
                      <w:divsChild>
                        <w:div w:id="1977102422">
                          <w:marLeft w:val="0"/>
                          <w:marRight w:val="0"/>
                          <w:marTop w:val="0"/>
                          <w:marBottom w:val="0"/>
                          <w:divBdr>
                            <w:top w:val="none" w:sz="0" w:space="0" w:color="auto"/>
                            <w:left w:val="none" w:sz="0" w:space="0" w:color="auto"/>
                            <w:bottom w:val="none" w:sz="0" w:space="0" w:color="auto"/>
                            <w:right w:val="none" w:sz="0" w:space="0" w:color="auto"/>
                          </w:divBdr>
                          <w:divsChild>
                            <w:div w:id="75582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387229">
      <w:bodyDiv w:val="1"/>
      <w:marLeft w:val="0"/>
      <w:marRight w:val="0"/>
      <w:marTop w:val="0"/>
      <w:marBottom w:val="0"/>
      <w:divBdr>
        <w:top w:val="none" w:sz="0" w:space="0" w:color="auto"/>
        <w:left w:val="none" w:sz="0" w:space="0" w:color="auto"/>
        <w:bottom w:val="none" w:sz="0" w:space="0" w:color="auto"/>
        <w:right w:val="none" w:sz="0" w:space="0" w:color="auto"/>
      </w:divBdr>
      <w:divsChild>
        <w:div w:id="1637107926">
          <w:marLeft w:val="0"/>
          <w:marRight w:val="0"/>
          <w:marTop w:val="0"/>
          <w:marBottom w:val="0"/>
          <w:divBdr>
            <w:top w:val="none" w:sz="0" w:space="0" w:color="auto"/>
            <w:left w:val="none" w:sz="0" w:space="0" w:color="auto"/>
            <w:bottom w:val="none" w:sz="0" w:space="0" w:color="auto"/>
            <w:right w:val="none" w:sz="0" w:space="0" w:color="auto"/>
          </w:divBdr>
          <w:divsChild>
            <w:div w:id="1329407471">
              <w:marLeft w:val="0"/>
              <w:marRight w:val="0"/>
              <w:marTop w:val="0"/>
              <w:marBottom w:val="0"/>
              <w:divBdr>
                <w:top w:val="none" w:sz="0" w:space="0" w:color="auto"/>
                <w:left w:val="none" w:sz="0" w:space="0" w:color="auto"/>
                <w:bottom w:val="none" w:sz="0" w:space="0" w:color="auto"/>
                <w:right w:val="none" w:sz="0" w:space="0" w:color="auto"/>
              </w:divBdr>
              <w:divsChild>
                <w:div w:id="781534171">
                  <w:marLeft w:val="0"/>
                  <w:marRight w:val="0"/>
                  <w:marTop w:val="0"/>
                  <w:marBottom w:val="0"/>
                  <w:divBdr>
                    <w:top w:val="none" w:sz="0" w:space="0" w:color="auto"/>
                    <w:left w:val="none" w:sz="0" w:space="0" w:color="auto"/>
                    <w:bottom w:val="none" w:sz="0" w:space="0" w:color="auto"/>
                    <w:right w:val="none" w:sz="0" w:space="0" w:color="auto"/>
                  </w:divBdr>
                  <w:divsChild>
                    <w:div w:id="804852288">
                      <w:marLeft w:val="0"/>
                      <w:marRight w:val="0"/>
                      <w:marTop w:val="0"/>
                      <w:marBottom w:val="0"/>
                      <w:divBdr>
                        <w:top w:val="none" w:sz="0" w:space="0" w:color="auto"/>
                        <w:left w:val="none" w:sz="0" w:space="0" w:color="auto"/>
                        <w:bottom w:val="none" w:sz="0" w:space="0" w:color="auto"/>
                        <w:right w:val="none" w:sz="0" w:space="0" w:color="auto"/>
                      </w:divBdr>
                      <w:divsChild>
                        <w:div w:id="1606767960">
                          <w:marLeft w:val="0"/>
                          <w:marRight w:val="0"/>
                          <w:marTop w:val="0"/>
                          <w:marBottom w:val="0"/>
                          <w:divBdr>
                            <w:top w:val="none" w:sz="0" w:space="0" w:color="auto"/>
                            <w:left w:val="none" w:sz="0" w:space="0" w:color="auto"/>
                            <w:bottom w:val="none" w:sz="0" w:space="0" w:color="auto"/>
                            <w:right w:val="none" w:sz="0" w:space="0" w:color="auto"/>
                          </w:divBdr>
                          <w:divsChild>
                            <w:div w:id="158649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1018</Words>
  <Characters>5809</Characters>
  <Application>Microsoft Office Word</Application>
  <DocSecurity>0</DocSecurity>
  <Lines>48</Lines>
  <Paragraphs>13</Paragraphs>
  <ScaleCrop>false</ScaleCrop>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Aaditiya Tyagi</dc:creator>
  <cp:keywords/>
  <dc:description/>
  <cp:lastModifiedBy>Aaditiya Tyagi</cp:lastModifiedBy>
  <cp:revision>2</cp:revision>
  <dcterms:created xsi:type="dcterms:W3CDTF">2024-11-22T05:04:00Z</dcterms:created>
  <dcterms:modified xsi:type="dcterms:W3CDTF">2024-11-22T05:04:00Z</dcterms:modified>
</cp:coreProperties>
</file>