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46"/>
        </w:rPr>
        <w:t>Competitive Intelligence Research Agent</w:t>
      </w:r>
    </w:p>
    <w:p>
      <w:pPr>
        <w:jc w:val="center"/>
      </w:pPr>
      <w:r>
        <w:rPr>
          <w:b/>
          <w:color w:val="2F5597"/>
          <w:sz w:val="36"/>
        </w:rPr>
        <w:t>Project Documentation</w:t>
      </w:r>
    </w:p>
    <w:p>
      <w:pPr>
        <w:spacing w:before="480"/>
        <w:jc w:val="center"/>
      </w:pPr>
      <w:r>
        <w:rPr>
          <w:sz w:val="22"/>
        </w:rPr>
        <w:t>Agentic AI workflow for automated competitor research, validation, human review, retry handling, and user-facing reporting</w:t>
      </w:r>
    </w:p>
    <w:p>
      <w:pPr>
        <w:spacing w:before="600"/>
        <w:jc w:val="center"/>
      </w:pPr>
      <w:r>
        <w:rPr>
          <w:i/>
          <w:sz w:val="19"/>
        </w:rPr>
        <w:t>Built with n8n, OpenAI models, structured output parsers, web search, and n8n Forms</w:t>
      </w:r>
    </w:p>
    <w:p>
      <w:r>
        <w:br w:type="page"/>
      </w:r>
    </w:p>
    <w:p>
      <w:pPr>
        <w:pStyle w:val="Heading1"/>
      </w:pPr>
      <w:r>
        <w:t>1. Project Overview</w:t>
      </w:r>
    </w:p>
    <w:p>
      <w:r>
        <w:t>The Competitive Intelligence Research Agent automates the process of researching a target company and its competitive landscape. A user submits a company name through an n8n form. The workflow verifies the company identity, discovers three relevant competitors, researches each competitor, synthesizes the findings, validates research quality, and produces a concise competitive intelligence report.</w:t>
      </w:r>
    </w:p>
    <w:p>
      <w:r>
        <w:t>The project was designed not only to generate useful research, but also to handle uncertainty safely. It includes structured outputs, confidence scoring, an entity-verification gate, human review for low-confidence results, a continue-with-warning option, and a one-time targeted retry path.</w:t>
      </w:r>
    </w:p>
    <w:p>
      <w:pPr>
        <w:pStyle w:val="Heading1"/>
      </w:pPr>
      <w:r>
        <w:t>2. Goals and User Experience</w:t>
      </w:r>
    </w:p>
    <w:p>
      <w:pPr>
        <w:pStyle w:val="ListBullet"/>
        <w:spacing w:after="40"/>
      </w:pPr>
      <w:r>
        <w:t>Reduce the manual effort required to identify and research competitors.</w:t>
      </w:r>
    </w:p>
    <w:p>
      <w:pPr>
        <w:pStyle w:val="ListBullet"/>
        <w:spacing w:after="40"/>
      </w:pPr>
      <w:r>
        <w:t>Generate a consistent comparison covering pricing, features, customers, positioning, differentiators, and recent developments.</w:t>
      </w:r>
    </w:p>
    <w:p>
      <w:pPr>
        <w:pStyle w:val="ListBullet"/>
        <w:spacing w:after="40"/>
      </w:pPr>
      <w:r>
        <w:t>Prevent weak evidence from being presented as certain fact.</w:t>
      </w:r>
    </w:p>
    <w:p>
      <w:pPr>
        <w:pStyle w:val="ListBullet"/>
        <w:spacing w:after="40"/>
      </w:pPr>
      <w:r>
        <w:t>Route low-confidence research to a human reviewer instead of automatically publishing it.</w:t>
      </w:r>
    </w:p>
    <w:p>
      <w:pPr>
        <w:pStyle w:val="ListBullet"/>
        <w:spacing w:after="40"/>
      </w:pPr>
      <w:r>
        <w:t>Return a clear final report through the same n8n form experience.</w:t>
      </w:r>
    </w:p>
    <w:p>
      <w:pPr>
        <w:pStyle w:val="Heading1"/>
      </w:pPr>
      <w:r>
        <w:t>3. Final Workflow Architecture</w:t>
      </w:r>
    </w:p>
    <w:p>
      <w:r>
        <w:rPr>
          <w:b/>
          <w:sz w:val="18"/>
        </w:rPr>
        <w:t>Form → Initialize State → Competitor Search → Entity Verification → Competitor Discovery → Split Competitors → Competitor Research → Aggregate Research → Competitive Analysis → Research Validation → Confidence Check → Final Report / Human Review → User-Facing Report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rFonts w:ascii="Aptos" w:hAnsi="Aptos"/>
                <w:b/>
                <w:color w:val="FFFFFF"/>
                <w:sz w:val="16"/>
              </w:rPr>
              <w:t>Component</w:t>
            </w:r>
          </w:p>
        </w:tc>
        <w:tc>
          <w:tcPr>
            <w:tcW w:type="dxa" w:w="5040"/>
            <w:vAlign w:val="center"/>
            <w:shd w:fill="1F4E79"/>
          </w:tcPr>
          <w:p>
            <w:pPr>
              <w:spacing w:after="0"/>
            </w:pPr>
            <w:r/>
            <w:r>
              <w:rPr>
                <w:rFonts w:ascii="Aptos" w:hAnsi="Aptos"/>
                <w:b/>
                <w:color w:val="FFFFFF"/>
                <w:sz w:val="16"/>
              </w:rPr>
              <w:t>Responsibility</w:t>
            </w:r>
          </w:p>
        </w:tc>
      </w:tr>
      <w:tr>
        <w:tc>
          <w:tcPr>
            <w:tcW w:type="dxa" w:w="5040"/>
            <w:vAlign w:val="center"/>
          </w:tcPr>
          <w:p>
            <w:pPr>
              <w:spacing w:after="0"/>
            </w:pPr>
            <w:r/>
            <w:r>
              <w:rPr>
                <w:rFonts w:ascii="Aptos" w:hAnsi="Aptos"/>
                <w:b w:val="0"/>
                <w:sz w:val="16"/>
              </w:rPr>
              <w:t>Competitor Search</w:t>
            </w:r>
          </w:p>
        </w:tc>
        <w:tc>
          <w:tcPr>
            <w:tcW w:type="dxa" w:w="5040"/>
            <w:vAlign w:val="center"/>
          </w:tcPr>
          <w:p>
            <w:pPr>
              <w:spacing w:after="0"/>
            </w:pPr>
            <w:r/>
            <w:r>
              <w:rPr>
                <w:rFonts w:ascii="Aptos" w:hAnsi="Aptos"/>
                <w:b w:val="0"/>
                <w:sz w:val="16"/>
              </w:rPr>
              <w:t>Retrieves initial web evidence about the submitted company and competitors.</w:t>
            </w:r>
          </w:p>
        </w:tc>
      </w:tr>
      <w:tr>
        <w:tc>
          <w:tcPr>
            <w:tcW w:type="dxa" w:w="5040"/>
            <w:vAlign w:val="center"/>
            <w:shd w:fill="F4F7FA"/>
          </w:tcPr>
          <w:p>
            <w:pPr>
              <w:spacing w:after="0"/>
            </w:pPr>
            <w:r/>
            <w:r>
              <w:rPr>
                <w:rFonts w:ascii="Aptos" w:hAnsi="Aptos"/>
                <w:b w:val="0"/>
                <w:sz w:val="16"/>
              </w:rPr>
              <w:t>Entity Verification Agent</w:t>
            </w:r>
          </w:p>
        </w:tc>
        <w:tc>
          <w:tcPr>
            <w:tcW w:type="dxa" w:w="5040"/>
            <w:vAlign w:val="center"/>
            <w:shd w:fill="F4F7FA"/>
          </w:tcPr>
          <w:p>
            <w:pPr>
              <w:spacing w:after="0"/>
            </w:pPr>
            <w:r/>
            <w:r>
              <w:rPr>
                <w:rFonts w:ascii="Aptos" w:hAnsi="Aptos"/>
                <w:b w:val="0"/>
                <w:sz w:val="16"/>
              </w:rPr>
              <w:t>Checks that search evidence refers to the exact company submitted by the user.</w:t>
            </w:r>
          </w:p>
        </w:tc>
      </w:tr>
      <w:tr>
        <w:tc>
          <w:tcPr>
            <w:tcW w:type="dxa" w:w="5040"/>
            <w:vAlign w:val="center"/>
          </w:tcPr>
          <w:p>
            <w:pPr>
              <w:spacing w:after="0"/>
            </w:pPr>
            <w:r/>
            <w:r>
              <w:rPr>
                <w:rFonts w:ascii="Aptos" w:hAnsi="Aptos"/>
                <w:b w:val="0"/>
                <w:sz w:val="16"/>
              </w:rPr>
              <w:t>Competitor Discovery Agent</w:t>
            </w:r>
          </w:p>
        </w:tc>
        <w:tc>
          <w:tcPr>
            <w:tcW w:type="dxa" w:w="5040"/>
            <w:vAlign w:val="center"/>
          </w:tcPr>
          <w:p>
            <w:pPr>
              <w:spacing w:after="0"/>
            </w:pPr>
            <w:r/>
            <w:r>
              <w:rPr>
                <w:rFonts w:ascii="Aptos" w:hAnsi="Aptos"/>
                <w:b w:val="0"/>
                <w:sz w:val="16"/>
              </w:rPr>
              <w:t>Selects exactly three direct competitors supported by search evidence.</w:t>
            </w:r>
          </w:p>
        </w:tc>
      </w:tr>
      <w:tr>
        <w:tc>
          <w:tcPr>
            <w:tcW w:type="dxa" w:w="5040"/>
            <w:vAlign w:val="center"/>
            <w:shd w:fill="F4F7FA"/>
          </w:tcPr>
          <w:p>
            <w:pPr>
              <w:spacing w:after="0"/>
            </w:pPr>
            <w:r/>
            <w:r>
              <w:rPr>
                <w:rFonts w:ascii="Aptos" w:hAnsi="Aptos"/>
                <w:b w:val="0"/>
                <w:sz w:val="16"/>
              </w:rPr>
              <w:t>Competitor Research Agent</w:t>
            </w:r>
          </w:p>
        </w:tc>
        <w:tc>
          <w:tcPr>
            <w:tcW w:type="dxa" w:w="5040"/>
            <w:vAlign w:val="center"/>
            <w:shd w:fill="F4F7FA"/>
          </w:tcPr>
          <w:p>
            <w:pPr>
              <w:spacing w:after="0"/>
            </w:pPr>
            <w:r/>
            <w:r>
              <w:rPr>
                <w:rFonts w:ascii="Aptos" w:hAnsi="Aptos"/>
                <w:b w:val="0"/>
                <w:sz w:val="16"/>
              </w:rPr>
              <w:t>Builds a structured profile for each competitor.</w:t>
            </w:r>
          </w:p>
        </w:tc>
      </w:tr>
      <w:tr>
        <w:tc>
          <w:tcPr>
            <w:tcW w:type="dxa" w:w="5040"/>
            <w:vAlign w:val="center"/>
          </w:tcPr>
          <w:p>
            <w:pPr>
              <w:spacing w:after="0"/>
            </w:pPr>
            <w:r/>
            <w:r>
              <w:rPr>
                <w:rFonts w:ascii="Aptos" w:hAnsi="Aptos"/>
                <w:b w:val="0"/>
                <w:sz w:val="16"/>
              </w:rPr>
              <w:t>Competitive Analysis Agent</w:t>
            </w:r>
          </w:p>
        </w:tc>
        <w:tc>
          <w:tcPr>
            <w:tcW w:type="dxa" w:w="5040"/>
            <w:vAlign w:val="center"/>
          </w:tcPr>
          <w:p>
            <w:pPr>
              <w:spacing w:after="0"/>
            </w:pPr>
            <w:r/>
            <w:r>
              <w:rPr>
                <w:rFonts w:ascii="Aptos" w:hAnsi="Aptos"/>
                <w:b w:val="0"/>
                <w:sz w:val="16"/>
              </w:rPr>
              <w:t>Synthesizes competitor profiles into a strategic comparison.</w:t>
            </w:r>
          </w:p>
        </w:tc>
      </w:tr>
      <w:tr>
        <w:tc>
          <w:tcPr>
            <w:tcW w:type="dxa" w:w="5040"/>
            <w:vAlign w:val="center"/>
            <w:shd w:fill="F4F7FA"/>
          </w:tcPr>
          <w:p>
            <w:pPr>
              <w:spacing w:after="0"/>
            </w:pPr>
            <w:r/>
            <w:r>
              <w:rPr>
                <w:rFonts w:ascii="Aptos" w:hAnsi="Aptos"/>
                <w:b w:val="0"/>
                <w:sz w:val="16"/>
              </w:rPr>
              <w:t>Research Validation Agent</w:t>
            </w:r>
          </w:p>
        </w:tc>
        <w:tc>
          <w:tcPr>
            <w:tcW w:type="dxa" w:w="5040"/>
            <w:vAlign w:val="center"/>
            <w:shd w:fill="F4F7FA"/>
          </w:tcPr>
          <w:p>
            <w:pPr>
              <w:spacing w:after="0"/>
            </w:pPr>
            <w:r/>
            <w:r>
              <w:rPr>
                <w:rFonts w:ascii="Aptos" w:hAnsi="Aptos"/>
                <w:b w:val="0"/>
                <w:sz w:val="16"/>
              </w:rPr>
              <w:t>Scores coverage, completeness, evidence quality, recency, and overall confidence.</w:t>
            </w:r>
          </w:p>
        </w:tc>
      </w:tr>
      <w:tr>
        <w:tc>
          <w:tcPr>
            <w:tcW w:type="dxa" w:w="5040"/>
            <w:vAlign w:val="center"/>
          </w:tcPr>
          <w:p>
            <w:pPr>
              <w:spacing w:after="0"/>
            </w:pPr>
            <w:r/>
            <w:r>
              <w:rPr>
                <w:rFonts w:ascii="Aptos" w:hAnsi="Aptos"/>
                <w:b w:val="0"/>
                <w:sz w:val="16"/>
              </w:rPr>
              <w:t>Confidence Check</w:t>
            </w:r>
          </w:p>
        </w:tc>
        <w:tc>
          <w:tcPr>
            <w:tcW w:type="dxa" w:w="5040"/>
            <w:vAlign w:val="center"/>
          </w:tcPr>
          <w:p>
            <w:pPr>
              <w:spacing w:after="0"/>
            </w:pPr>
            <w:r/>
            <w:r>
              <w:rPr>
                <w:rFonts w:ascii="Aptos" w:hAnsi="Aptos"/>
                <w:b w:val="0"/>
                <w:sz w:val="16"/>
              </w:rPr>
              <w:t>Automatically proceeds at confidence ≥ 75; otherwise routes to Human Review.</w:t>
            </w:r>
          </w:p>
        </w:tc>
      </w:tr>
      <w:tr>
        <w:tc>
          <w:tcPr>
            <w:tcW w:type="dxa" w:w="5040"/>
            <w:vAlign w:val="center"/>
            <w:shd w:fill="F4F7FA"/>
          </w:tcPr>
          <w:p>
            <w:pPr>
              <w:spacing w:after="0"/>
            </w:pPr>
            <w:r/>
            <w:r>
              <w:rPr>
                <w:rFonts w:ascii="Aptos" w:hAnsi="Aptos"/>
                <w:b w:val="0"/>
                <w:sz w:val="16"/>
              </w:rPr>
              <w:t>Human Review / Retry</w:t>
            </w:r>
          </w:p>
        </w:tc>
        <w:tc>
          <w:tcPr>
            <w:tcW w:type="dxa" w:w="5040"/>
            <w:vAlign w:val="center"/>
            <w:shd w:fill="F4F7FA"/>
          </w:tcPr>
          <w:p>
            <w:pPr>
              <w:spacing w:after="0"/>
            </w:pPr>
            <w:r/>
            <w:r>
              <w:rPr>
                <w:rFonts w:ascii="Aptos" w:hAnsi="Aptos"/>
                <w:b w:val="0"/>
                <w:sz w:val="16"/>
              </w:rPr>
              <w:t>Allows approval, continuation with warning, or one additional targeted research attempt.</w:t>
            </w:r>
          </w:p>
        </w:tc>
      </w:tr>
      <w:tr>
        <w:tc>
          <w:tcPr>
            <w:tcW w:type="dxa" w:w="5040"/>
            <w:vAlign w:val="center"/>
          </w:tcPr>
          <w:p>
            <w:pPr>
              <w:spacing w:after="0"/>
            </w:pPr>
            <w:r/>
            <w:r>
              <w:rPr>
                <w:rFonts w:ascii="Aptos" w:hAnsi="Aptos"/>
                <w:b w:val="0"/>
                <w:sz w:val="16"/>
              </w:rPr>
              <w:t>Final Report Agent</w:t>
            </w:r>
          </w:p>
        </w:tc>
        <w:tc>
          <w:tcPr>
            <w:tcW w:type="dxa" w:w="5040"/>
            <w:vAlign w:val="center"/>
          </w:tcPr>
          <w:p>
            <w:pPr>
              <w:spacing w:after="0"/>
            </w:pPr>
            <w:r/>
            <w:r>
              <w:rPr>
                <w:rFonts w:ascii="Aptos" w:hAnsi="Aptos"/>
                <w:b w:val="0"/>
                <w:sz w:val="16"/>
              </w:rPr>
              <w:t>Produces a concise decision-oriented competitive intelligence briefing.</w:t>
            </w:r>
          </w:p>
        </w:tc>
      </w:tr>
    </w:tbl>
    <w:p/>
    <w:p>
      <w:pPr>
        <w:pStyle w:val="Heading1"/>
      </w:pPr>
      <w:r>
        <w:t>4. Tools and Data Sources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rFonts w:ascii="Aptos" w:hAnsi="Aptos"/>
                <w:b/>
                <w:color w:val="FFFFFF"/>
                <w:sz w:val="16"/>
              </w:rPr>
              <w:t>Tool / Source</w:t>
            </w:r>
          </w:p>
        </w:tc>
        <w:tc>
          <w:tcPr>
            <w:tcW w:type="dxa" w:w="5040"/>
            <w:vAlign w:val="center"/>
            <w:shd w:fill="1F4E79"/>
          </w:tcPr>
          <w:p>
            <w:pPr>
              <w:spacing w:after="0"/>
            </w:pPr>
            <w:r/>
            <w:r>
              <w:rPr>
                <w:rFonts w:ascii="Aptos" w:hAnsi="Aptos"/>
                <w:b/>
                <w:color w:val="FFFFFF"/>
                <w:sz w:val="16"/>
              </w:rPr>
              <w:t>Use in the Project</w:t>
            </w:r>
          </w:p>
        </w:tc>
      </w:tr>
      <w:tr>
        <w:tc>
          <w:tcPr>
            <w:tcW w:type="dxa" w:w="5040"/>
            <w:vAlign w:val="center"/>
          </w:tcPr>
          <w:p>
            <w:pPr>
              <w:spacing w:after="0"/>
            </w:pPr>
            <w:r/>
            <w:r>
              <w:rPr>
                <w:rFonts w:ascii="Aptos" w:hAnsi="Aptos"/>
                <w:b w:val="0"/>
                <w:sz w:val="16"/>
              </w:rPr>
              <w:t>n8n</w:t>
            </w:r>
          </w:p>
        </w:tc>
        <w:tc>
          <w:tcPr>
            <w:tcW w:type="dxa" w:w="5040"/>
            <w:vAlign w:val="center"/>
          </w:tcPr>
          <w:p>
            <w:pPr>
              <w:spacing w:after="0"/>
            </w:pPr>
            <w:r/>
            <w:r>
              <w:rPr>
                <w:rFonts w:ascii="Aptos" w:hAnsi="Aptos"/>
                <w:b w:val="0"/>
                <w:sz w:val="16"/>
              </w:rPr>
              <w:t>Workflow orchestration, branching, forms, state management, and human-in-the-loop review.</w:t>
            </w:r>
          </w:p>
        </w:tc>
      </w:tr>
      <w:tr>
        <w:tc>
          <w:tcPr>
            <w:tcW w:type="dxa" w:w="5040"/>
            <w:vAlign w:val="center"/>
            <w:shd w:fill="F4F7FA"/>
          </w:tcPr>
          <w:p>
            <w:pPr>
              <w:spacing w:after="0"/>
            </w:pPr>
            <w:r/>
            <w:r>
              <w:rPr>
                <w:rFonts w:ascii="Aptos" w:hAnsi="Aptos"/>
                <w:b w:val="0"/>
                <w:sz w:val="16"/>
              </w:rPr>
              <w:t>OpenAI models</w:t>
            </w:r>
          </w:p>
        </w:tc>
        <w:tc>
          <w:tcPr>
            <w:tcW w:type="dxa" w:w="5040"/>
            <w:vAlign w:val="center"/>
            <w:shd w:fill="F4F7FA"/>
          </w:tcPr>
          <w:p>
            <w:pPr>
              <w:spacing w:after="0"/>
            </w:pPr>
            <w:r/>
            <w:r>
              <w:rPr>
                <w:rFonts w:ascii="Aptos" w:hAnsi="Aptos"/>
                <w:b w:val="0"/>
                <w:sz w:val="16"/>
              </w:rPr>
              <w:t>Competitor discovery, research synthesis, competitive analysis, validation, and final reporting.</w:t>
            </w:r>
          </w:p>
        </w:tc>
      </w:tr>
      <w:tr>
        <w:tc>
          <w:tcPr>
            <w:tcW w:type="dxa" w:w="5040"/>
            <w:vAlign w:val="center"/>
          </w:tcPr>
          <w:p>
            <w:pPr>
              <w:spacing w:after="0"/>
            </w:pPr>
            <w:r/>
            <w:r>
              <w:rPr>
                <w:rFonts w:ascii="Aptos" w:hAnsi="Aptos"/>
                <w:b w:val="0"/>
                <w:sz w:val="16"/>
              </w:rPr>
              <w:t>Structured Output Parsers</w:t>
            </w:r>
          </w:p>
        </w:tc>
        <w:tc>
          <w:tcPr>
            <w:tcW w:type="dxa" w:w="5040"/>
            <w:vAlign w:val="center"/>
          </w:tcPr>
          <w:p>
            <w:pPr>
              <w:spacing w:after="0"/>
            </w:pPr>
            <w:r/>
            <w:r>
              <w:rPr>
                <w:rFonts w:ascii="Aptos" w:hAnsi="Aptos"/>
                <w:b w:val="0"/>
                <w:sz w:val="16"/>
              </w:rPr>
              <w:t>Enforce predictable JSON structures between AI agents.</w:t>
            </w:r>
          </w:p>
        </w:tc>
      </w:tr>
      <w:tr>
        <w:tc>
          <w:tcPr>
            <w:tcW w:type="dxa" w:w="5040"/>
            <w:vAlign w:val="center"/>
            <w:shd w:fill="F4F7FA"/>
          </w:tcPr>
          <w:p>
            <w:pPr>
              <w:spacing w:after="0"/>
            </w:pPr>
            <w:r/>
            <w:r>
              <w:rPr>
                <w:rFonts w:ascii="Aptos" w:hAnsi="Aptos"/>
                <w:b w:val="0"/>
                <w:sz w:val="16"/>
              </w:rPr>
              <w:t>You.com Search API</w:t>
            </w:r>
          </w:p>
        </w:tc>
        <w:tc>
          <w:tcPr>
            <w:tcW w:type="dxa" w:w="5040"/>
            <w:vAlign w:val="center"/>
            <w:shd w:fill="F4F7FA"/>
          </w:tcPr>
          <w:p>
            <w:pPr>
              <w:spacing w:after="0"/>
            </w:pPr>
            <w:r/>
            <w:r>
              <w:rPr>
                <w:rFonts w:ascii="Aptos" w:hAnsi="Aptos"/>
                <w:b w:val="0"/>
                <w:sz w:val="16"/>
              </w:rPr>
              <w:t>Retrieves web/search evidence for initial and competitor-specific research.</w:t>
            </w:r>
          </w:p>
        </w:tc>
      </w:tr>
      <w:tr>
        <w:tc>
          <w:tcPr>
            <w:tcW w:type="dxa" w:w="5040"/>
            <w:vAlign w:val="center"/>
          </w:tcPr>
          <w:p>
            <w:pPr>
              <w:spacing w:after="0"/>
            </w:pPr>
            <w:r/>
            <w:r>
              <w:rPr>
                <w:rFonts w:ascii="Aptos" w:hAnsi="Aptos"/>
                <w:b w:val="0"/>
                <w:sz w:val="16"/>
              </w:rPr>
              <w:t>n8n Forms</w:t>
            </w:r>
          </w:p>
        </w:tc>
        <w:tc>
          <w:tcPr>
            <w:tcW w:type="dxa" w:w="5040"/>
            <w:vAlign w:val="center"/>
          </w:tcPr>
          <w:p>
            <w:pPr>
              <w:spacing w:after="0"/>
            </w:pPr>
            <w:r/>
            <w:r>
              <w:rPr>
                <w:rFonts w:ascii="Aptos" w:hAnsi="Aptos"/>
                <w:b w:val="0"/>
                <w:sz w:val="16"/>
              </w:rPr>
              <w:t>Collects the company name, supports Human Review, and displays the final report.</w:t>
            </w:r>
          </w:p>
        </w:tc>
      </w:tr>
    </w:tbl>
    <w:p/>
    <w:p>
      <w:pPr>
        <w:pStyle w:val="Heading1"/>
      </w:pPr>
      <w:r>
        <w:t>5. Prompt and Agent Design Approach</w:t>
      </w:r>
    </w:p>
    <w:p>
      <w:r>
        <w:t>The agent prompts were designed around explicit roles, bounded inputs, structured outputs, and grounding rules. Instead of asking one model to perform the entire task, the workflow separates discovery, research, analysis, validation, and reporting into specialized stages.</w:t>
      </w:r>
    </w:p>
    <w:p>
      <w:pPr>
        <w:pStyle w:val="ListBullet"/>
        <w:spacing w:after="40"/>
      </w:pPr>
      <w:r>
        <w:t>Prompts instruct agents to use only supplied search/research evidence.</w:t>
      </w:r>
    </w:p>
    <w:p>
      <w:pPr>
        <w:pStyle w:val="ListBullet"/>
        <w:spacing w:after="40"/>
      </w:pPr>
      <w:r>
        <w:t>Uncertain pricing and unsupported claims must remain labeled "Not verified" or partial.</w:t>
      </w:r>
    </w:p>
    <w:p>
      <w:pPr>
        <w:pStyle w:val="ListBullet"/>
        <w:spacing w:after="40"/>
      </w:pPr>
      <w:r>
        <w:t>The target company is explicitly passed through nodes to prevent accidental target/competitor substitution.</w:t>
      </w:r>
    </w:p>
    <w:p>
      <w:pPr>
        <w:pStyle w:val="ListBullet"/>
        <w:spacing w:after="40"/>
      </w:pPr>
      <w:r>
        <w:t>The validation agent is independent from the analysis agent and determines whether the result can proceed automatically.</w:t>
      </w:r>
    </w:p>
    <w:p>
      <w:pPr>
        <w:pStyle w:val="ListBullet"/>
        <w:spacing w:after="40"/>
      </w:pPr>
      <w:r>
        <w:t>The final report prompt preserves validation issues and distinguishes evidence-backed findings from strategic interpretation.</w:t>
      </w:r>
    </w:p>
    <w:p>
      <w:pPr>
        <w:pStyle w:val="Heading1"/>
      </w:pPr>
      <w:r>
        <w:t>6. Development Iterations and Debugging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rFonts w:ascii="Aptos" w:hAnsi="Aptos"/>
                <w:b/>
                <w:color w:val="FFFFFF"/>
                <w:sz w:val="15"/>
              </w:rPr>
              <w:t>Iteration / Issue</w:t>
            </w:r>
          </w:p>
        </w:tc>
        <w:tc>
          <w:tcPr>
            <w:tcW w:type="dxa" w:w="5040"/>
            <w:vAlign w:val="center"/>
            <w:shd w:fill="1F4E79"/>
          </w:tcPr>
          <w:p>
            <w:pPr>
              <w:spacing w:after="0"/>
            </w:pPr>
            <w:r/>
            <w:r>
              <w:rPr>
                <w:rFonts w:ascii="Aptos" w:hAnsi="Aptos"/>
                <w:b/>
                <w:color w:val="FFFFFF"/>
                <w:sz w:val="15"/>
              </w:rPr>
              <w:t>What Changed</w:t>
            </w:r>
          </w:p>
        </w:tc>
      </w:tr>
      <w:tr>
        <w:tc>
          <w:tcPr>
            <w:tcW w:type="dxa" w:w="5040"/>
            <w:vAlign w:val="center"/>
          </w:tcPr>
          <w:p>
            <w:pPr>
              <w:spacing w:after="0"/>
            </w:pPr>
            <w:r/>
            <w:r>
              <w:rPr>
                <w:rFonts w:ascii="Aptos" w:hAnsi="Aptos"/>
                <w:b w:val="0"/>
                <w:sz w:val="15"/>
              </w:rPr>
              <w:t>Target-company propagation</w:t>
            </w:r>
          </w:p>
        </w:tc>
        <w:tc>
          <w:tcPr>
            <w:tcW w:type="dxa" w:w="5040"/>
            <w:vAlign w:val="center"/>
          </w:tcPr>
          <w:p>
            <w:pPr>
              <w:spacing w:after="0"/>
            </w:pPr>
            <w:r/>
            <w:r>
              <w:rPr>
                <w:rFonts w:ascii="Aptos" w:hAnsi="Aptos"/>
                <w:b w:val="0"/>
                <w:sz w:val="15"/>
              </w:rPr>
              <w:t>Explicit target_company fields and node references were added so the target remained consistent across split and aggregate steps.</w:t>
            </w:r>
          </w:p>
        </w:tc>
      </w:tr>
      <w:tr>
        <w:tc>
          <w:tcPr>
            <w:tcW w:type="dxa" w:w="5040"/>
            <w:vAlign w:val="center"/>
            <w:shd w:fill="F4F7FA"/>
          </w:tcPr>
          <w:p>
            <w:pPr>
              <w:spacing w:after="0"/>
            </w:pPr>
            <w:r/>
            <w:r>
              <w:rPr>
                <w:rFonts w:ascii="Aptos" w:hAnsi="Aptos"/>
                <w:b w:val="0"/>
                <w:sz w:val="15"/>
              </w:rPr>
              <w:t>Confidence routing</w:t>
            </w:r>
          </w:p>
        </w:tc>
        <w:tc>
          <w:tcPr>
            <w:tcW w:type="dxa" w:w="5040"/>
            <w:vAlign w:val="center"/>
            <w:shd w:fill="F4F7FA"/>
          </w:tcPr>
          <w:p>
            <w:pPr>
              <w:spacing w:after="0"/>
            </w:pPr>
            <w:r/>
            <w:r>
              <w:rPr>
                <w:rFonts w:ascii="Aptos" w:hAnsi="Aptos"/>
                <w:b w:val="0"/>
                <w:sz w:val="15"/>
              </w:rPr>
              <w:t>A production threshold of 75 was added. High-confidence results proceed; low-confidence results enter Human Review.</w:t>
            </w:r>
          </w:p>
        </w:tc>
      </w:tr>
      <w:tr>
        <w:tc>
          <w:tcPr>
            <w:tcW w:type="dxa" w:w="5040"/>
            <w:vAlign w:val="center"/>
          </w:tcPr>
          <w:p>
            <w:pPr>
              <w:spacing w:after="0"/>
            </w:pPr>
            <w:r/>
            <w:r>
              <w:rPr>
                <w:rFonts w:ascii="Aptos" w:hAnsi="Aptos"/>
                <w:b w:val="0"/>
                <w:sz w:val="15"/>
              </w:rPr>
              <w:t>Human review</w:t>
            </w:r>
          </w:p>
        </w:tc>
        <w:tc>
          <w:tcPr>
            <w:tcW w:type="dxa" w:w="5040"/>
            <w:vAlign w:val="center"/>
          </w:tcPr>
          <w:p>
            <w:pPr>
              <w:spacing w:after="0"/>
            </w:pPr>
            <w:r/>
            <w:r>
              <w:rPr>
                <w:rFonts w:ascii="Aptos" w:hAnsi="Aptos"/>
                <w:b w:val="0"/>
                <w:sz w:val="15"/>
              </w:rPr>
              <w:t>Reviewer choices were added: Approve and generate report, Continue with warning, or Retry research.</w:t>
            </w:r>
          </w:p>
        </w:tc>
      </w:tr>
      <w:tr>
        <w:tc>
          <w:tcPr>
            <w:tcW w:type="dxa" w:w="5040"/>
            <w:vAlign w:val="center"/>
            <w:shd w:fill="F4F7FA"/>
          </w:tcPr>
          <w:p>
            <w:pPr>
              <w:spacing w:after="0"/>
            </w:pPr>
            <w:r/>
            <w:r>
              <w:rPr>
                <w:rFonts w:ascii="Aptos" w:hAnsi="Aptos"/>
                <w:b w:val="0"/>
                <w:sz w:val="15"/>
              </w:rPr>
              <w:t>Low-confidence warning</w:t>
            </w:r>
          </w:p>
        </w:tc>
        <w:tc>
          <w:tcPr>
            <w:tcW w:type="dxa" w:w="5040"/>
            <w:vAlign w:val="center"/>
            <w:shd w:fill="F4F7FA"/>
          </w:tcPr>
          <w:p>
            <w:pPr>
              <w:spacing w:after="0"/>
            </w:pPr>
            <w:r/>
            <w:r>
              <w:rPr>
                <w:rFonts w:ascii="Aptos" w:hAnsi="Aptos"/>
                <w:b w:val="0"/>
                <w:sz w:val="15"/>
              </w:rPr>
              <w:t>A warning field was added so human-approved low-confidence reports visibly disclose research risk.</w:t>
            </w:r>
          </w:p>
        </w:tc>
      </w:tr>
      <w:tr>
        <w:tc>
          <w:tcPr>
            <w:tcW w:type="dxa" w:w="5040"/>
            <w:vAlign w:val="center"/>
          </w:tcPr>
          <w:p>
            <w:pPr>
              <w:spacing w:after="0"/>
            </w:pPr>
            <w:r/>
            <w:r>
              <w:rPr>
                <w:rFonts w:ascii="Aptos" w:hAnsi="Aptos"/>
                <w:b w:val="0"/>
                <w:sz w:val="15"/>
              </w:rPr>
              <w:t>One-time retry</w:t>
            </w:r>
          </w:p>
        </w:tc>
        <w:tc>
          <w:tcPr>
            <w:tcW w:type="dxa" w:w="5040"/>
            <w:vAlign w:val="center"/>
          </w:tcPr>
          <w:p>
            <w:pPr>
              <w:spacing w:after="0"/>
            </w:pPr>
            <w:r/>
            <w:r>
              <w:rPr>
                <w:rFonts w:ascii="Aptos" w:hAnsi="Aptos"/>
                <w:b w:val="0"/>
                <w:sz w:val="15"/>
              </w:rPr>
              <w:t>A retry counter and targeted search/synthesis/report path were added to avoid uncontrolled loops.</w:t>
            </w:r>
          </w:p>
        </w:tc>
      </w:tr>
      <w:tr>
        <w:tc>
          <w:tcPr>
            <w:tcW w:type="dxa" w:w="5040"/>
            <w:vAlign w:val="center"/>
            <w:shd w:fill="F4F7FA"/>
          </w:tcPr>
          <w:p>
            <w:pPr>
              <w:spacing w:after="0"/>
            </w:pPr>
            <w:r/>
            <w:r>
              <w:rPr>
                <w:rFonts w:ascii="Aptos" w:hAnsi="Aptos"/>
                <w:b w:val="0"/>
                <w:sz w:val="15"/>
              </w:rPr>
              <w:t>Retry API failure</w:t>
            </w:r>
          </w:p>
        </w:tc>
        <w:tc>
          <w:tcPr>
            <w:tcW w:type="dxa" w:w="5040"/>
            <w:vAlign w:val="center"/>
            <w:shd w:fill="F4F7FA"/>
          </w:tcPr>
          <w:p>
            <w:pPr>
              <w:spacing w:after="0"/>
            </w:pPr>
            <w:r/>
            <w:r>
              <w:rPr>
                <w:rFonts w:ascii="Aptos" w:hAnsi="Aptos"/>
                <w:b w:val="0"/>
                <w:sz w:val="15"/>
              </w:rPr>
              <w:t>An overlong retry search query exceeded the API limit; it was shortened and detailed validation context was moved to synthesis.</w:t>
            </w:r>
          </w:p>
        </w:tc>
      </w:tr>
      <w:tr>
        <w:tc>
          <w:tcPr>
            <w:tcW w:type="dxa" w:w="5040"/>
            <w:vAlign w:val="center"/>
          </w:tcPr>
          <w:p>
            <w:pPr>
              <w:spacing w:after="0"/>
            </w:pPr>
            <w:r/>
            <w:r>
              <w:rPr>
                <w:rFonts w:ascii="Aptos" w:hAnsi="Aptos"/>
                <w:b w:val="0"/>
                <w:sz w:val="15"/>
              </w:rPr>
              <w:t>Invalid company failure</w:t>
            </w:r>
          </w:p>
        </w:tc>
        <w:tc>
          <w:tcPr>
            <w:tcW w:type="dxa" w:w="5040"/>
            <w:vAlign w:val="center"/>
          </w:tcPr>
          <w:p>
            <w:pPr>
              <w:spacing w:after="0"/>
            </w:pPr>
            <w:r/>
            <w:r>
              <w:rPr>
                <w:rFonts w:ascii="Aptos" w:hAnsi="Aptos"/>
                <w:b w:val="0"/>
                <w:sz w:val="15"/>
              </w:rPr>
              <w:t>A nonsense company was initially mapped to an unrelated real entity. An Entity Verification Gate was added before competitor discovery.</w:t>
            </w:r>
          </w:p>
        </w:tc>
      </w:tr>
      <w:tr>
        <w:tc>
          <w:tcPr>
            <w:tcW w:type="dxa" w:w="5040"/>
            <w:vAlign w:val="center"/>
            <w:shd w:fill="F4F7FA"/>
          </w:tcPr>
          <w:p>
            <w:pPr>
              <w:spacing w:after="0"/>
            </w:pPr>
            <w:r/>
            <w:r>
              <w:rPr>
                <w:rFonts w:ascii="Aptos" w:hAnsi="Aptos"/>
                <w:b w:val="0"/>
                <w:sz w:val="15"/>
              </w:rPr>
              <w:t>Credential security</w:t>
            </w:r>
          </w:p>
        </w:tc>
        <w:tc>
          <w:tcPr>
            <w:tcW w:type="dxa" w:w="5040"/>
            <w:vAlign w:val="center"/>
            <w:shd w:fill="F4F7FA"/>
          </w:tcPr>
          <w:p>
            <w:pPr>
              <w:spacing w:after="0"/>
            </w:pPr>
            <w:r/>
            <w:r>
              <w:rPr>
                <w:rFonts w:ascii="Aptos" w:hAnsi="Aptos"/>
                <w:b w:val="0"/>
                <w:sz w:val="15"/>
              </w:rPr>
              <w:t>The You.com API key was moved from plaintext HTTP headers into n8n Header Auth credentials before repository submission.</w:t>
            </w:r>
          </w:p>
        </w:tc>
      </w:tr>
    </w:tbl>
    <w:p/>
    <w:p>
      <w:pPr>
        <w:pStyle w:val="Heading1"/>
      </w:pPr>
      <w:r>
        <w:t>7. Key Failure and Mitigation: Entity Verification</w:t>
      </w:r>
    </w:p>
    <w:p>
      <w:r>
        <w:t>The most important evaluation finding occurred when an intentionally invalid company name was submitted. The initial search results pointed to a similarly named real company, causing competitor discovery to begin against the wrong entity. The downstream Research Validation Agent detected the weak evidence and reduced confidence to 45/100, but unnecessary research had already occurred.</w:t>
      </w:r>
    </w:p>
    <w:p>
      <w:r>
        <w:t>To fix the root cause, an Entity Verification Agent and Boolean gate were inserted immediately after the initial search. The verifier compares the exact submitted company with the retrieved evidence and refuses silent substitution. If verification fails, the workflow stops and asks the user to verify the company name or provide a website/domain. A later Duolingo regression test verified the entity at 95 confidence and completed successfully, confirming that the guardrail did not break valid inputs.</w:t>
      </w:r>
    </w:p>
    <w:p>
      <w:pPr>
        <w:pStyle w:val="Heading1"/>
      </w:pPr>
      <w:r>
        <w:t>8. Evaluation Summary</w:t>
      </w:r>
    </w:p>
    <w:p>
      <w:r>
        <w:t>The system was evaluated across 15 functional and quality-oriented cases. Tests covered valid companies, cross-domain generalization, ambiguous and invalid inputs, structured outputs, exactly-three-competitor behavior, target preservation, confidence routing, Human Review, continue-with-warning, one-time retry, API failure recovery, and final browser delivery.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rFonts w:ascii="Aptos" w:hAnsi="Aptos"/>
                <w:b/>
                <w:color w:val="FFFFFF"/>
                <w:sz w:val="16"/>
              </w:rPr>
              <w:t>Representative Test</w:t>
            </w:r>
          </w:p>
        </w:tc>
        <w:tc>
          <w:tcPr>
            <w:tcW w:type="dxa" w:w="5040"/>
            <w:vAlign w:val="center"/>
            <w:shd w:fill="1F4E79"/>
          </w:tcPr>
          <w:p>
            <w:pPr>
              <w:spacing w:after="0"/>
            </w:pPr>
            <w:r/>
            <w:r>
              <w:rPr>
                <w:rFonts w:ascii="Aptos" w:hAnsi="Aptos"/>
                <w:b/>
                <w:color w:val="FFFFFF"/>
                <w:sz w:val="16"/>
              </w:rPr>
              <w:t>Outcome</w:t>
            </w:r>
          </w:p>
        </w:tc>
      </w:tr>
      <w:tr>
        <w:tc>
          <w:tcPr>
            <w:tcW w:type="dxa" w:w="5040"/>
            <w:vAlign w:val="center"/>
          </w:tcPr>
          <w:p>
            <w:pPr>
              <w:spacing w:after="0"/>
            </w:pPr>
            <w:r/>
            <w:r>
              <w:rPr>
                <w:rFonts w:ascii="Aptos" w:hAnsi="Aptos"/>
                <w:b w:val="0"/>
                <w:sz w:val="16"/>
              </w:rPr>
              <w:t>Workday baseline</w:t>
            </w:r>
          </w:p>
        </w:tc>
        <w:tc>
          <w:tcPr>
            <w:tcW w:type="dxa" w:w="5040"/>
            <w:vAlign w:val="center"/>
          </w:tcPr>
          <w:p>
            <w:pPr>
              <w:spacing w:after="0"/>
            </w:pPr>
            <w:r/>
            <w:r>
              <w:rPr>
                <w:rFonts w:ascii="Aptos" w:hAnsi="Aptos"/>
                <w:b w:val="0"/>
                <w:sz w:val="16"/>
              </w:rPr>
              <w:t>PASS - complete enterprise competitive analysis.</w:t>
            </w:r>
          </w:p>
        </w:tc>
      </w:tr>
      <w:tr>
        <w:tc>
          <w:tcPr>
            <w:tcW w:type="dxa" w:w="5040"/>
            <w:vAlign w:val="center"/>
            <w:shd w:fill="F4F7FA"/>
          </w:tcPr>
          <w:p>
            <w:pPr>
              <w:spacing w:after="0"/>
            </w:pPr>
            <w:r/>
            <w:r>
              <w:rPr>
                <w:rFonts w:ascii="Aptos" w:hAnsi="Aptos"/>
                <w:b w:val="0"/>
                <w:sz w:val="16"/>
              </w:rPr>
              <w:t>Canva cross-domain</w:t>
            </w:r>
          </w:p>
        </w:tc>
        <w:tc>
          <w:tcPr>
            <w:tcW w:type="dxa" w:w="5040"/>
            <w:vAlign w:val="center"/>
            <w:shd w:fill="F4F7FA"/>
          </w:tcPr>
          <w:p>
            <w:pPr>
              <w:spacing w:after="0"/>
            </w:pPr>
            <w:r/>
            <w:r>
              <w:rPr>
                <w:rFonts w:ascii="Aptos" w:hAnsi="Aptos"/>
                <w:b w:val="0"/>
                <w:sz w:val="16"/>
              </w:rPr>
              <w:t>PASS - creative-software research and review/retry paths worked.</w:t>
            </w:r>
          </w:p>
        </w:tc>
      </w:tr>
      <w:tr>
        <w:tc>
          <w:tcPr>
            <w:tcW w:type="dxa" w:w="5040"/>
            <w:vAlign w:val="center"/>
          </w:tcPr>
          <w:p>
            <w:pPr>
              <w:spacing w:after="0"/>
            </w:pPr>
            <w:r/>
            <w:r>
              <w:rPr>
                <w:rFonts w:ascii="Aptos" w:hAnsi="Aptos"/>
                <w:b w:val="0"/>
                <w:sz w:val="16"/>
              </w:rPr>
              <w:t>Mercury ambiguity</w:t>
            </w:r>
          </w:p>
        </w:tc>
        <w:tc>
          <w:tcPr>
            <w:tcW w:type="dxa" w:w="5040"/>
            <w:vAlign w:val="center"/>
          </w:tcPr>
          <w:p>
            <w:pPr>
              <w:spacing w:after="0"/>
            </w:pPr>
            <w:r/>
            <w:r>
              <w:rPr>
                <w:rFonts w:ascii="Aptos" w:hAnsi="Aptos"/>
                <w:b w:val="0"/>
                <w:sz w:val="16"/>
              </w:rPr>
              <w:t>PASS with limitation - resolved to fintech Mercury; validation confidence 90.</w:t>
            </w:r>
          </w:p>
        </w:tc>
      </w:tr>
      <w:tr>
        <w:tc>
          <w:tcPr>
            <w:tcW w:type="dxa" w:w="5040"/>
            <w:vAlign w:val="center"/>
            <w:shd w:fill="F4F7FA"/>
          </w:tcPr>
          <w:p>
            <w:pPr>
              <w:spacing w:after="0"/>
            </w:pPr>
            <w:r/>
            <w:r>
              <w:rPr>
                <w:rFonts w:ascii="Aptos" w:hAnsi="Aptos"/>
                <w:b w:val="0"/>
                <w:sz w:val="16"/>
              </w:rPr>
              <w:t>Invalid company</w:t>
            </w:r>
          </w:p>
        </w:tc>
        <w:tc>
          <w:tcPr>
            <w:tcW w:type="dxa" w:w="5040"/>
            <w:vAlign w:val="center"/>
            <w:shd w:fill="F4F7FA"/>
          </w:tcPr>
          <w:p>
            <w:pPr>
              <w:spacing w:after="0"/>
            </w:pPr>
            <w:r/>
            <w:r>
              <w:rPr>
                <w:rFonts w:ascii="Aptos" w:hAnsi="Aptos"/>
                <w:b w:val="0"/>
                <w:sz w:val="16"/>
              </w:rPr>
              <w:t>Initial partial failure → mitigated by Entity Verification Gate.</w:t>
            </w:r>
          </w:p>
        </w:tc>
      </w:tr>
      <w:tr>
        <w:tc>
          <w:tcPr>
            <w:tcW w:type="dxa" w:w="5040"/>
            <w:vAlign w:val="center"/>
          </w:tcPr>
          <w:p>
            <w:pPr>
              <w:spacing w:after="0"/>
            </w:pPr>
            <w:r/>
            <w:r>
              <w:rPr>
                <w:rFonts w:ascii="Aptos" w:hAnsi="Aptos"/>
                <w:b w:val="0"/>
                <w:sz w:val="16"/>
              </w:rPr>
              <w:t>Duolingo regression</w:t>
            </w:r>
          </w:p>
        </w:tc>
        <w:tc>
          <w:tcPr>
            <w:tcW w:type="dxa" w:w="5040"/>
            <w:vAlign w:val="center"/>
          </w:tcPr>
          <w:p>
            <w:pPr>
              <w:spacing w:after="0"/>
            </w:pPr>
            <w:r/>
            <w:r>
              <w:rPr>
                <w:rFonts w:ascii="Aptos" w:hAnsi="Aptos"/>
                <w:b w:val="0"/>
                <w:sz w:val="16"/>
              </w:rPr>
              <w:t>PASS - verified at 95; Babbel, Rosetta Stone, Busuu; final report confidence 80.</w:t>
            </w:r>
          </w:p>
        </w:tc>
      </w:tr>
      <w:tr>
        <w:tc>
          <w:tcPr>
            <w:tcW w:type="dxa" w:w="5040"/>
            <w:vAlign w:val="center"/>
            <w:shd w:fill="F4F7FA"/>
          </w:tcPr>
          <w:p>
            <w:pPr>
              <w:spacing w:after="0"/>
            </w:pPr>
            <w:r/>
            <w:r>
              <w:rPr>
                <w:rFonts w:ascii="Aptos" w:hAnsi="Aptos"/>
                <w:b w:val="0"/>
                <w:sz w:val="16"/>
              </w:rPr>
              <w:t>Human Review / Warning / Retry</w:t>
            </w:r>
          </w:p>
        </w:tc>
        <w:tc>
          <w:tcPr>
            <w:tcW w:type="dxa" w:w="5040"/>
            <w:vAlign w:val="center"/>
            <w:shd w:fill="F4F7FA"/>
          </w:tcPr>
          <w:p>
            <w:pPr>
              <w:spacing w:after="0"/>
            </w:pPr>
            <w:r/>
            <w:r>
              <w:rPr>
                <w:rFonts w:ascii="Aptos" w:hAnsi="Aptos"/>
                <w:b w:val="0"/>
                <w:sz w:val="16"/>
              </w:rPr>
              <w:t>PASS - all major control-flow branches exercised successfully.</w:t>
            </w:r>
          </w:p>
        </w:tc>
      </w:tr>
    </w:tbl>
    <w:p/>
    <w:p>
      <w:pPr>
        <w:pStyle w:val="Heading1"/>
      </w:pPr>
      <w:r>
        <w:t>9. Key Learnings</w:t>
      </w:r>
    </w:p>
    <w:p>
      <w:pPr>
        <w:pStyle w:val="ListBullet"/>
        <w:spacing w:after="40"/>
      </w:pPr>
      <w:r>
        <w:t>Retrieval quality is not enough; entity identity should be verified before expensive downstream research.</w:t>
      </w:r>
    </w:p>
    <w:p>
      <w:pPr>
        <w:pStyle w:val="ListBullet"/>
        <w:spacing w:after="40"/>
      </w:pPr>
      <w:r>
        <w:t>A separate validation agent is valuable because it can catch weaknesses that the analysis agent may overlook.</w:t>
      </w:r>
    </w:p>
    <w:p>
      <w:pPr>
        <w:pStyle w:val="ListBullet"/>
        <w:spacing w:after="40"/>
      </w:pPr>
      <w:r>
        <w:t>Confidence routing is more useful when paired with a meaningful human decision path rather than a simple approval button.</w:t>
      </w:r>
    </w:p>
    <w:p>
      <w:pPr>
        <w:pStyle w:val="ListBullet"/>
        <w:spacing w:after="40"/>
      </w:pPr>
      <w:r>
        <w:t>Retry logic should be bounded and targeted; otherwise agent workflows can create loops, cost, and inconsistent results.</w:t>
      </w:r>
    </w:p>
    <w:p>
      <w:pPr>
        <w:pStyle w:val="ListBullet"/>
        <w:spacing w:after="40"/>
      </w:pPr>
      <w:r>
        <w:t>Structured outputs greatly simplify multi-agent workflows, but field names and node references must remain consistent.</w:t>
      </w:r>
    </w:p>
    <w:p>
      <w:pPr>
        <w:pStyle w:val="ListBullet"/>
        <w:spacing w:after="40"/>
      </w:pPr>
      <w:r>
        <w:t>Credentials should be stored in n8n credential management rather than hard-coded into exported workflow JSON.</w:t>
      </w:r>
    </w:p>
    <w:p>
      <w:pPr>
        <w:pStyle w:val="Heading1"/>
      </w:pPr>
      <w:r>
        <w:t>10. Known Limitations and Future Improvements</w:t>
      </w:r>
    </w:p>
    <w:p>
      <w:pPr>
        <w:pStyle w:val="ListBullet"/>
        <w:spacing w:after="40"/>
      </w:pPr>
      <w:r>
        <w:t>Pricing may remain incomplete or secondary-source dependent, especially for negotiated enterprise products.</w:t>
      </w:r>
    </w:p>
    <w:p>
      <w:pPr>
        <w:pStyle w:val="ListBullet"/>
        <w:spacing w:after="40"/>
      </w:pPr>
      <w:r>
        <w:t>Ambiguous company names may still benefit from asking the user for a domain before research.</w:t>
      </w:r>
    </w:p>
    <w:p>
      <w:pPr>
        <w:pStyle w:val="ListBullet"/>
        <w:spacing w:after="40"/>
      </w:pPr>
      <w:r>
        <w:t>The confidence score is model-generated and has not been statistically calibrated against a large labeled benchmark.</w:t>
      </w:r>
    </w:p>
    <w:p>
      <w:pPr>
        <w:pStyle w:val="ListBullet"/>
        <w:spacing w:after="40"/>
      </w:pPr>
      <w:r>
        <w:t>The default n8n form is functional but not ideal for long report presentation.</w:t>
      </w:r>
    </w:p>
    <w:p>
      <w:pPr>
        <w:pStyle w:val="ListBullet"/>
        <w:spacing w:after="40"/>
      </w:pPr>
      <w:r>
        <w:t>Future work could prioritize official vendor sources, add automated regression tests, calibrate confidence, and provide PDF/report export.</w:t>
      </w:r>
    </w:p>
    <w:p>
      <w:pPr>
        <w:pStyle w:val="Heading1"/>
      </w:pPr>
      <w:r>
        <w:t>11. Submission Artifacts</w:t>
      </w:r>
    </w:p>
    <w:p>
      <w:r>
        <w:t>The GitHub repository contains the final README, exported n8n workflow JSON, evaluation report, and supporting screenshots. The detailed 15-case scoring and failure analysis are provided separately in the Evaluation Report to keep this project documentation concise.</w:t>
      </w:r>
    </w:p>
    <w:p>
      <w:pPr>
        <w:pStyle w:val="Heading1"/>
      </w:pPr>
      <w:r>
        <w:t>12. Conclusion</w:t>
      </w:r>
    </w:p>
    <w:p>
      <w:r>
        <w:t>The final project demonstrates a complete agentic competitive-research workflow with evidence retrieval, specialized AI agents, structured data exchange, validation, confidence-based routing, human oversight, retry handling, and user-facing delivery. The development process also demonstrates evaluation-driven iteration: a real entity-resolution failure was discovered, diagnosed, mitigated with an early verification gate, and validated with a positive regression test.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