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8"/>
        </w:rPr>
        <w:t>Competitive Intelligence Research Agent</w:t>
      </w:r>
    </w:p>
    <w:p>
      <w:pPr>
        <w:jc w:val="center"/>
      </w:pPr>
      <w:r>
        <w:rPr>
          <w:b/>
          <w:color w:val="2F5597"/>
          <w:sz w:val="40"/>
        </w:rPr>
        <w:t>Evaluation Report</w:t>
      </w:r>
    </w:p>
    <w:p>
      <w:pPr>
        <w:spacing w:before="500"/>
        <w:jc w:val="center"/>
      </w:pPr>
      <w:r>
        <w:rPr>
          <w:sz w:val="22"/>
        </w:rPr>
        <w:t>Submission-ready evaluation of research quality, grounding, routing, failure handling, human review, retry behavior, and user-facing delivery</w:t>
      </w:r>
    </w:p>
    <w:p>
      <w:r>
        <w:br w:type="page"/>
      </w:r>
    </w:p>
    <w:p>
      <w:pPr>
        <w:pStyle w:val="Heading1"/>
      </w:pPr>
      <w:r>
        <w:t>1. Executive Summary</w:t>
      </w:r>
    </w:p>
    <w:p>
      <w:r>
        <w:t>The Competitive Intelligence Research Agent was evaluated across 15 functional and quality-oriented test cases. Testing covered valid-company research, ambiguous and invalid inputs, competitor discovery, structured output, evidence quality, confidence routing, human review, retry behavior, API failure recovery, and final user-facing delivery.</w:t>
      </w:r>
    </w:p>
    <w:p>
      <w:r>
        <w:t>The system performed strongly on valid-company research. Workday, Canva, Mercury, and Duolingo produced coherent competitive intelligence, while the validation layer consistently preserved uncertainty around weak or unverified pricing. All major control-flow branches were exercised successfully: normal high-confidence completion, human approval, continuation with a low-confidence warning, and one-time targeted retry.</w:t>
      </w:r>
    </w:p>
    <w:p>
      <w:r>
        <w:t>A material failure was discovered during invalid-input testing: a nonsense company name was initially resolved to an unrelated real company, X Test Inc. The validator detected weak evidence and reduced confidence to 45/100, routing the case to human review. An Entity Verification Gate was then added immediately after initial search. Retesting the same invalid input stopped research before competitor discovery and returned a clarification message. A positive Duolingo regression test confirmed that the new gate did not break valid-company processing.</w:t>
      </w:r>
    </w:p>
    <w:p>
      <w:pPr>
        <w:pStyle w:val="Heading1"/>
      </w:pPr>
      <w:r>
        <w:t>2. System Under Evaluation</w:t>
      </w:r>
    </w:p>
    <w:p>
      <w:r>
        <w:t>The workflow accepts a company name through an n8n form, searches for evidence, verifies the target entity, discovers exactly three competitors, performs per-competitor research, aggregates findings, creates a competitive analysis, validates research quality, routes on confidence, optionally invokes human review and one-time retry research, and presents a final report to the user.</w:t>
      </w:r>
    </w:p>
    <w:p>
      <w:r>
        <w:rPr>
          <w:b/>
        </w:rPr>
        <w:t>Form → Initialize State → Competitor Search → Entity Verification → Competitor Discovery → Split Competitors → Competitor Research → Aggregate → Competitive Analysis → Research Validation → Confidence Check → Final Report / Human Review → Approve | Warning | Retry → Form Ending</w:t>
      </w:r>
    </w:p>
    <w:p>
      <w:pPr>
        <w:pStyle w:val="Heading1"/>
      </w:pPr>
      <w:r>
        <w:t>3. Evaluation Methodology</w:t>
      </w:r>
    </w:p>
    <w:p>
      <w:r>
        <w:t>Testing combined targeted node execution with full end-to-end form executions. The production confidence threshold was 75. Branch tests temporarily forced low-confidence routing where necessary and the threshold was restored afterward.</w:t>
      </w:r>
    </w:p>
    <w:p>
      <w:r>
        <w:t>Quality dimensions used a 1–5 scale: 5 = strong, 4 = good with minor gaps, 3 = acceptable/partial, 2 = weak, and 1 = failure. Content-oriented company runs were scored across seven dimensions for a maximum of 35 points. Routing-only tests were evaluated primarily as PASS, PARTIAL PASS, or FAIL.</w:t>
      </w:r>
    </w:p>
    <w:p>
      <w:pPr>
        <w:pStyle w:val="Heading1"/>
      </w:pPr>
      <w:r>
        <w:t>4. Evaluation Rubric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F4E79"/>
          </w:tcPr>
          <w:p>
            <w:pPr>
              <w:spacing w:after="0"/>
            </w:pPr>
            <w:r/>
            <w:r>
              <w:rPr>
                <w:rFonts w:ascii="Aptos" w:hAnsi="Aptos"/>
                <w:b/>
                <w:color w:val="FFFFFF"/>
                <w:sz w:val="16"/>
              </w:rPr>
              <w:t>Dimension</w:t>
            </w:r>
          </w:p>
        </w:tc>
        <w:tc>
          <w:tcPr>
            <w:tcW w:type="dxa" w:w="5112"/>
            <w:vAlign w:val="center"/>
            <w:shd w:fill="1F4E79"/>
          </w:tcPr>
          <w:p>
            <w:pPr>
              <w:spacing w:after="0"/>
            </w:pPr>
            <w:r/>
            <w:r>
              <w:rPr>
                <w:rFonts w:ascii="Aptos" w:hAnsi="Aptos"/>
                <w:b/>
                <w:color w:val="FFFFFF"/>
                <w:sz w:val="16"/>
              </w:rPr>
              <w:t>What was evaluated</w:t>
            </w:r>
          </w:p>
        </w:tc>
      </w:tr>
      <w:tr>
        <w:tc>
          <w:tcPr>
            <w:tcW w:type="dxa" w:w="5112"/>
            <w:vAlign w:val="center"/>
          </w:tcPr>
          <w:p>
            <w:pPr>
              <w:spacing w:after="0"/>
            </w:pPr>
            <w:r/>
            <w:r>
              <w:rPr>
                <w:rFonts w:ascii="Aptos" w:hAnsi="Aptos"/>
                <w:b w:val="0"/>
                <w:sz w:val="16"/>
              </w:rPr>
              <w:t>Competitor Relevance</w:t>
            </w:r>
          </w:p>
        </w:tc>
        <w:tc>
          <w:tcPr>
            <w:tcW w:type="dxa" w:w="5112"/>
            <w:vAlign w:val="center"/>
          </w:tcPr>
          <w:p>
            <w:pPr>
              <w:spacing w:after="0"/>
            </w:pPr>
            <w:r/>
            <w:r>
              <w:rPr>
                <w:rFonts w:ascii="Aptos" w:hAnsi="Aptos"/>
                <w:b w:val="0"/>
                <w:sz w:val="16"/>
              </w:rPr>
              <w:t>Whether the three discovered competitors genuinely match the verified target.</w:t>
            </w:r>
          </w:p>
        </w:tc>
      </w:tr>
      <w:tr>
        <w:tc>
          <w:tcPr>
            <w:tcW w:type="dxa" w:w="5112"/>
            <w:vAlign w:val="center"/>
            <w:shd w:fill="F2F6FA"/>
          </w:tcPr>
          <w:p>
            <w:pPr>
              <w:spacing w:after="0"/>
            </w:pPr>
            <w:r/>
            <w:r>
              <w:rPr>
                <w:rFonts w:ascii="Aptos" w:hAnsi="Aptos"/>
                <w:b w:val="0"/>
                <w:sz w:val="16"/>
              </w:rPr>
              <w:t>Research Completeness</w:t>
            </w:r>
          </w:p>
        </w:tc>
        <w:tc>
          <w:tcPr>
            <w:tcW w:type="dxa" w:w="5112"/>
            <w:vAlign w:val="center"/>
            <w:shd w:fill="F2F6FA"/>
          </w:tcPr>
          <w:p>
            <w:pPr>
              <w:spacing w:after="0"/>
            </w:pPr>
            <w:r/>
            <w:r>
              <w:rPr>
                <w:rFonts w:ascii="Aptos" w:hAnsi="Aptos"/>
                <w:b w:val="0"/>
                <w:sz w:val="16"/>
              </w:rPr>
              <w:t>Coverage of pricing, features, customers, positioning, differentiators, and recent developments where evidence exists.</w:t>
            </w:r>
          </w:p>
        </w:tc>
      </w:tr>
      <w:tr>
        <w:tc>
          <w:tcPr>
            <w:tcW w:type="dxa" w:w="5112"/>
            <w:vAlign w:val="center"/>
          </w:tcPr>
          <w:p>
            <w:pPr>
              <w:spacing w:after="0"/>
            </w:pPr>
            <w:r/>
            <w:r>
              <w:rPr>
                <w:rFonts w:ascii="Aptos" w:hAnsi="Aptos"/>
                <w:b w:val="0"/>
                <w:sz w:val="16"/>
              </w:rPr>
              <w:t>Evidence Quality</w:t>
            </w:r>
          </w:p>
        </w:tc>
        <w:tc>
          <w:tcPr>
            <w:tcW w:type="dxa" w:w="5112"/>
            <w:vAlign w:val="center"/>
          </w:tcPr>
          <w:p>
            <w:pPr>
              <w:spacing w:after="0"/>
            </w:pPr>
            <w:r/>
            <w:r>
              <w:rPr>
                <w:rFonts w:ascii="Aptos" w:hAnsi="Aptos"/>
                <w:b w:val="0"/>
                <w:sz w:val="16"/>
              </w:rPr>
              <w:t>Grounding in retrieved evidence and recognition of source limitations.</w:t>
            </w:r>
          </w:p>
        </w:tc>
      </w:tr>
      <w:tr>
        <w:tc>
          <w:tcPr>
            <w:tcW w:type="dxa" w:w="5112"/>
            <w:vAlign w:val="center"/>
            <w:shd w:fill="F2F6FA"/>
          </w:tcPr>
          <w:p>
            <w:pPr>
              <w:spacing w:after="0"/>
            </w:pPr>
            <w:r/>
            <w:r>
              <w:rPr>
                <w:rFonts w:ascii="Aptos" w:hAnsi="Aptos"/>
                <w:b w:val="0"/>
                <w:sz w:val="16"/>
              </w:rPr>
              <w:t>Analysis Quality</w:t>
            </w:r>
          </w:p>
        </w:tc>
        <w:tc>
          <w:tcPr>
            <w:tcW w:type="dxa" w:w="5112"/>
            <w:vAlign w:val="center"/>
            <w:shd w:fill="F2F6FA"/>
          </w:tcPr>
          <w:p>
            <w:pPr>
              <w:spacing w:after="0"/>
            </w:pPr>
            <w:r/>
            <w:r>
              <w:rPr>
                <w:rFonts w:ascii="Aptos" w:hAnsi="Aptos"/>
                <w:b w:val="0"/>
                <w:sz w:val="16"/>
              </w:rPr>
              <w:t>Usefulness of comparisons and strategic interpretation without overstating evidence.</w:t>
            </w:r>
          </w:p>
        </w:tc>
      </w:tr>
      <w:tr>
        <w:tc>
          <w:tcPr>
            <w:tcW w:type="dxa" w:w="5112"/>
            <w:vAlign w:val="center"/>
          </w:tcPr>
          <w:p>
            <w:pPr>
              <w:spacing w:after="0"/>
            </w:pPr>
            <w:r/>
            <w:r>
              <w:rPr>
                <w:rFonts w:ascii="Aptos" w:hAnsi="Aptos"/>
                <w:b w:val="0"/>
                <w:sz w:val="16"/>
              </w:rPr>
              <w:t>Hallucination Control</w:t>
            </w:r>
          </w:p>
        </w:tc>
        <w:tc>
          <w:tcPr>
            <w:tcW w:type="dxa" w:w="5112"/>
            <w:vAlign w:val="center"/>
          </w:tcPr>
          <w:p>
            <w:pPr>
              <w:spacing w:after="0"/>
            </w:pPr>
            <w:r/>
            <w:r>
              <w:rPr>
                <w:rFonts w:ascii="Aptos" w:hAnsi="Aptos"/>
                <w:b w:val="0"/>
                <w:sz w:val="16"/>
              </w:rPr>
              <w:t>Avoidance of unsupported claims; explicit handling of unverified or partial evidence.</w:t>
            </w:r>
          </w:p>
        </w:tc>
      </w:tr>
      <w:tr>
        <w:tc>
          <w:tcPr>
            <w:tcW w:type="dxa" w:w="5112"/>
            <w:vAlign w:val="center"/>
            <w:shd w:fill="F2F6FA"/>
          </w:tcPr>
          <w:p>
            <w:pPr>
              <w:spacing w:after="0"/>
            </w:pPr>
            <w:r/>
            <w:r>
              <w:rPr>
                <w:rFonts w:ascii="Aptos" w:hAnsi="Aptos"/>
                <w:b w:val="0"/>
                <w:sz w:val="16"/>
              </w:rPr>
              <w:t>Workflow / Agent Behavior</w:t>
            </w:r>
          </w:p>
        </w:tc>
        <w:tc>
          <w:tcPr>
            <w:tcW w:type="dxa" w:w="5112"/>
            <w:vAlign w:val="center"/>
            <w:shd w:fill="F2F6FA"/>
          </w:tcPr>
          <w:p>
            <w:pPr>
              <w:spacing w:after="0"/>
            </w:pPr>
            <w:r/>
            <w:r>
              <w:rPr>
                <w:rFonts w:ascii="Aptos" w:hAnsi="Aptos"/>
                <w:b w:val="0"/>
                <w:sz w:val="16"/>
              </w:rPr>
              <w:t>Structured output, routing, human review, retry, and failure handling.</w:t>
            </w:r>
          </w:p>
        </w:tc>
      </w:tr>
      <w:tr>
        <w:tc>
          <w:tcPr>
            <w:tcW w:type="dxa" w:w="5112"/>
            <w:vAlign w:val="center"/>
          </w:tcPr>
          <w:p>
            <w:pPr>
              <w:spacing w:after="0"/>
            </w:pPr>
            <w:r/>
            <w:r>
              <w:rPr>
                <w:rFonts w:ascii="Aptos" w:hAnsi="Aptos"/>
                <w:b w:val="0"/>
                <w:sz w:val="16"/>
              </w:rPr>
              <w:t>Final Report Quality</w:t>
            </w:r>
          </w:p>
        </w:tc>
        <w:tc>
          <w:tcPr>
            <w:tcW w:type="dxa" w:w="5112"/>
            <w:vAlign w:val="center"/>
          </w:tcPr>
          <w:p>
            <w:pPr>
              <w:spacing w:after="0"/>
            </w:pPr>
            <w:r/>
            <w:r>
              <w:rPr>
                <w:rFonts w:ascii="Aptos" w:hAnsi="Aptos"/>
                <w:b w:val="0"/>
                <w:sz w:val="16"/>
              </w:rPr>
              <w:t>Clarity, consistency, decision usefulness, and end-user readability.</w:t>
            </w:r>
          </w:p>
        </w:tc>
      </w:tr>
    </w:tbl>
    <w:p/>
    <w:p>
      <w:pPr>
        <w:pStyle w:val="Heading1"/>
      </w:pPr>
      <w:r>
        <w:t>5. Fifteen-Case Evaluation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F4E79"/>
          </w:tcPr>
          <w:p>
            <w:pPr>
              <w:spacing w:after="0"/>
            </w:pPr>
            <w:r/>
            <w:r>
              <w:rPr>
                <w:rFonts w:ascii="Aptos" w:hAnsi="Aptos"/>
                <w:b/>
                <w:color w:val="FFFFFF"/>
                <w:sz w:val="14"/>
              </w:rPr>
              <w:t>#</w:t>
            </w:r>
          </w:p>
        </w:tc>
        <w:tc>
          <w:tcPr>
            <w:tcW w:type="dxa" w:w="2045"/>
            <w:vAlign w:val="center"/>
            <w:shd w:fill="1F4E79"/>
          </w:tcPr>
          <w:p>
            <w:pPr>
              <w:spacing w:after="0"/>
            </w:pPr>
            <w:r/>
            <w:r>
              <w:rPr>
                <w:rFonts w:ascii="Aptos" w:hAnsi="Aptos"/>
                <w:b/>
                <w:color w:val="FFFFFF"/>
                <w:sz w:val="14"/>
              </w:rPr>
              <w:t>Test case</w:t>
            </w:r>
          </w:p>
        </w:tc>
        <w:tc>
          <w:tcPr>
            <w:tcW w:type="dxa" w:w="2045"/>
            <w:vAlign w:val="center"/>
            <w:shd w:fill="1F4E79"/>
          </w:tcPr>
          <w:p>
            <w:pPr>
              <w:spacing w:after="0"/>
            </w:pPr>
            <w:r/>
            <w:r>
              <w:rPr>
                <w:rFonts w:ascii="Aptos" w:hAnsi="Aptos"/>
                <w:b/>
                <w:color w:val="FFFFFF"/>
                <w:sz w:val="14"/>
              </w:rPr>
              <w:t>Purpose</w:t>
            </w:r>
          </w:p>
        </w:tc>
        <w:tc>
          <w:tcPr>
            <w:tcW w:type="dxa" w:w="2045"/>
            <w:vAlign w:val="center"/>
            <w:shd w:fill="1F4E79"/>
          </w:tcPr>
          <w:p>
            <w:pPr>
              <w:spacing w:after="0"/>
            </w:pPr>
            <w:r/>
            <w:r>
              <w:rPr>
                <w:rFonts w:ascii="Aptos" w:hAnsi="Aptos"/>
                <w:b/>
                <w:color w:val="FFFFFF"/>
                <w:sz w:val="14"/>
              </w:rPr>
              <w:t>Result</w:t>
            </w:r>
          </w:p>
        </w:tc>
        <w:tc>
          <w:tcPr>
            <w:tcW w:type="dxa" w:w="2045"/>
            <w:vAlign w:val="center"/>
            <w:shd w:fill="1F4E79"/>
          </w:tcPr>
          <w:p>
            <w:pPr>
              <w:spacing w:after="0"/>
            </w:pPr>
            <w:r/>
            <w:r>
              <w:rPr>
                <w:rFonts w:ascii="Aptos" w:hAnsi="Aptos"/>
                <w:b/>
                <w:color w:val="FFFFFF"/>
                <w:sz w:val="14"/>
              </w:rPr>
              <w:t>Observed outcome</w:t>
            </w:r>
          </w:p>
        </w:tc>
      </w:tr>
      <w:tr>
        <w:tc>
          <w:tcPr>
            <w:tcW w:type="dxa" w:w="2045"/>
            <w:vAlign w:val="center"/>
          </w:tcPr>
          <w:p>
            <w:pPr>
              <w:spacing w:after="0"/>
            </w:pPr>
            <w:r/>
            <w:r>
              <w:rPr>
                <w:rFonts w:ascii="Aptos" w:hAnsi="Aptos"/>
                <w:b w:val="0"/>
                <w:sz w:val="14"/>
              </w:rPr>
              <w:t>1</w:t>
            </w:r>
          </w:p>
        </w:tc>
        <w:tc>
          <w:tcPr>
            <w:tcW w:type="dxa" w:w="2045"/>
            <w:vAlign w:val="center"/>
          </w:tcPr>
          <w:p>
            <w:pPr>
              <w:spacing w:after="0"/>
            </w:pPr>
            <w:r/>
            <w:r>
              <w:rPr>
                <w:rFonts w:ascii="Aptos" w:hAnsi="Aptos"/>
                <w:b w:val="0"/>
                <w:sz w:val="14"/>
              </w:rPr>
              <w:t>Workday baseline</w:t>
            </w:r>
          </w:p>
        </w:tc>
        <w:tc>
          <w:tcPr>
            <w:tcW w:type="dxa" w:w="2045"/>
            <w:vAlign w:val="center"/>
          </w:tcPr>
          <w:p>
            <w:pPr>
              <w:spacing w:after="0"/>
            </w:pPr>
            <w:r/>
            <w:r>
              <w:rPr>
                <w:rFonts w:ascii="Aptos" w:hAnsi="Aptos"/>
                <w:b w:val="0"/>
                <w:sz w:val="14"/>
              </w:rPr>
              <w:t>Enterprise SaaS baseline</w:t>
            </w:r>
          </w:p>
        </w:tc>
        <w:tc>
          <w:tcPr>
            <w:tcW w:type="dxa" w:w="2045"/>
            <w:vAlign w:val="center"/>
          </w:tcPr>
          <w:p>
            <w:pPr>
              <w:spacing w:after="0"/>
            </w:pPr>
            <w:r/>
            <w:r>
              <w:rPr>
                <w:rFonts w:ascii="Aptos" w:hAnsi="Aptos"/>
                <w:b w:val="0"/>
                <w:sz w:val="14"/>
              </w:rPr>
              <w:t>PASS</w:t>
            </w:r>
          </w:p>
        </w:tc>
        <w:tc>
          <w:tcPr>
            <w:tcW w:type="dxa" w:w="2045"/>
            <w:vAlign w:val="center"/>
          </w:tcPr>
          <w:p>
            <w:pPr>
              <w:spacing w:after="0"/>
            </w:pPr>
            <w:r/>
            <w:r>
              <w:rPr>
                <w:rFonts w:ascii="Aptos" w:hAnsi="Aptos"/>
                <w:b w:val="0"/>
                <w:sz w:val="14"/>
              </w:rPr>
              <w:t>3 competitors; analysis, validation, report completed.</w:t>
            </w:r>
          </w:p>
        </w:tc>
      </w:tr>
      <w:tr>
        <w:tc>
          <w:tcPr>
            <w:tcW w:type="dxa" w:w="2045"/>
            <w:vAlign w:val="center"/>
            <w:shd w:fill="F2F6FA"/>
          </w:tcPr>
          <w:p>
            <w:pPr>
              <w:spacing w:after="0"/>
            </w:pPr>
            <w:r/>
            <w:r>
              <w:rPr>
                <w:rFonts w:ascii="Aptos" w:hAnsi="Aptos"/>
                <w:b w:val="0"/>
                <w:sz w:val="14"/>
              </w:rPr>
              <w:t>2</w:t>
            </w:r>
          </w:p>
        </w:tc>
        <w:tc>
          <w:tcPr>
            <w:tcW w:type="dxa" w:w="2045"/>
            <w:vAlign w:val="center"/>
            <w:shd w:fill="F2F6FA"/>
          </w:tcPr>
          <w:p>
            <w:pPr>
              <w:spacing w:after="0"/>
            </w:pPr>
            <w:r/>
            <w:r>
              <w:rPr>
                <w:rFonts w:ascii="Aptos" w:hAnsi="Aptos"/>
                <w:b w:val="0"/>
                <w:sz w:val="14"/>
              </w:rPr>
              <w:t>Canva cross-domain</w:t>
            </w:r>
          </w:p>
        </w:tc>
        <w:tc>
          <w:tcPr>
            <w:tcW w:type="dxa" w:w="2045"/>
            <w:vAlign w:val="center"/>
            <w:shd w:fill="F2F6FA"/>
          </w:tcPr>
          <w:p>
            <w:pPr>
              <w:spacing w:after="0"/>
            </w:pPr>
            <w:r/>
            <w:r>
              <w:rPr>
                <w:rFonts w:ascii="Aptos" w:hAnsi="Aptos"/>
                <w:b w:val="0"/>
                <w:sz w:val="14"/>
              </w:rPr>
              <w:t>Generalization</w:t>
            </w:r>
          </w:p>
        </w:tc>
        <w:tc>
          <w:tcPr>
            <w:tcW w:type="dxa" w:w="2045"/>
            <w:vAlign w:val="center"/>
            <w:shd w:fill="F2F6FA"/>
          </w:tcPr>
          <w:p>
            <w:pPr>
              <w:spacing w:after="0"/>
            </w:pPr>
            <w:r/>
            <w:r>
              <w:rPr>
                <w:rFonts w:ascii="Aptos" w:hAnsi="Aptos"/>
                <w:b w:val="0"/>
                <w:sz w:val="14"/>
              </w:rPr>
              <w:t>PASS</w:t>
            </w:r>
          </w:p>
        </w:tc>
        <w:tc>
          <w:tcPr>
            <w:tcW w:type="dxa" w:w="2045"/>
            <w:vAlign w:val="center"/>
            <w:shd w:fill="F2F6FA"/>
          </w:tcPr>
          <w:p>
            <w:pPr>
              <w:spacing w:after="0"/>
            </w:pPr>
            <w:r/>
            <w:r>
              <w:rPr>
                <w:rFonts w:ascii="Aptos" w:hAnsi="Aptos"/>
                <w:b w:val="0"/>
                <w:sz w:val="14"/>
              </w:rPr>
              <w:t>Creative-software research completed and delivered.</w:t>
            </w:r>
          </w:p>
        </w:tc>
      </w:tr>
      <w:tr>
        <w:tc>
          <w:tcPr>
            <w:tcW w:type="dxa" w:w="2045"/>
            <w:vAlign w:val="center"/>
          </w:tcPr>
          <w:p>
            <w:pPr>
              <w:spacing w:after="0"/>
            </w:pPr>
            <w:r/>
            <w:r>
              <w:rPr>
                <w:rFonts w:ascii="Aptos" w:hAnsi="Aptos"/>
                <w:b w:val="0"/>
                <w:sz w:val="14"/>
              </w:rPr>
              <w:t>3</w:t>
            </w:r>
          </w:p>
        </w:tc>
        <w:tc>
          <w:tcPr>
            <w:tcW w:type="dxa" w:w="2045"/>
            <w:vAlign w:val="center"/>
          </w:tcPr>
          <w:p>
            <w:pPr>
              <w:spacing w:after="0"/>
            </w:pPr>
            <w:r/>
            <w:r>
              <w:rPr>
                <w:rFonts w:ascii="Aptos" w:hAnsi="Aptos"/>
                <w:b w:val="0"/>
                <w:sz w:val="14"/>
              </w:rPr>
              <w:t>High-confidence route</w:t>
            </w:r>
          </w:p>
        </w:tc>
        <w:tc>
          <w:tcPr>
            <w:tcW w:type="dxa" w:w="2045"/>
            <w:vAlign w:val="center"/>
          </w:tcPr>
          <w:p>
            <w:pPr>
              <w:spacing w:after="0"/>
            </w:pPr>
            <w:r/>
            <w:r>
              <w:rPr>
                <w:rFonts w:ascii="Aptos" w:hAnsi="Aptos"/>
                <w:b w:val="0"/>
                <w:sz w:val="14"/>
              </w:rPr>
              <w:t>Confidence ≥75</w:t>
            </w:r>
          </w:p>
        </w:tc>
        <w:tc>
          <w:tcPr>
            <w:tcW w:type="dxa" w:w="2045"/>
            <w:vAlign w:val="center"/>
          </w:tcPr>
          <w:p>
            <w:pPr>
              <w:spacing w:after="0"/>
            </w:pPr>
            <w:r/>
            <w:r>
              <w:rPr>
                <w:rFonts w:ascii="Aptos" w:hAnsi="Aptos"/>
                <w:b w:val="0"/>
                <w:sz w:val="14"/>
              </w:rPr>
              <w:t>PASS</w:t>
            </w:r>
          </w:p>
        </w:tc>
        <w:tc>
          <w:tcPr>
            <w:tcW w:type="dxa" w:w="2045"/>
            <w:vAlign w:val="center"/>
          </w:tcPr>
          <w:p>
            <w:pPr>
              <w:spacing w:after="0"/>
            </w:pPr>
            <w:r/>
            <w:r>
              <w:rPr>
                <w:rFonts w:ascii="Aptos" w:hAnsi="Aptos"/>
                <w:b w:val="0"/>
                <w:sz w:val="14"/>
              </w:rPr>
              <w:t>TRUE branch routed to Final Report.</w:t>
            </w:r>
          </w:p>
        </w:tc>
      </w:tr>
      <w:tr>
        <w:tc>
          <w:tcPr>
            <w:tcW w:type="dxa" w:w="2045"/>
            <w:vAlign w:val="center"/>
            <w:shd w:fill="F2F6FA"/>
          </w:tcPr>
          <w:p>
            <w:pPr>
              <w:spacing w:after="0"/>
            </w:pPr>
            <w:r/>
            <w:r>
              <w:rPr>
                <w:rFonts w:ascii="Aptos" w:hAnsi="Aptos"/>
                <w:b w:val="0"/>
                <w:sz w:val="14"/>
              </w:rPr>
              <w:t>4</w:t>
            </w:r>
          </w:p>
        </w:tc>
        <w:tc>
          <w:tcPr>
            <w:tcW w:type="dxa" w:w="2045"/>
            <w:vAlign w:val="center"/>
            <w:shd w:fill="F2F6FA"/>
          </w:tcPr>
          <w:p>
            <w:pPr>
              <w:spacing w:after="0"/>
            </w:pPr>
            <w:r/>
            <w:r>
              <w:rPr>
                <w:rFonts w:ascii="Aptos" w:hAnsi="Aptos"/>
                <w:b w:val="0"/>
                <w:sz w:val="14"/>
              </w:rPr>
              <w:t>Human approval</w:t>
            </w:r>
          </w:p>
        </w:tc>
        <w:tc>
          <w:tcPr>
            <w:tcW w:type="dxa" w:w="2045"/>
            <w:vAlign w:val="center"/>
            <w:shd w:fill="F2F6FA"/>
          </w:tcPr>
          <w:p>
            <w:pPr>
              <w:spacing w:after="0"/>
            </w:pPr>
            <w:r/>
            <w:r>
              <w:rPr>
                <w:rFonts w:ascii="Aptos" w:hAnsi="Aptos"/>
                <w:b w:val="0"/>
                <w:sz w:val="14"/>
              </w:rPr>
              <w:t>Low-confidence branch</w:t>
            </w:r>
          </w:p>
        </w:tc>
        <w:tc>
          <w:tcPr>
            <w:tcW w:type="dxa" w:w="2045"/>
            <w:vAlign w:val="center"/>
            <w:shd w:fill="F2F6FA"/>
          </w:tcPr>
          <w:p>
            <w:pPr>
              <w:spacing w:after="0"/>
            </w:pPr>
            <w:r/>
            <w:r>
              <w:rPr>
                <w:rFonts w:ascii="Aptos" w:hAnsi="Aptos"/>
                <w:b w:val="0"/>
                <w:sz w:val="14"/>
              </w:rPr>
              <w:t>PASS</w:t>
            </w:r>
          </w:p>
        </w:tc>
        <w:tc>
          <w:tcPr>
            <w:tcW w:type="dxa" w:w="2045"/>
            <w:vAlign w:val="center"/>
            <w:shd w:fill="F2F6FA"/>
          </w:tcPr>
          <w:p>
            <w:pPr>
              <w:spacing w:after="0"/>
            </w:pPr>
            <w:r/>
            <w:r>
              <w:rPr>
                <w:rFonts w:ascii="Aptos" w:hAnsi="Aptos"/>
                <w:b w:val="0"/>
                <w:sz w:val="14"/>
              </w:rPr>
              <w:t>Human Review → Approve → Final Report.</w:t>
            </w:r>
          </w:p>
        </w:tc>
      </w:tr>
      <w:tr>
        <w:tc>
          <w:tcPr>
            <w:tcW w:type="dxa" w:w="2045"/>
            <w:vAlign w:val="center"/>
          </w:tcPr>
          <w:p>
            <w:pPr>
              <w:spacing w:after="0"/>
            </w:pPr>
            <w:r/>
            <w:r>
              <w:rPr>
                <w:rFonts w:ascii="Aptos" w:hAnsi="Aptos"/>
                <w:b w:val="0"/>
                <w:sz w:val="14"/>
              </w:rPr>
              <w:t>5</w:t>
            </w:r>
          </w:p>
        </w:tc>
        <w:tc>
          <w:tcPr>
            <w:tcW w:type="dxa" w:w="2045"/>
            <w:vAlign w:val="center"/>
          </w:tcPr>
          <w:p>
            <w:pPr>
              <w:spacing w:after="0"/>
            </w:pPr>
            <w:r/>
            <w:r>
              <w:rPr>
                <w:rFonts w:ascii="Aptos" w:hAnsi="Aptos"/>
                <w:b w:val="0"/>
                <w:sz w:val="14"/>
              </w:rPr>
              <w:t>Continue with warning</w:t>
            </w:r>
          </w:p>
        </w:tc>
        <w:tc>
          <w:tcPr>
            <w:tcW w:type="dxa" w:w="2045"/>
            <w:vAlign w:val="center"/>
          </w:tcPr>
          <w:p>
            <w:pPr>
              <w:spacing w:after="0"/>
            </w:pPr>
            <w:r/>
            <w:r>
              <w:rPr>
                <w:rFonts w:ascii="Aptos" w:hAnsi="Aptos"/>
                <w:b w:val="0"/>
                <w:sz w:val="14"/>
              </w:rPr>
              <w:t>Human override</w:t>
            </w:r>
          </w:p>
        </w:tc>
        <w:tc>
          <w:tcPr>
            <w:tcW w:type="dxa" w:w="2045"/>
            <w:vAlign w:val="center"/>
          </w:tcPr>
          <w:p>
            <w:pPr>
              <w:spacing w:after="0"/>
            </w:pPr>
            <w:r/>
            <w:r>
              <w:rPr>
                <w:rFonts w:ascii="Aptos" w:hAnsi="Aptos"/>
                <w:b w:val="0"/>
                <w:sz w:val="14"/>
              </w:rPr>
              <w:t>PASS</w:t>
            </w:r>
          </w:p>
        </w:tc>
        <w:tc>
          <w:tcPr>
            <w:tcW w:type="dxa" w:w="2045"/>
            <w:vAlign w:val="center"/>
          </w:tcPr>
          <w:p>
            <w:pPr>
              <w:spacing w:after="0"/>
            </w:pPr>
            <w:r/>
            <w:r>
              <w:rPr>
                <w:rFonts w:ascii="Aptos" w:hAnsi="Aptos"/>
                <w:b w:val="0"/>
                <w:sz w:val="14"/>
              </w:rPr>
              <w:t>Warning retained prominently in final report.</w:t>
            </w:r>
          </w:p>
        </w:tc>
      </w:tr>
      <w:tr>
        <w:tc>
          <w:tcPr>
            <w:tcW w:type="dxa" w:w="2045"/>
            <w:vAlign w:val="center"/>
            <w:shd w:fill="F2F6FA"/>
          </w:tcPr>
          <w:p>
            <w:pPr>
              <w:spacing w:after="0"/>
            </w:pPr>
            <w:r/>
            <w:r>
              <w:rPr>
                <w:rFonts w:ascii="Aptos" w:hAnsi="Aptos"/>
                <w:b w:val="0"/>
                <w:sz w:val="14"/>
              </w:rPr>
              <w:t>6</w:t>
            </w:r>
          </w:p>
        </w:tc>
        <w:tc>
          <w:tcPr>
            <w:tcW w:type="dxa" w:w="2045"/>
            <w:vAlign w:val="center"/>
            <w:shd w:fill="F2F6FA"/>
          </w:tcPr>
          <w:p>
            <w:pPr>
              <w:spacing w:after="0"/>
            </w:pPr>
            <w:r/>
            <w:r>
              <w:rPr>
                <w:rFonts w:ascii="Aptos" w:hAnsi="Aptos"/>
                <w:b w:val="0"/>
                <w:sz w:val="14"/>
              </w:rPr>
              <w:t>One-time retry</w:t>
            </w:r>
          </w:p>
        </w:tc>
        <w:tc>
          <w:tcPr>
            <w:tcW w:type="dxa" w:w="2045"/>
            <w:vAlign w:val="center"/>
            <w:shd w:fill="F2F6FA"/>
          </w:tcPr>
          <w:p>
            <w:pPr>
              <w:spacing w:after="0"/>
            </w:pPr>
            <w:r/>
            <w:r>
              <w:rPr>
                <w:rFonts w:ascii="Aptos" w:hAnsi="Aptos"/>
                <w:b w:val="0"/>
                <w:sz w:val="14"/>
              </w:rPr>
              <w:t>Additional evidence</w:t>
            </w:r>
          </w:p>
        </w:tc>
        <w:tc>
          <w:tcPr>
            <w:tcW w:type="dxa" w:w="2045"/>
            <w:vAlign w:val="center"/>
            <w:shd w:fill="F2F6FA"/>
          </w:tcPr>
          <w:p>
            <w:pPr>
              <w:spacing w:after="0"/>
            </w:pPr>
            <w:r/>
            <w:r>
              <w:rPr>
                <w:rFonts w:ascii="Aptos" w:hAnsi="Aptos"/>
                <w:b w:val="0"/>
                <w:sz w:val="14"/>
              </w:rPr>
              <w:t>PASS</w:t>
            </w:r>
          </w:p>
        </w:tc>
        <w:tc>
          <w:tcPr>
            <w:tcW w:type="dxa" w:w="2045"/>
            <w:vAlign w:val="center"/>
            <w:shd w:fill="F2F6FA"/>
          </w:tcPr>
          <w:p>
            <w:pPr>
              <w:spacing w:after="0"/>
            </w:pPr>
            <w:r/>
            <w:r>
              <w:rPr>
                <w:rFonts w:ascii="Aptos" w:hAnsi="Aptos"/>
                <w:b w:val="0"/>
                <w:sz w:val="14"/>
              </w:rPr>
              <w:t>Retry search, synthesis, post-retry report completed.</w:t>
            </w:r>
          </w:p>
        </w:tc>
      </w:tr>
      <w:tr>
        <w:tc>
          <w:tcPr>
            <w:tcW w:type="dxa" w:w="2045"/>
            <w:vAlign w:val="center"/>
          </w:tcPr>
          <w:p>
            <w:pPr>
              <w:spacing w:after="0"/>
            </w:pPr>
            <w:r/>
            <w:r>
              <w:rPr>
                <w:rFonts w:ascii="Aptos" w:hAnsi="Aptos"/>
                <w:b w:val="0"/>
                <w:sz w:val="14"/>
              </w:rPr>
              <w:t>7</w:t>
            </w:r>
          </w:p>
        </w:tc>
        <w:tc>
          <w:tcPr>
            <w:tcW w:type="dxa" w:w="2045"/>
            <w:vAlign w:val="center"/>
          </w:tcPr>
          <w:p>
            <w:pPr>
              <w:spacing w:after="0"/>
            </w:pPr>
            <w:r/>
            <w:r>
              <w:rPr>
                <w:rFonts w:ascii="Aptos" w:hAnsi="Aptos"/>
                <w:b w:val="0"/>
                <w:sz w:val="14"/>
              </w:rPr>
              <w:t>Search query-limit</w:t>
            </w:r>
          </w:p>
        </w:tc>
        <w:tc>
          <w:tcPr>
            <w:tcW w:type="dxa" w:w="2045"/>
            <w:vAlign w:val="center"/>
          </w:tcPr>
          <w:p>
            <w:pPr>
              <w:spacing w:after="0"/>
            </w:pPr>
            <w:r/>
            <w:r>
              <w:rPr>
                <w:rFonts w:ascii="Aptos" w:hAnsi="Aptos"/>
                <w:b w:val="0"/>
                <w:sz w:val="14"/>
              </w:rPr>
              <w:t>API constraint</w:t>
            </w:r>
          </w:p>
        </w:tc>
        <w:tc>
          <w:tcPr>
            <w:tcW w:type="dxa" w:w="2045"/>
            <w:vAlign w:val="center"/>
          </w:tcPr>
          <w:p>
            <w:pPr>
              <w:spacing w:after="0"/>
            </w:pPr>
            <w:r/>
            <w:r>
              <w:rPr>
                <w:rFonts w:ascii="Aptos" w:hAnsi="Aptos"/>
                <w:b w:val="0"/>
                <w:sz w:val="14"/>
              </w:rPr>
              <w:t>PASS after fix</w:t>
            </w:r>
          </w:p>
        </w:tc>
        <w:tc>
          <w:tcPr>
            <w:tcW w:type="dxa" w:w="2045"/>
            <w:vAlign w:val="center"/>
          </w:tcPr>
          <w:p>
            <w:pPr>
              <w:spacing w:after="0"/>
            </w:pPr>
            <w:r/>
            <w:r>
              <w:rPr>
                <w:rFonts w:ascii="Aptos" w:hAnsi="Aptos"/>
                <w:b w:val="0"/>
                <w:sz w:val="14"/>
              </w:rPr>
              <w:t>146-word/1214-char retry query rejected; shortened query succeeded.</w:t>
            </w:r>
          </w:p>
        </w:tc>
      </w:tr>
      <w:tr>
        <w:tc>
          <w:tcPr>
            <w:tcW w:type="dxa" w:w="2045"/>
            <w:vAlign w:val="center"/>
            <w:shd w:fill="F2F6FA"/>
          </w:tcPr>
          <w:p>
            <w:pPr>
              <w:spacing w:after="0"/>
            </w:pPr>
            <w:r/>
            <w:r>
              <w:rPr>
                <w:rFonts w:ascii="Aptos" w:hAnsi="Aptos"/>
                <w:b w:val="0"/>
                <w:sz w:val="14"/>
              </w:rPr>
              <w:t>8</w:t>
            </w:r>
          </w:p>
        </w:tc>
        <w:tc>
          <w:tcPr>
            <w:tcW w:type="dxa" w:w="2045"/>
            <w:vAlign w:val="center"/>
            <w:shd w:fill="F2F6FA"/>
          </w:tcPr>
          <w:p>
            <w:pPr>
              <w:spacing w:after="0"/>
            </w:pPr>
            <w:r/>
            <w:r>
              <w:rPr>
                <w:rFonts w:ascii="Aptos" w:hAnsi="Aptos"/>
                <w:b w:val="0"/>
                <w:sz w:val="14"/>
              </w:rPr>
              <w:t>Unverified pricing</w:t>
            </w:r>
          </w:p>
        </w:tc>
        <w:tc>
          <w:tcPr>
            <w:tcW w:type="dxa" w:w="2045"/>
            <w:vAlign w:val="center"/>
            <w:shd w:fill="F2F6FA"/>
          </w:tcPr>
          <w:p>
            <w:pPr>
              <w:spacing w:after="0"/>
            </w:pPr>
            <w:r/>
            <w:r>
              <w:rPr>
                <w:rFonts w:ascii="Aptos" w:hAnsi="Aptos"/>
                <w:b w:val="0"/>
                <w:sz w:val="14"/>
              </w:rPr>
              <w:t>Weak pricing evidence</w:t>
            </w:r>
          </w:p>
        </w:tc>
        <w:tc>
          <w:tcPr>
            <w:tcW w:type="dxa" w:w="2045"/>
            <w:vAlign w:val="center"/>
            <w:shd w:fill="F2F6FA"/>
          </w:tcPr>
          <w:p>
            <w:pPr>
              <w:spacing w:after="0"/>
            </w:pPr>
            <w:r/>
            <w:r>
              <w:rPr>
                <w:rFonts w:ascii="Aptos" w:hAnsi="Aptos"/>
                <w:b w:val="0"/>
                <w:sz w:val="14"/>
              </w:rPr>
              <w:t>PASS</w:t>
            </w:r>
          </w:p>
        </w:tc>
        <w:tc>
          <w:tcPr>
            <w:tcW w:type="dxa" w:w="2045"/>
            <w:vAlign w:val="center"/>
            <w:shd w:fill="F2F6FA"/>
          </w:tcPr>
          <w:p>
            <w:pPr>
              <w:spacing w:after="0"/>
            </w:pPr>
            <w:r/>
            <w:r>
              <w:rPr>
                <w:rFonts w:ascii="Aptos" w:hAnsi="Aptos"/>
                <w:b w:val="0"/>
                <w:sz w:val="14"/>
              </w:rPr>
              <w:t>Retained 'Not verified' instead of inventing precision.</w:t>
            </w:r>
          </w:p>
        </w:tc>
      </w:tr>
      <w:tr>
        <w:tc>
          <w:tcPr>
            <w:tcW w:type="dxa" w:w="2045"/>
            <w:vAlign w:val="center"/>
          </w:tcPr>
          <w:p>
            <w:pPr>
              <w:spacing w:after="0"/>
            </w:pPr>
            <w:r/>
            <w:r>
              <w:rPr>
                <w:rFonts w:ascii="Aptos" w:hAnsi="Aptos"/>
                <w:b w:val="0"/>
                <w:sz w:val="14"/>
              </w:rPr>
              <w:t>9</w:t>
            </w:r>
          </w:p>
        </w:tc>
        <w:tc>
          <w:tcPr>
            <w:tcW w:type="dxa" w:w="2045"/>
            <w:vAlign w:val="center"/>
          </w:tcPr>
          <w:p>
            <w:pPr>
              <w:spacing w:after="0"/>
            </w:pPr>
            <w:r/>
            <w:r>
              <w:rPr>
                <w:rFonts w:ascii="Aptos" w:hAnsi="Aptos"/>
                <w:b w:val="0"/>
                <w:sz w:val="14"/>
              </w:rPr>
              <w:t>Target preservation</w:t>
            </w:r>
          </w:p>
        </w:tc>
        <w:tc>
          <w:tcPr>
            <w:tcW w:type="dxa" w:w="2045"/>
            <w:vAlign w:val="center"/>
          </w:tcPr>
          <w:p>
            <w:pPr>
              <w:spacing w:after="0"/>
            </w:pPr>
            <w:r/>
            <w:r>
              <w:rPr>
                <w:rFonts w:ascii="Aptos" w:hAnsi="Aptos"/>
                <w:b w:val="0"/>
                <w:sz w:val="14"/>
              </w:rPr>
              <w:t>Avoid target mix-up</w:t>
            </w:r>
          </w:p>
        </w:tc>
        <w:tc>
          <w:tcPr>
            <w:tcW w:type="dxa" w:w="2045"/>
            <w:vAlign w:val="center"/>
          </w:tcPr>
          <w:p>
            <w:pPr>
              <w:spacing w:after="0"/>
            </w:pPr>
            <w:r/>
            <w:r>
              <w:rPr>
                <w:rFonts w:ascii="Aptos" w:hAnsi="Aptos"/>
                <w:b w:val="0"/>
                <w:sz w:val="14"/>
              </w:rPr>
              <w:t>PASS</w:t>
            </w:r>
          </w:p>
        </w:tc>
        <w:tc>
          <w:tcPr>
            <w:tcW w:type="dxa" w:w="2045"/>
            <w:vAlign w:val="center"/>
          </w:tcPr>
          <w:p>
            <w:pPr>
              <w:spacing w:after="0"/>
            </w:pPr>
            <w:r/>
            <w:r>
              <w:rPr>
                <w:rFonts w:ascii="Aptos" w:hAnsi="Aptos"/>
                <w:b w:val="0"/>
                <w:sz w:val="14"/>
              </w:rPr>
              <w:t>Target preserved through downstream structures.</w:t>
            </w:r>
          </w:p>
        </w:tc>
      </w:tr>
      <w:tr>
        <w:tc>
          <w:tcPr>
            <w:tcW w:type="dxa" w:w="2045"/>
            <w:vAlign w:val="center"/>
            <w:shd w:fill="F2F6FA"/>
          </w:tcPr>
          <w:p>
            <w:pPr>
              <w:spacing w:after="0"/>
            </w:pPr>
            <w:r/>
            <w:r>
              <w:rPr>
                <w:rFonts w:ascii="Aptos" w:hAnsi="Aptos"/>
                <w:b w:val="0"/>
                <w:sz w:val="14"/>
              </w:rPr>
              <w:t>10</w:t>
            </w:r>
          </w:p>
        </w:tc>
        <w:tc>
          <w:tcPr>
            <w:tcW w:type="dxa" w:w="2045"/>
            <w:vAlign w:val="center"/>
            <w:shd w:fill="F2F6FA"/>
          </w:tcPr>
          <w:p>
            <w:pPr>
              <w:spacing w:after="0"/>
            </w:pPr>
            <w:r/>
            <w:r>
              <w:rPr>
                <w:rFonts w:ascii="Aptos" w:hAnsi="Aptos"/>
                <w:b w:val="0"/>
                <w:sz w:val="14"/>
              </w:rPr>
              <w:t>Exactly 3 competitors</w:t>
            </w:r>
          </w:p>
        </w:tc>
        <w:tc>
          <w:tcPr>
            <w:tcW w:type="dxa" w:w="2045"/>
            <w:vAlign w:val="center"/>
            <w:shd w:fill="F2F6FA"/>
          </w:tcPr>
          <w:p>
            <w:pPr>
              <w:spacing w:after="0"/>
            </w:pPr>
            <w:r/>
            <w:r>
              <w:rPr>
                <w:rFonts w:ascii="Aptos" w:hAnsi="Aptos"/>
                <w:b w:val="0"/>
                <w:sz w:val="14"/>
              </w:rPr>
              <w:t>Discovery constraint</w:t>
            </w:r>
          </w:p>
        </w:tc>
        <w:tc>
          <w:tcPr>
            <w:tcW w:type="dxa" w:w="2045"/>
            <w:vAlign w:val="center"/>
            <w:shd w:fill="F2F6FA"/>
          </w:tcPr>
          <w:p>
            <w:pPr>
              <w:spacing w:after="0"/>
            </w:pPr>
            <w:r/>
            <w:r>
              <w:rPr>
                <w:rFonts w:ascii="Aptos" w:hAnsi="Aptos"/>
                <w:b w:val="0"/>
                <w:sz w:val="14"/>
              </w:rPr>
              <w:t>PASS</w:t>
            </w:r>
          </w:p>
        </w:tc>
        <w:tc>
          <w:tcPr>
            <w:tcW w:type="dxa" w:w="2045"/>
            <w:vAlign w:val="center"/>
            <w:shd w:fill="F2F6FA"/>
          </w:tcPr>
          <w:p>
            <w:pPr>
              <w:spacing w:after="0"/>
            </w:pPr>
            <w:r/>
            <w:r>
              <w:rPr>
                <w:rFonts w:ascii="Aptos" w:hAnsi="Aptos"/>
                <w:b w:val="0"/>
                <w:sz w:val="14"/>
              </w:rPr>
              <w:t>Valid runs returned exactly three.</w:t>
            </w:r>
          </w:p>
        </w:tc>
      </w:tr>
      <w:tr>
        <w:tc>
          <w:tcPr>
            <w:tcW w:type="dxa" w:w="2045"/>
            <w:vAlign w:val="center"/>
          </w:tcPr>
          <w:p>
            <w:pPr>
              <w:spacing w:after="0"/>
            </w:pPr>
            <w:r/>
            <w:r>
              <w:rPr>
                <w:rFonts w:ascii="Aptos" w:hAnsi="Aptos"/>
                <w:b w:val="0"/>
                <w:sz w:val="14"/>
              </w:rPr>
              <w:t>11</w:t>
            </w:r>
          </w:p>
        </w:tc>
        <w:tc>
          <w:tcPr>
            <w:tcW w:type="dxa" w:w="2045"/>
            <w:vAlign w:val="center"/>
          </w:tcPr>
          <w:p>
            <w:pPr>
              <w:spacing w:after="0"/>
            </w:pPr>
            <w:r/>
            <w:r>
              <w:rPr>
                <w:rFonts w:ascii="Aptos" w:hAnsi="Aptos"/>
                <w:b w:val="0"/>
                <w:sz w:val="14"/>
              </w:rPr>
              <w:t>Structured output</w:t>
            </w:r>
          </w:p>
        </w:tc>
        <w:tc>
          <w:tcPr>
            <w:tcW w:type="dxa" w:w="2045"/>
            <w:vAlign w:val="center"/>
          </w:tcPr>
          <w:p>
            <w:pPr>
              <w:spacing w:after="0"/>
            </w:pPr>
            <w:r/>
            <w:r>
              <w:rPr>
                <w:rFonts w:ascii="Aptos" w:hAnsi="Aptos"/>
                <w:b w:val="0"/>
                <w:sz w:val="14"/>
              </w:rPr>
              <w:t>Parser reliability</w:t>
            </w:r>
          </w:p>
        </w:tc>
        <w:tc>
          <w:tcPr>
            <w:tcW w:type="dxa" w:w="2045"/>
            <w:vAlign w:val="center"/>
          </w:tcPr>
          <w:p>
            <w:pPr>
              <w:spacing w:after="0"/>
            </w:pPr>
            <w:r/>
            <w:r>
              <w:rPr>
                <w:rFonts w:ascii="Aptos" w:hAnsi="Aptos"/>
                <w:b w:val="0"/>
                <w:sz w:val="14"/>
              </w:rPr>
              <w:t>PASS</w:t>
            </w:r>
          </w:p>
        </w:tc>
        <w:tc>
          <w:tcPr>
            <w:tcW w:type="dxa" w:w="2045"/>
            <w:vAlign w:val="center"/>
          </w:tcPr>
          <w:p>
            <w:pPr>
              <w:spacing w:after="0"/>
            </w:pPr>
            <w:r/>
            <w:r>
              <w:rPr>
                <w:rFonts w:ascii="Aptos" w:hAnsi="Aptos"/>
                <w:b w:val="0"/>
                <w:sz w:val="14"/>
              </w:rPr>
              <w:t>Configured parsers produced compatible objects.</w:t>
            </w:r>
          </w:p>
        </w:tc>
      </w:tr>
      <w:tr>
        <w:tc>
          <w:tcPr>
            <w:tcW w:type="dxa" w:w="2045"/>
            <w:vAlign w:val="center"/>
            <w:shd w:fill="F2F6FA"/>
          </w:tcPr>
          <w:p>
            <w:pPr>
              <w:spacing w:after="0"/>
            </w:pPr>
            <w:r/>
            <w:r>
              <w:rPr>
                <w:rFonts w:ascii="Aptos" w:hAnsi="Aptos"/>
                <w:b w:val="0"/>
                <w:sz w:val="14"/>
              </w:rPr>
              <w:t>12</w:t>
            </w:r>
          </w:p>
        </w:tc>
        <w:tc>
          <w:tcPr>
            <w:tcW w:type="dxa" w:w="2045"/>
            <w:vAlign w:val="center"/>
            <w:shd w:fill="F2F6FA"/>
          </w:tcPr>
          <w:p>
            <w:pPr>
              <w:spacing w:after="0"/>
            </w:pPr>
            <w:r/>
            <w:r>
              <w:rPr>
                <w:rFonts w:ascii="Aptos" w:hAnsi="Aptos"/>
                <w:b w:val="0"/>
                <w:sz w:val="14"/>
              </w:rPr>
              <w:t>Mercury ambiguity</w:t>
            </w:r>
          </w:p>
        </w:tc>
        <w:tc>
          <w:tcPr>
            <w:tcW w:type="dxa" w:w="2045"/>
            <w:vAlign w:val="center"/>
            <w:shd w:fill="F2F6FA"/>
          </w:tcPr>
          <w:p>
            <w:pPr>
              <w:spacing w:after="0"/>
            </w:pPr>
            <w:r/>
            <w:r>
              <w:rPr>
                <w:rFonts w:ascii="Aptos" w:hAnsi="Aptos"/>
                <w:b w:val="0"/>
                <w:sz w:val="14"/>
              </w:rPr>
              <w:t>Ambiguous name</w:t>
            </w:r>
          </w:p>
        </w:tc>
        <w:tc>
          <w:tcPr>
            <w:tcW w:type="dxa" w:w="2045"/>
            <w:vAlign w:val="center"/>
            <w:shd w:fill="F2F6FA"/>
          </w:tcPr>
          <w:p>
            <w:pPr>
              <w:spacing w:after="0"/>
            </w:pPr>
            <w:r/>
            <w:r>
              <w:rPr>
                <w:rFonts w:ascii="Aptos" w:hAnsi="Aptos"/>
                <w:b w:val="0"/>
                <w:sz w:val="14"/>
              </w:rPr>
              <w:t>PASS w/ limitation</w:t>
            </w:r>
          </w:p>
        </w:tc>
        <w:tc>
          <w:tcPr>
            <w:tcW w:type="dxa" w:w="2045"/>
            <w:vAlign w:val="center"/>
            <w:shd w:fill="F2F6FA"/>
          </w:tcPr>
          <w:p>
            <w:pPr>
              <w:spacing w:after="0"/>
            </w:pPr>
            <w:r/>
            <w:r>
              <w:rPr>
                <w:rFonts w:ascii="Aptos" w:hAnsi="Aptos"/>
                <w:b w:val="0"/>
                <w:sz w:val="14"/>
              </w:rPr>
              <w:t>Fintech Mercury; Brex/Rho/Bluevine; validator 90.</w:t>
            </w:r>
          </w:p>
        </w:tc>
      </w:tr>
      <w:tr>
        <w:tc>
          <w:tcPr>
            <w:tcW w:type="dxa" w:w="2045"/>
            <w:vAlign w:val="center"/>
          </w:tcPr>
          <w:p>
            <w:pPr>
              <w:spacing w:after="0"/>
            </w:pPr>
            <w:r/>
            <w:r>
              <w:rPr>
                <w:rFonts w:ascii="Aptos" w:hAnsi="Aptos"/>
                <w:b w:val="0"/>
                <w:sz w:val="14"/>
              </w:rPr>
              <w:t>13</w:t>
            </w:r>
          </w:p>
        </w:tc>
        <w:tc>
          <w:tcPr>
            <w:tcW w:type="dxa" w:w="2045"/>
            <w:vAlign w:val="center"/>
          </w:tcPr>
          <w:p>
            <w:pPr>
              <w:spacing w:after="0"/>
            </w:pPr>
            <w:r/>
            <w:r>
              <w:rPr>
                <w:rFonts w:ascii="Aptos" w:hAnsi="Aptos"/>
                <w:b w:val="0"/>
                <w:sz w:val="14"/>
              </w:rPr>
              <w:t>Invalid company</w:t>
            </w:r>
          </w:p>
        </w:tc>
        <w:tc>
          <w:tcPr>
            <w:tcW w:type="dxa" w:w="2045"/>
            <w:vAlign w:val="center"/>
          </w:tcPr>
          <w:p>
            <w:pPr>
              <w:spacing w:after="0"/>
            </w:pPr>
            <w:r/>
            <w:r>
              <w:rPr>
                <w:rFonts w:ascii="Aptos" w:hAnsi="Aptos"/>
                <w:b w:val="0"/>
                <w:sz w:val="14"/>
              </w:rPr>
              <w:t>Nonsense entity</w:t>
            </w:r>
          </w:p>
        </w:tc>
        <w:tc>
          <w:tcPr>
            <w:tcW w:type="dxa" w:w="2045"/>
            <w:vAlign w:val="center"/>
          </w:tcPr>
          <w:p>
            <w:pPr>
              <w:spacing w:after="0"/>
            </w:pPr>
            <w:r/>
            <w:r>
              <w:rPr>
                <w:rFonts w:ascii="Aptos" w:hAnsi="Aptos"/>
                <w:b w:val="0"/>
                <w:sz w:val="14"/>
              </w:rPr>
              <w:t>PARTIAL → MITIGATED</w:t>
            </w:r>
          </w:p>
        </w:tc>
        <w:tc>
          <w:tcPr>
            <w:tcW w:type="dxa" w:w="2045"/>
            <w:vAlign w:val="center"/>
          </w:tcPr>
          <w:p>
            <w:pPr>
              <w:spacing w:after="0"/>
            </w:pPr>
            <w:r/>
            <w:r>
              <w:rPr>
                <w:rFonts w:ascii="Aptos" w:hAnsi="Aptos"/>
                <w:b w:val="0"/>
                <w:sz w:val="14"/>
              </w:rPr>
              <w:t>Wrong entity initially; validator 45. Entity gate now blocks early.</w:t>
            </w:r>
          </w:p>
        </w:tc>
      </w:tr>
      <w:tr>
        <w:tc>
          <w:tcPr>
            <w:tcW w:type="dxa" w:w="2045"/>
            <w:vAlign w:val="center"/>
            <w:shd w:fill="F2F6FA"/>
          </w:tcPr>
          <w:p>
            <w:pPr>
              <w:spacing w:after="0"/>
            </w:pPr>
            <w:r/>
            <w:r>
              <w:rPr>
                <w:rFonts w:ascii="Aptos" w:hAnsi="Aptos"/>
                <w:b w:val="0"/>
                <w:sz w:val="14"/>
              </w:rPr>
              <w:t>14</w:t>
            </w:r>
          </w:p>
        </w:tc>
        <w:tc>
          <w:tcPr>
            <w:tcW w:type="dxa" w:w="2045"/>
            <w:vAlign w:val="center"/>
            <w:shd w:fill="F2F6FA"/>
          </w:tcPr>
          <w:p>
            <w:pPr>
              <w:spacing w:after="0"/>
            </w:pPr>
            <w:r/>
            <w:r>
              <w:rPr>
                <w:rFonts w:ascii="Aptos" w:hAnsi="Aptos"/>
                <w:b w:val="0"/>
                <w:sz w:val="14"/>
              </w:rPr>
              <w:t>Duolingo</w:t>
            </w:r>
          </w:p>
        </w:tc>
        <w:tc>
          <w:tcPr>
            <w:tcW w:type="dxa" w:w="2045"/>
            <w:vAlign w:val="center"/>
            <w:shd w:fill="F2F6FA"/>
          </w:tcPr>
          <w:p>
            <w:pPr>
              <w:spacing w:after="0"/>
            </w:pPr>
            <w:r/>
            <w:r>
              <w:rPr>
                <w:rFonts w:ascii="Aptos" w:hAnsi="Aptos"/>
                <w:b w:val="0"/>
                <w:sz w:val="14"/>
              </w:rPr>
              <w:t>Cross-industry regression</w:t>
            </w:r>
          </w:p>
        </w:tc>
        <w:tc>
          <w:tcPr>
            <w:tcW w:type="dxa" w:w="2045"/>
            <w:vAlign w:val="center"/>
            <w:shd w:fill="F2F6FA"/>
          </w:tcPr>
          <w:p>
            <w:pPr>
              <w:spacing w:after="0"/>
            </w:pPr>
            <w:r/>
            <w:r>
              <w:rPr>
                <w:rFonts w:ascii="Aptos" w:hAnsi="Aptos"/>
                <w:b w:val="0"/>
                <w:sz w:val="14"/>
              </w:rPr>
              <w:t>PASS</w:t>
            </w:r>
          </w:p>
        </w:tc>
        <w:tc>
          <w:tcPr>
            <w:tcW w:type="dxa" w:w="2045"/>
            <w:vAlign w:val="center"/>
            <w:shd w:fill="F2F6FA"/>
          </w:tcPr>
          <w:p>
            <w:pPr>
              <w:spacing w:after="0"/>
            </w:pPr>
            <w:r/>
            <w:r>
              <w:rPr>
                <w:rFonts w:ascii="Aptos" w:hAnsi="Aptos"/>
                <w:b w:val="0"/>
                <w:sz w:val="14"/>
              </w:rPr>
              <w:t>Babbel/Rosetta Stone/Busuu; final regression succeeded.</w:t>
            </w:r>
          </w:p>
        </w:tc>
      </w:tr>
      <w:tr>
        <w:tc>
          <w:tcPr>
            <w:tcW w:type="dxa" w:w="2045"/>
            <w:vAlign w:val="center"/>
          </w:tcPr>
          <w:p>
            <w:pPr>
              <w:spacing w:after="0"/>
            </w:pPr>
            <w:r/>
            <w:r>
              <w:rPr>
                <w:rFonts w:ascii="Aptos" w:hAnsi="Aptos"/>
                <w:b w:val="0"/>
                <w:sz w:val="14"/>
              </w:rPr>
              <w:t>15</w:t>
            </w:r>
          </w:p>
        </w:tc>
        <w:tc>
          <w:tcPr>
            <w:tcW w:type="dxa" w:w="2045"/>
            <w:vAlign w:val="center"/>
          </w:tcPr>
          <w:p>
            <w:pPr>
              <w:spacing w:after="0"/>
            </w:pPr>
            <w:r/>
            <w:r>
              <w:rPr>
                <w:rFonts w:ascii="Aptos" w:hAnsi="Aptos"/>
                <w:b w:val="0"/>
                <w:sz w:val="14"/>
              </w:rPr>
              <w:t>User-facing completion</w:t>
            </w:r>
          </w:p>
        </w:tc>
        <w:tc>
          <w:tcPr>
            <w:tcW w:type="dxa" w:w="2045"/>
            <w:vAlign w:val="center"/>
          </w:tcPr>
          <w:p>
            <w:pPr>
              <w:spacing w:after="0"/>
            </w:pPr>
            <w:r/>
            <w:r>
              <w:rPr>
                <w:rFonts w:ascii="Aptos" w:hAnsi="Aptos"/>
                <w:b w:val="0"/>
                <w:sz w:val="14"/>
              </w:rPr>
              <w:t>Production form</w:t>
            </w:r>
          </w:p>
        </w:tc>
        <w:tc>
          <w:tcPr>
            <w:tcW w:type="dxa" w:w="2045"/>
            <w:vAlign w:val="center"/>
          </w:tcPr>
          <w:p>
            <w:pPr>
              <w:spacing w:after="0"/>
            </w:pPr>
            <w:r/>
            <w:r>
              <w:rPr>
                <w:rFonts w:ascii="Aptos" w:hAnsi="Aptos"/>
                <w:b w:val="0"/>
                <w:sz w:val="14"/>
              </w:rPr>
              <w:t>PASS</w:t>
            </w:r>
          </w:p>
        </w:tc>
        <w:tc>
          <w:tcPr>
            <w:tcW w:type="dxa" w:w="2045"/>
            <w:vAlign w:val="center"/>
          </w:tcPr>
          <w:p>
            <w:pPr>
              <w:spacing w:after="0"/>
            </w:pPr>
            <w:r/>
            <w:r>
              <w:rPr>
                <w:rFonts w:ascii="Aptos" w:hAnsi="Aptos"/>
                <w:b w:val="0"/>
                <w:sz w:val="14"/>
              </w:rPr>
              <w:t>Normal and retry reports displayed in browser.</w:t>
            </w:r>
          </w:p>
        </w:tc>
      </w:tr>
    </w:tbl>
    <w:p/>
    <w:p>
      <w:pPr>
        <w:pStyle w:val="Heading1"/>
      </w:pPr>
      <w:r>
        <w:t>6. Detailed Quality Results</w:t>
      </w:r>
    </w:p>
    <w:p>
      <w:pPr>
        <w:pStyle w:val="Heading2"/>
      </w:pPr>
      <w:r>
        <w:t>6.1 Workday Baseline</w:t>
      </w:r>
    </w:p>
    <w:p>
      <w:r>
        <w:t>Workday served as the enterprise-software baseline. The workflow preserved Workday as the target, discovered three competitors, researched them independently, aggregated results, generated analysis, validated confidence, and produced a user-facing report. During development, target-company propagation issues were corrected so Workday was not treated as a competitor.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9"/>
          </w:tcPr>
          <w:p>
            <w:pPr>
              <w:spacing w:after="0"/>
            </w:pPr>
            <w:r/>
            <w:r>
              <w:rPr>
                <w:rFonts w:ascii="Aptos" w:hAnsi="Aptos"/>
                <w:b/>
                <w:color w:val="FFFFFF"/>
                <w:sz w:val="16"/>
              </w:rPr>
              <w:t>Dimension</w:t>
            </w:r>
          </w:p>
        </w:tc>
        <w:tc>
          <w:tcPr>
            <w:tcW w:type="dxa" w:w="3408"/>
            <w:vAlign w:val="center"/>
            <w:shd w:fill="1F4E79"/>
          </w:tcPr>
          <w:p>
            <w:pPr>
              <w:spacing w:after="0"/>
            </w:pPr>
            <w:r/>
            <w:r>
              <w:rPr>
                <w:rFonts w:ascii="Aptos" w:hAnsi="Aptos"/>
                <w:b/>
                <w:color w:val="FFFFFF"/>
                <w:sz w:val="16"/>
              </w:rPr>
              <w:t>Score</w:t>
            </w:r>
          </w:p>
        </w:tc>
        <w:tc>
          <w:tcPr>
            <w:tcW w:type="dxa" w:w="3408"/>
            <w:vAlign w:val="center"/>
            <w:shd w:fill="1F4E79"/>
          </w:tcPr>
          <w:p>
            <w:pPr>
              <w:spacing w:after="0"/>
            </w:pPr>
            <w:r/>
            <w:r>
              <w:rPr>
                <w:rFonts w:ascii="Aptos" w:hAnsi="Aptos"/>
                <w:b/>
                <w:color w:val="FFFFFF"/>
                <w:sz w:val="16"/>
              </w:rPr>
              <w:t>Notes</w:t>
            </w:r>
          </w:p>
        </w:tc>
      </w:tr>
      <w:tr>
        <w:tc>
          <w:tcPr>
            <w:tcW w:type="dxa" w:w="3408"/>
            <w:vAlign w:val="center"/>
          </w:tcPr>
          <w:p>
            <w:pPr>
              <w:spacing w:after="0"/>
            </w:pPr>
            <w:r/>
            <w:r>
              <w:rPr>
                <w:rFonts w:ascii="Aptos" w:hAnsi="Aptos"/>
                <w:b w:val="0"/>
                <w:sz w:val="16"/>
              </w:rPr>
              <w:t>Competitor relevance</w:t>
            </w:r>
          </w:p>
        </w:tc>
        <w:tc>
          <w:tcPr>
            <w:tcW w:type="dxa" w:w="3408"/>
            <w:vAlign w:val="center"/>
          </w:tcPr>
          <w:p>
            <w:pPr>
              <w:spacing w:after="0"/>
            </w:pPr>
            <w:r/>
            <w:r>
              <w:rPr>
                <w:rFonts w:ascii="Aptos" w:hAnsi="Aptos"/>
                <w:b w:val="0"/>
                <w:sz w:val="16"/>
              </w:rPr>
              <w:t>5/5</w:t>
            </w:r>
          </w:p>
        </w:tc>
        <w:tc>
          <w:tcPr>
            <w:tcW w:type="dxa" w:w="3408"/>
            <w:vAlign w:val="center"/>
          </w:tcPr>
          <w:p>
            <w:pPr>
              <w:spacing w:after="0"/>
            </w:pPr>
            <w:r/>
            <w:r>
              <w:rPr>
                <w:rFonts w:ascii="Aptos" w:hAnsi="Aptos"/>
                <w:b w:val="0"/>
                <w:sz w:val="16"/>
              </w:rPr>
              <w:t>Coherent enterprise HCM/ERP competitor set.</w:t>
            </w:r>
          </w:p>
        </w:tc>
      </w:tr>
      <w:tr>
        <w:tc>
          <w:tcPr>
            <w:tcW w:type="dxa" w:w="3408"/>
            <w:vAlign w:val="center"/>
            <w:shd w:fill="F2F6FA"/>
          </w:tcPr>
          <w:p>
            <w:pPr>
              <w:spacing w:after="0"/>
            </w:pPr>
            <w:r/>
            <w:r>
              <w:rPr>
                <w:rFonts w:ascii="Aptos" w:hAnsi="Aptos"/>
                <w:b w:val="0"/>
                <w:sz w:val="16"/>
              </w:rPr>
              <w:t>Research completeness</w:t>
            </w:r>
          </w:p>
        </w:tc>
        <w:tc>
          <w:tcPr>
            <w:tcW w:type="dxa" w:w="3408"/>
            <w:vAlign w:val="center"/>
            <w:shd w:fill="F2F6FA"/>
          </w:tcPr>
          <w:p>
            <w:pPr>
              <w:spacing w:after="0"/>
            </w:pPr>
            <w:r/>
            <w:r>
              <w:rPr>
                <w:rFonts w:ascii="Aptos" w:hAnsi="Aptos"/>
                <w:b w:val="0"/>
                <w:sz w:val="16"/>
              </w:rPr>
              <w:t>4/5</w:t>
            </w:r>
          </w:p>
        </w:tc>
        <w:tc>
          <w:tcPr>
            <w:tcW w:type="dxa" w:w="3408"/>
            <w:vAlign w:val="center"/>
            <w:shd w:fill="F2F6FA"/>
          </w:tcPr>
          <w:p>
            <w:pPr>
              <w:spacing w:after="0"/>
            </w:pPr>
            <w:r/>
            <w:r>
              <w:rPr>
                <w:rFonts w:ascii="Aptos" w:hAnsi="Aptos"/>
                <w:b w:val="0"/>
                <w:sz w:val="16"/>
              </w:rPr>
              <w:t>Broad coverage; some pricing/head-to-head evidence incomplete.</w:t>
            </w:r>
          </w:p>
        </w:tc>
      </w:tr>
      <w:tr>
        <w:tc>
          <w:tcPr>
            <w:tcW w:type="dxa" w:w="3408"/>
            <w:vAlign w:val="center"/>
          </w:tcPr>
          <w:p>
            <w:pPr>
              <w:spacing w:after="0"/>
            </w:pPr>
            <w:r/>
            <w:r>
              <w:rPr>
                <w:rFonts w:ascii="Aptos" w:hAnsi="Aptos"/>
                <w:b w:val="0"/>
                <w:sz w:val="16"/>
              </w:rPr>
              <w:t>Evidence quality</w:t>
            </w:r>
          </w:p>
        </w:tc>
        <w:tc>
          <w:tcPr>
            <w:tcW w:type="dxa" w:w="3408"/>
            <w:vAlign w:val="center"/>
          </w:tcPr>
          <w:p>
            <w:pPr>
              <w:spacing w:after="0"/>
            </w:pPr>
            <w:r/>
            <w:r>
              <w:rPr>
                <w:rFonts w:ascii="Aptos" w:hAnsi="Aptos"/>
                <w:b w:val="0"/>
                <w:sz w:val="16"/>
              </w:rPr>
              <w:t>4/5</w:t>
            </w:r>
          </w:p>
        </w:tc>
        <w:tc>
          <w:tcPr>
            <w:tcW w:type="dxa" w:w="3408"/>
            <w:vAlign w:val="center"/>
          </w:tcPr>
          <w:p>
            <w:pPr>
              <w:spacing w:after="0"/>
            </w:pPr>
            <w:r/>
            <w:r>
              <w:rPr>
                <w:rFonts w:ascii="Aptos" w:hAnsi="Aptos"/>
                <w:b w:val="0"/>
                <w:sz w:val="16"/>
              </w:rPr>
              <w:t>Useful evidence with explicit caveats.</w:t>
            </w:r>
          </w:p>
        </w:tc>
      </w:tr>
      <w:tr>
        <w:tc>
          <w:tcPr>
            <w:tcW w:type="dxa" w:w="3408"/>
            <w:vAlign w:val="center"/>
            <w:shd w:fill="F2F6FA"/>
          </w:tcPr>
          <w:p>
            <w:pPr>
              <w:spacing w:after="0"/>
            </w:pPr>
            <w:r/>
            <w:r>
              <w:rPr>
                <w:rFonts w:ascii="Aptos" w:hAnsi="Aptos"/>
                <w:b w:val="0"/>
                <w:sz w:val="16"/>
              </w:rPr>
              <w:t>Analysis quality</w:t>
            </w:r>
          </w:p>
        </w:tc>
        <w:tc>
          <w:tcPr>
            <w:tcW w:type="dxa" w:w="3408"/>
            <w:vAlign w:val="center"/>
            <w:shd w:fill="F2F6FA"/>
          </w:tcPr>
          <w:p>
            <w:pPr>
              <w:spacing w:after="0"/>
            </w:pPr>
            <w:r/>
            <w:r>
              <w:rPr>
                <w:rFonts w:ascii="Aptos" w:hAnsi="Aptos"/>
                <w:b w:val="0"/>
                <w:sz w:val="16"/>
              </w:rPr>
              <w:t>4/5</w:t>
            </w:r>
          </w:p>
        </w:tc>
        <w:tc>
          <w:tcPr>
            <w:tcW w:type="dxa" w:w="3408"/>
            <w:vAlign w:val="center"/>
            <w:shd w:fill="F2F6FA"/>
          </w:tcPr>
          <w:p>
            <w:pPr>
              <w:spacing w:after="0"/>
            </w:pPr>
            <w:r/>
            <w:r>
              <w:rPr>
                <w:rFonts w:ascii="Aptos" w:hAnsi="Aptos"/>
                <w:b w:val="0"/>
                <w:sz w:val="16"/>
              </w:rPr>
              <w:t>Decision-oriented comparison with limitations.</w:t>
            </w:r>
          </w:p>
        </w:tc>
      </w:tr>
      <w:tr>
        <w:tc>
          <w:tcPr>
            <w:tcW w:type="dxa" w:w="3408"/>
            <w:vAlign w:val="center"/>
          </w:tcPr>
          <w:p>
            <w:pPr>
              <w:spacing w:after="0"/>
            </w:pPr>
            <w:r/>
            <w:r>
              <w:rPr>
                <w:rFonts w:ascii="Aptos" w:hAnsi="Aptos"/>
                <w:b w:val="0"/>
                <w:sz w:val="16"/>
              </w:rPr>
              <w:t>Hallucination control</w:t>
            </w:r>
          </w:p>
        </w:tc>
        <w:tc>
          <w:tcPr>
            <w:tcW w:type="dxa" w:w="3408"/>
            <w:vAlign w:val="center"/>
          </w:tcPr>
          <w:p>
            <w:pPr>
              <w:spacing w:after="0"/>
            </w:pPr>
            <w:r/>
            <w:r>
              <w:rPr>
                <w:rFonts w:ascii="Aptos" w:hAnsi="Aptos"/>
                <w:b w:val="0"/>
                <w:sz w:val="16"/>
              </w:rPr>
              <w:t>5/5</w:t>
            </w:r>
          </w:p>
        </w:tc>
        <w:tc>
          <w:tcPr>
            <w:tcW w:type="dxa" w:w="3408"/>
            <w:vAlign w:val="center"/>
          </w:tcPr>
          <w:p>
            <w:pPr>
              <w:spacing w:after="0"/>
            </w:pPr>
            <w:r/>
            <w:r>
              <w:rPr>
                <w:rFonts w:ascii="Aptos" w:hAnsi="Aptos"/>
                <w:b w:val="0"/>
                <w:sz w:val="16"/>
              </w:rPr>
              <w:t>Unverified pricing not presented as certain.</w:t>
            </w:r>
          </w:p>
        </w:tc>
      </w:tr>
      <w:tr>
        <w:tc>
          <w:tcPr>
            <w:tcW w:type="dxa" w:w="3408"/>
            <w:vAlign w:val="center"/>
            <w:shd w:fill="F2F6FA"/>
          </w:tcPr>
          <w:p>
            <w:pPr>
              <w:spacing w:after="0"/>
            </w:pPr>
            <w:r/>
            <w:r>
              <w:rPr>
                <w:rFonts w:ascii="Aptos" w:hAnsi="Aptos"/>
                <w:b w:val="0"/>
                <w:sz w:val="16"/>
              </w:rPr>
              <w:t>Workflow behavior</w:t>
            </w:r>
          </w:p>
        </w:tc>
        <w:tc>
          <w:tcPr>
            <w:tcW w:type="dxa" w:w="3408"/>
            <w:vAlign w:val="center"/>
            <w:shd w:fill="F2F6FA"/>
          </w:tcPr>
          <w:p>
            <w:pPr>
              <w:spacing w:after="0"/>
            </w:pPr>
            <w:r/>
            <w:r>
              <w:rPr>
                <w:rFonts w:ascii="Aptos" w:hAnsi="Aptos"/>
                <w:b w:val="0"/>
                <w:sz w:val="16"/>
              </w:rPr>
              <w:t>5/5</w:t>
            </w:r>
          </w:p>
        </w:tc>
        <w:tc>
          <w:tcPr>
            <w:tcW w:type="dxa" w:w="3408"/>
            <w:vAlign w:val="center"/>
            <w:shd w:fill="F2F6FA"/>
          </w:tcPr>
          <w:p>
            <w:pPr>
              <w:spacing w:after="0"/>
            </w:pPr>
            <w:r/>
            <w:r>
              <w:rPr>
                <w:rFonts w:ascii="Aptos" w:hAnsi="Aptos"/>
                <w:b w:val="0"/>
                <w:sz w:val="16"/>
              </w:rPr>
              <w:t>Normal and review paths validated.</w:t>
            </w:r>
          </w:p>
        </w:tc>
      </w:tr>
      <w:tr>
        <w:tc>
          <w:tcPr>
            <w:tcW w:type="dxa" w:w="3408"/>
            <w:vAlign w:val="center"/>
          </w:tcPr>
          <w:p>
            <w:pPr>
              <w:spacing w:after="0"/>
            </w:pPr>
            <w:r/>
            <w:r>
              <w:rPr>
                <w:rFonts w:ascii="Aptos" w:hAnsi="Aptos"/>
                <w:b w:val="0"/>
                <w:sz w:val="16"/>
              </w:rPr>
              <w:t>Final report quality</w:t>
            </w:r>
          </w:p>
        </w:tc>
        <w:tc>
          <w:tcPr>
            <w:tcW w:type="dxa" w:w="3408"/>
            <w:vAlign w:val="center"/>
          </w:tcPr>
          <w:p>
            <w:pPr>
              <w:spacing w:after="0"/>
            </w:pPr>
            <w:r/>
            <w:r>
              <w:rPr>
                <w:rFonts w:ascii="Aptos" w:hAnsi="Aptos"/>
                <w:b w:val="0"/>
                <w:sz w:val="16"/>
              </w:rPr>
              <w:t>4/5</w:t>
            </w:r>
          </w:p>
        </w:tc>
        <w:tc>
          <w:tcPr>
            <w:tcW w:type="dxa" w:w="3408"/>
            <w:vAlign w:val="center"/>
          </w:tcPr>
          <w:p>
            <w:pPr>
              <w:spacing w:after="0"/>
            </w:pPr>
            <w:r/>
            <w:r>
              <w:rPr>
                <w:rFonts w:ascii="Aptos" w:hAnsi="Aptos"/>
                <w:b w:val="0"/>
                <w:sz w:val="16"/>
              </w:rPr>
              <w:t>Useful comprehensive briefing.</w:t>
            </w:r>
          </w:p>
        </w:tc>
      </w:tr>
      <w:tr>
        <w:tc>
          <w:tcPr>
            <w:tcW w:type="dxa" w:w="3408"/>
            <w:vAlign w:val="center"/>
            <w:shd w:fill="F2F6FA"/>
          </w:tcPr>
          <w:p>
            <w:pPr>
              <w:spacing w:after="0"/>
            </w:pPr>
            <w:r/>
            <w:r>
              <w:rPr>
                <w:rFonts w:ascii="Aptos" w:hAnsi="Aptos"/>
                <w:b w:val="0"/>
                <w:sz w:val="16"/>
              </w:rPr>
              <w:t>Overall</w:t>
            </w:r>
          </w:p>
        </w:tc>
        <w:tc>
          <w:tcPr>
            <w:tcW w:type="dxa" w:w="3408"/>
            <w:vAlign w:val="center"/>
            <w:shd w:fill="F2F6FA"/>
          </w:tcPr>
          <w:p>
            <w:pPr>
              <w:spacing w:after="0"/>
            </w:pPr>
            <w:r/>
            <w:r>
              <w:rPr>
                <w:rFonts w:ascii="Aptos" w:hAnsi="Aptos"/>
                <w:b w:val="0"/>
                <w:sz w:val="16"/>
              </w:rPr>
              <w:t>31/35</w:t>
            </w:r>
          </w:p>
        </w:tc>
        <w:tc>
          <w:tcPr>
            <w:tcW w:type="dxa" w:w="3408"/>
            <w:vAlign w:val="center"/>
            <w:shd w:fill="F2F6FA"/>
          </w:tcPr>
          <w:p>
            <w:pPr>
              <w:spacing w:after="0"/>
            </w:pPr>
            <w:r/>
            <w:r>
              <w:rPr>
                <w:rFonts w:ascii="Aptos" w:hAnsi="Aptos"/>
                <w:b w:val="0"/>
                <w:sz w:val="16"/>
              </w:rPr>
              <w:t>89% - PASS</w:t>
            </w:r>
          </w:p>
        </w:tc>
      </w:tr>
    </w:tbl>
    <w:p/>
    <w:p>
      <w:pPr>
        <w:pStyle w:val="Heading2"/>
      </w:pPr>
      <w:r>
        <w:t>6.2 Canva Cross-Domain Test</w:t>
      </w:r>
    </w:p>
    <w:p>
      <w:r>
        <w:t>Canva demonstrated generalization to a creative-software market. The system identified differentiated competitors and successfully exercised normal, approval, warning, and retry report paths. The retry report explicitly stated that it was a post-retry result and preserved unresolved evidence as unverified.</w:t>
      </w:r>
    </w:p>
    <w:p>
      <w:pPr>
        <w:pStyle w:val="Heading2"/>
      </w:pPr>
      <w:r>
        <w:t>6.3 Mercury Ambiguity Test</w:t>
      </w:r>
    </w:p>
    <w:p>
      <w:r>
        <w:t>The ambiguous input 'Mercury' was resolved by search evidence to the fintech/business-banking company. Discovery selected Brex, Rho, and Bluevine. Validation returned competitor coverage 25, completeness 20, evidence quality 25, recency 20, confidence 90/100, and decision 'proceed'. The limitation is that ambiguity was implicitly resolved rather than explicitly clarified with the user.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9"/>
          </w:tcPr>
          <w:p>
            <w:pPr>
              <w:spacing w:after="0"/>
            </w:pPr>
            <w:r/>
            <w:r>
              <w:rPr>
                <w:rFonts w:ascii="Aptos" w:hAnsi="Aptos"/>
                <w:b/>
                <w:color w:val="FFFFFF"/>
                <w:sz w:val="16"/>
              </w:rPr>
              <w:t>Dimension</w:t>
            </w:r>
          </w:p>
        </w:tc>
        <w:tc>
          <w:tcPr>
            <w:tcW w:type="dxa" w:w="3408"/>
            <w:vAlign w:val="center"/>
            <w:shd w:fill="1F4E79"/>
          </w:tcPr>
          <w:p>
            <w:pPr>
              <w:spacing w:after="0"/>
            </w:pPr>
            <w:r/>
            <w:r>
              <w:rPr>
                <w:rFonts w:ascii="Aptos" w:hAnsi="Aptos"/>
                <w:b/>
                <w:color w:val="FFFFFF"/>
                <w:sz w:val="16"/>
              </w:rPr>
              <w:t>Score</w:t>
            </w:r>
          </w:p>
        </w:tc>
        <w:tc>
          <w:tcPr>
            <w:tcW w:type="dxa" w:w="3408"/>
            <w:vAlign w:val="center"/>
            <w:shd w:fill="1F4E79"/>
          </w:tcPr>
          <w:p>
            <w:pPr>
              <w:spacing w:after="0"/>
            </w:pPr>
            <w:r/>
            <w:r>
              <w:rPr>
                <w:rFonts w:ascii="Aptos" w:hAnsi="Aptos"/>
                <w:b/>
                <w:color w:val="FFFFFF"/>
                <w:sz w:val="16"/>
              </w:rPr>
              <w:t>Assessment</w:t>
            </w:r>
          </w:p>
        </w:tc>
      </w:tr>
      <w:tr>
        <w:tc>
          <w:tcPr>
            <w:tcW w:type="dxa" w:w="3408"/>
            <w:vAlign w:val="center"/>
          </w:tcPr>
          <w:p>
            <w:pPr>
              <w:spacing w:after="0"/>
            </w:pPr>
            <w:r/>
            <w:r>
              <w:rPr>
                <w:rFonts w:ascii="Aptos" w:hAnsi="Aptos"/>
                <w:b w:val="0"/>
                <w:sz w:val="16"/>
              </w:rPr>
              <w:t>Competitor relevance</w:t>
            </w:r>
          </w:p>
        </w:tc>
        <w:tc>
          <w:tcPr>
            <w:tcW w:type="dxa" w:w="3408"/>
            <w:vAlign w:val="center"/>
          </w:tcPr>
          <w:p>
            <w:pPr>
              <w:spacing w:after="0"/>
            </w:pPr>
            <w:r/>
            <w:r>
              <w:rPr>
                <w:rFonts w:ascii="Aptos" w:hAnsi="Aptos"/>
                <w:b w:val="0"/>
                <w:sz w:val="16"/>
              </w:rPr>
              <w:t>5/5</w:t>
            </w:r>
          </w:p>
        </w:tc>
        <w:tc>
          <w:tcPr>
            <w:tcW w:type="dxa" w:w="3408"/>
            <w:vAlign w:val="center"/>
          </w:tcPr>
          <w:p>
            <w:pPr>
              <w:spacing w:after="0"/>
            </w:pPr>
            <w:r/>
            <w:r>
              <w:rPr>
                <w:rFonts w:ascii="Aptos" w:hAnsi="Aptos"/>
                <w:b w:val="0"/>
                <w:sz w:val="16"/>
              </w:rPr>
              <w:t>Brex, Rho, and Bluevine fit the fintech interpretation.</w:t>
            </w:r>
          </w:p>
        </w:tc>
      </w:tr>
      <w:tr>
        <w:tc>
          <w:tcPr>
            <w:tcW w:type="dxa" w:w="3408"/>
            <w:vAlign w:val="center"/>
            <w:shd w:fill="F2F6FA"/>
          </w:tcPr>
          <w:p>
            <w:pPr>
              <w:spacing w:after="0"/>
            </w:pPr>
            <w:r/>
            <w:r>
              <w:rPr>
                <w:rFonts w:ascii="Aptos" w:hAnsi="Aptos"/>
                <w:b w:val="0"/>
                <w:sz w:val="16"/>
              </w:rPr>
              <w:t>Research completeness</w:t>
            </w:r>
          </w:p>
        </w:tc>
        <w:tc>
          <w:tcPr>
            <w:tcW w:type="dxa" w:w="3408"/>
            <w:vAlign w:val="center"/>
            <w:shd w:fill="F2F6FA"/>
          </w:tcPr>
          <w:p>
            <w:pPr>
              <w:spacing w:after="0"/>
            </w:pPr>
            <w:r/>
            <w:r>
              <w:rPr>
                <w:rFonts w:ascii="Aptos" w:hAnsi="Aptos"/>
                <w:b w:val="0"/>
                <w:sz w:val="16"/>
              </w:rPr>
              <w:t>4/5</w:t>
            </w:r>
          </w:p>
        </w:tc>
        <w:tc>
          <w:tcPr>
            <w:tcW w:type="dxa" w:w="3408"/>
            <w:vAlign w:val="center"/>
            <w:shd w:fill="F2F6FA"/>
          </w:tcPr>
          <w:p>
            <w:pPr>
              <w:spacing w:after="0"/>
            </w:pPr>
            <w:r/>
            <w:r>
              <w:rPr>
                <w:rFonts w:ascii="Aptos" w:hAnsi="Aptos"/>
                <w:b w:val="0"/>
                <w:sz w:val="16"/>
              </w:rPr>
              <w:t>Strong coverage with some missing detail.</w:t>
            </w:r>
          </w:p>
        </w:tc>
      </w:tr>
      <w:tr>
        <w:tc>
          <w:tcPr>
            <w:tcW w:type="dxa" w:w="3408"/>
            <w:vAlign w:val="center"/>
          </w:tcPr>
          <w:p>
            <w:pPr>
              <w:spacing w:after="0"/>
            </w:pPr>
            <w:r/>
            <w:r>
              <w:rPr>
                <w:rFonts w:ascii="Aptos" w:hAnsi="Aptos"/>
                <w:b w:val="0"/>
                <w:sz w:val="16"/>
              </w:rPr>
              <w:t>Evidence quality</w:t>
            </w:r>
          </w:p>
        </w:tc>
        <w:tc>
          <w:tcPr>
            <w:tcW w:type="dxa" w:w="3408"/>
            <w:vAlign w:val="center"/>
          </w:tcPr>
          <w:p>
            <w:pPr>
              <w:spacing w:after="0"/>
            </w:pPr>
            <w:r/>
            <w:r>
              <w:rPr>
                <w:rFonts w:ascii="Aptos" w:hAnsi="Aptos"/>
                <w:b w:val="0"/>
                <w:sz w:val="16"/>
              </w:rPr>
              <w:t>5/5</w:t>
            </w:r>
          </w:p>
        </w:tc>
        <w:tc>
          <w:tcPr>
            <w:tcW w:type="dxa" w:w="3408"/>
            <w:vAlign w:val="center"/>
          </w:tcPr>
          <w:p>
            <w:pPr>
              <w:spacing w:after="0"/>
            </w:pPr>
            <w:r/>
            <w:r>
              <w:rPr>
                <w:rFonts w:ascii="Aptos" w:hAnsi="Aptos"/>
                <w:b w:val="0"/>
                <w:sz w:val="16"/>
              </w:rPr>
              <w:t>Evidence sufficiently resolved the entity.</w:t>
            </w:r>
          </w:p>
        </w:tc>
      </w:tr>
      <w:tr>
        <w:tc>
          <w:tcPr>
            <w:tcW w:type="dxa" w:w="3408"/>
            <w:vAlign w:val="center"/>
            <w:shd w:fill="F2F6FA"/>
          </w:tcPr>
          <w:p>
            <w:pPr>
              <w:spacing w:after="0"/>
            </w:pPr>
            <w:r/>
            <w:r>
              <w:rPr>
                <w:rFonts w:ascii="Aptos" w:hAnsi="Aptos"/>
                <w:b w:val="0"/>
                <w:sz w:val="16"/>
              </w:rPr>
              <w:t>Analysis quality</w:t>
            </w:r>
          </w:p>
        </w:tc>
        <w:tc>
          <w:tcPr>
            <w:tcW w:type="dxa" w:w="3408"/>
            <w:vAlign w:val="center"/>
            <w:shd w:fill="F2F6FA"/>
          </w:tcPr>
          <w:p>
            <w:pPr>
              <w:spacing w:after="0"/>
            </w:pPr>
            <w:r/>
            <w:r>
              <w:rPr>
                <w:rFonts w:ascii="Aptos" w:hAnsi="Aptos"/>
                <w:b w:val="0"/>
                <w:sz w:val="16"/>
              </w:rPr>
              <w:t>4/5</w:t>
            </w:r>
          </w:p>
        </w:tc>
        <w:tc>
          <w:tcPr>
            <w:tcW w:type="dxa" w:w="3408"/>
            <w:vAlign w:val="center"/>
            <w:shd w:fill="F2F6FA"/>
          </w:tcPr>
          <w:p>
            <w:pPr>
              <w:spacing w:after="0"/>
            </w:pPr>
            <w:r/>
            <w:r>
              <w:rPr>
                <w:rFonts w:ascii="Aptos" w:hAnsi="Aptos"/>
                <w:b w:val="0"/>
                <w:sz w:val="16"/>
              </w:rPr>
              <w:t>Useful synthesis with limitations.</w:t>
            </w:r>
          </w:p>
        </w:tc>
      </w:tr>
      <w:tr>
        <w:tc>
          <w:tcPr>
            <w:tcW w:type="dxa" w:w="3408"/>
            <w:vAlign w:val="center"/>
          </w:tcPr>
          <w:p>
            <w:pPr>
              <w:spacing w:after="0"/>
            </w:pPr>
            <w:r/>
            <w:r>
              <w:rPr>
                <w:rFonts w:ascii="Aptos" w:hAnsi="Aptos"/>
                <w:b w:val="0"/>
                <w:sz w:val="16"/>
              </w:rPr>
              <w:t>Hallucination control</w:t>
            </w:r>
          </w:p>
        </w:tc>
        <w:tc>
          <w:tcPr>
            <w:tcW w:type="dxa" w:w="3408"/>
            <w:vAlign w:val="center"/>
          </w:tcPr>
          <w:p>
            <w:pPr>
              <w:spacing w:after="0"/>
            </w:pPr>
            <w:r/>
            <w:r>
              <w:rPr>
                <w:rFonts w:ascii="Aptos" w:hAnsi="Aptos"/>
                <w:b w:val="0"/>
                <w:sz w:val="16"/>
              </w:rPr>
              <w:t>5/5</w:t>
            </w:r>
          </w:p>
        </w:tc>
        <w:tc>
          <w:tcPr>
            <w:tcW w:type="dxa" w:w="3408"/>
            <w:vAlign w:val="center"/>
          </w:tcPr>
          <w:p>
            <w:pPr>
              <w:spacing w:after="0"/>
            </w:pPr>
            <w:r/>
            <w:r>
              <w:rPr>
                <w:rFonts w:ascii="Aptos" w:hAnsi="Aptos"/>
                <w:b w:val="0"/>
                <w:sz w:val="16"/>
              </w:rPr>
              <w:t>Unverified pricing remained explicit.</w:t>
            </w:r>
          </w:p>
        </w:tc>
      </w:tr>
      <w:tr>
        <w:tc>
          <w:tcPr>
            <w:tcW w:type="dxa" w:w="3408"/>
            <w:vAlign w:val="center"/>
            <w:shd w:fill="F2F6FA"/>
          </w:tcPr>
          <w:p>
            <w:pPr>
              <w:spacing w:after="0"/>
            </w:pPr>
            <w:r/>
            <w:r>
              <w:rPr>
                <w:rFonts w:ascii="Aptos" w:hAnsi="Aptos"/>
                <w:b w:val="0"/>
                <w:sz w:val="16"/>
              </w:rPr>
              <w:t>Workflow behavior</w:t>
            </w:r>
          </w:p>
        </w:tc>
        <w:tc>
          <w:tcPr>
            <w:tcW w:type="dxa" w:w="3408"/>
            <w:vAlign w:val="center"/>
            <w:shd w:fill="F2F6FA"/>
          </w:tcPr>
          <w:p>
            <w:pPr>
              <w:spacing w:after="0"/>
            </w:pPr>
            <w:r/>
            <w:r>
              <w:rPr>
                <w:rFonts w:ascii="Aptos" w:hAnsi="Aptos"/>
                <w:b w:val="0"/>
                <w:sz w:val="16"/>
              </w:rPr>
              <w:t>5/5</w:t>
            </w:r>
          </w:p>
        </w:tc>
        <w:tc>
          <w:tcPr>
            <w:tcW w:type="dxa" w:w="3408"/>
            <w:vAlign w:val="center"/>
            <w:shd w:fill="F2F6FA"/>
          </w:tcPr>
          <w:p>
            <w:pPr>
              <w:spacing w:after="0"/>
            </w:pPr>
            <w:r/>
            <w:r>
              <w:rPr>
                <w:rFonts w:ascii="Aptos" w:hAnsi="Aptos"/>
                <w:b w:val="0"/>
                <w:sz w:val="16"/>
              </w:rPr>
              <w:t>Ambiguous input proceeded coherently at 90 confidence.</w:t>
            </w:r>
          </w:p>
        </w:tc>
      </w:tr>
      <w:tr>
        <w:tc>
          <w:tcPr>
            <w:tcW w:type="dxa" w:w="3408"/>
            <w:vAlign w:val="center"/>
          </w:tcPr>
          <w:p>
            <w:pPr>
              <w:spacing w:after="0"/>
            </w:pPr>
            <w:r/>
            <w:r>
              <w:rPr>
                <w:rFonts w:ascii="Aptos" w:hAnsi="Aptos"/>
                <w:b w:val="0"/>
                <w:sz w:val="16"/>
              </w:rPr>
              <w:t>Final report quality</w:t>
            </w:r>
          </w:p>
        </w:tc>
        <w:tc>
          <w:tcPr>
            <w:tcW w:type="dxa" w:w="3408"/>
            <w:vAlign w:val="center"/>
          </w:tcPr>
          <w:p>
            <w:pPr>
              <w:spacing w:after="0"/>
            </w:pPr>
            <w:r/>
            <w:r>
              <w:rPr>
                <w:rFonts w:ascii="Aptos" w:hAnsi="Aptos"/>
                <w:b w:val="0"/>
                <w:sz w:val="16"/>
              </w:rPr>
              <w:t>4/5</w:t>
            </w:r>
          </w:p>
        </w:tc>
        <w:tc>
          <w:tcPr>
            <w:tcW w:type="dxa" w:w="3408"/>
            <w:vAlign w:val="center"/>
          </w:tcPr>
          <w:p>
            <w:pPr>
              <w:spacing w:after="0"/>
            </w:pPr>
            <w:r/>
            <w:r>
              <w:rPr>
                <w:rFonts w:ascii="Aptos" w:hAnsi="Aptos"/>
                <w:b w:val="0"/>
                <w:sz w:val="16"/>
              </w:rPr>
              <w:t>Strong with residual evidence gaps.</w:t>
            </w:r>
          </w:p>
        </w:tc>
      </w:tr>
      <w:tr>
        <w:tc>
          <w:tcPr>
            <w:tcW w:type="dxa" w:w="3408"/>
            <w:vAlign w:val="center"/>
            <w:shd w:fill="F2F6FA"/>
          </w:tcPr>
          <w:p>
            <w:pPr>
              <w:spacing w:after="0"/>
            </w:pPr>
            <w:r/>
            <w:r>
              <w:rPr>
                <w:rFonts w:ascii="Aptos" w:hAnsi="Aptos"/>
                <w:b w:val="0"/>
                <w:sz w:val="16"/>
              </w:rPr>
              <w:t>Overall</w:t>
            </w:r>
          </w:p>
        </w:tc>
        <w:tc>
          <w:tcPr>
            <w:tcW w:type="dxa" w:w="3408"/>
            <w:vAlign w:val="center"/>
            <w:shd w:fill="F2F6FA"/>
          </w:tcPr>
          <w:p>
            <w:pPr>
              <w:spacing w:after="0"/>
            </w:pPr>
            <w:r/>
            <w:r>
              <w:rPr>
                <w:rFonts w:ascii="Aptos" w:hAnsi="Aptos"/>
                <w:b w:val="0"/>
                <w:sz w:val="16"/>
              </w:rPr>
              <w:t>32/35</w:t>
            </w:r>
          </w:p>
        </w:tc>
        <w:tc>
          <w:tcPr>
            <w:tcW w:type="dxa" w:w="3408"/>
            <w:vAlign w:val="center"/>
            <w:shd w:fill="F2F6FA"/>
          </w:tcPr>
          <w:p>
            <w:pPr>
              <w:spacing w:after="0"/>
            </w:pPr>
            <w:r/>
            <w:r>
              <w:rPr>
                <w:rFonts w:ascii="Aptos" w:hAnsi="Aptos"/>
                <w:b w:val="0"/>
                <w:sz w:val="16"/>
              </w:rPr>
              <w:t>91% - PASS</w:t>
            </w:r>
          </w:p>
        </w:tc>
      </w:tr>
    </w:tbl>
    <w:p/>
    <w:p>
      <w:pPr>
        <w:pStyle w:val="Heading2"/>
      </w:pPr>
      <w:r>
        <w:t>6.4 Duolingo Generalization and Regression</w:t>
      </w:r>
    </w:p>
    <w:p>
      <w:r>
        <w:t>Duolingo provided a third market domain and served as the positive regression test after the Entity Verification Gate was added. The gate verified Duolingo with confidence 95. Discovery returned Babbel, Rosetta Stone, and Busuu; Split Competitors produced three items while preserving target_company = Duolingo; and the full form execution produced a Competitive Intelligence Report with confidence 80.</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9"/>
          </w:tcPr>
          <w:p>
            <w:pPr>
              <w:spacing w:after="0"/>
            </w:pPr>
            <w:r/>
            <w:r>
              <w:rPr>
                <w:rFonts w:ascii="Aptos" w:hAnsi="Aptos"/>
                <w:b/>
                <w:color w:val="FFFFFF"/>
                <w:sz w:val="16"/>
              </w:rPr>
              <w:t>Dimension</w:t>
            </w:r>
          </w:p>
        </w:tc>
        <w:tc>
          <w:tcPr>
            <w:tcW w:type="dxa" w:w="3408"/>
            <w:vAlign w:val="center"/>
            <w:shd w:fill="1F4E79"/>
          </w:tcPr>
          <w:p>
            <w:pPr>
              <w:spacing w:after="0"/>
            </w:pPr>
            <w:r/>
            <w:r>
              <w:rPr>
                <w:rFonts w:ascii="Aptos" w:hAnsi="Aptos"/>
                <w:b/>
                <w:color w:val="FFFFFF"/>
                <w:sz w:val="16"/>
              </w:rPr>
              <w:t>Score</w:t>
            </w:r>
          </w:p>
        </w:tc>
        <w:tc>
          <w:tcPr>
            <w:tcW w:type="dxa" w:w="3408"/>
            <w:vAlign w:val="center"/>
            <w:shd w:fill="1F4E79"/>
          </w:tcPr>
          <w:p>
            <w:pPr>
              <w:spacing w:after="0"/>
            </w:pPr>
            <w:r/>
            <w:r>
              <w:rPr>
                <w:rFonts w:ascii="Aptos" w:hAnsi="Aptos"/>
                <w:b/>
                <w:color w:val="FFFFFF"/>
                <w:sz w:val="16"/>
              </w:rPr>
              <w:t>Assessment</w:t>
            </w:r>
          </w:p>
        </w:tc>
      </w:tr>
      <w:tr>
        <w:tc>
          <w:tcPr>
            <w:tcW w:type="dxa" w:w="3408"/>
            <w:vAlign w:val="center"/>
          </w:tcPr>
          <w:p>
            <w:pPr>
              <w:spacing w:after="0"/>
            </w:pPr>
            <w:r/>
            <w:r>
              <w:rPr>
                <w:rFonts w:ascii="Aptos" w:hAnsi="Aptos"/>
                <w:b w:val="0"/>
                <w:sz w:val="16"/>
              </w:rPr>
              <w:t>Competitor relevance</w:t>
            </w:r>
          </w:p>
        </w:tc>
        <w:tc>
          <w:tcPr>
            <w:tcW w:type="dxa" w:w="3408"/>
            <w:vAlign w:val="center"/>
          </w:tcPr>
          <w:p>
            <w:pPr>
              <w:spacing w:after="0"/>
            </w:pPr>
            <w:r/>
            <w:r>
              <w:rPr>
                <w:rFonts w:ascii="Aptos" w:hAnsi="Aptos"/>
                <w:b w:val="0"/>
                <w:sz w:val="16"/>
              </w:rPr>
              <w:t>5/5</w:t>
            </w:r>
          </w:p>
        </w:tc>
        <w:tc>
          <w:tcPr>
            <w:tcW w:type="dxa" w:w="3408"/>
            <w:vAlign w:val="center"/>
          </w:tcPr>
          <w:p>
            <w:pPr>
              <w:spacing w:after="0"/>
            </w:pPr>
            <w:r/>
            <w:r>
              <w:rPr>
                <w:rFonts w:ascii="Aptos" w:hAnsi="Aptos"/>
                <w:b w:val="0"/>
                <w:sz w:val="16"/>
              </w:rPr>
              <w:t>Direct language-learning alternatives.</w:t>
            </w:r>
          </w:p>
        </w:tc>
      </w:tr>
      <w:tr>
        <w:tc>
          <w:tcPr>
            <w:tcW w:type="dxa" w:w="3408"/>
            <w:vAlign w:val="center"/>
            <w:shd w:fill="F2F6FA"/>
          </w:tcPr>
          <w:p>
            <w:pPr>
              <w:spacing w:after="0"/>
            </w:pPr>
            <w:r/>
            <w:r>
              <w:rPr>
                <w:rFonts w:ascii="Aptos" w:hAnsi="Aptos"/>
                <w:b w:val="0"/>
                <w:sz w:val="16"/>
              </w:rPr>
              <w:t>Research completeness</w:t>
            </w:r>
          </w:p>
        </w:tc>
        <w:tc>
          <w:tcPr>
            <w:tcW w:type="dxa" w:w="3408"/>
            <w:vAlign w:val="center"/>
            <w:shd w:fill="F2F6FA"/>
          </w:tcPr>
          <w:p>
            <w:pPr>
              <w:spacing w:after="0"/>
            </w:pPr>
            <w:r/>
            <w:r>
              <w:rPr>
                <w:rFonts w:ascii="Aptos" w:hAnsi="Aptos"/>
                <w:b w:val="0"/>
                <w:sz w:val="16"/>
              </w:rPr>
              <w:t>4/5</w:t>
            </w:r>
          </w:p>
        </w:tc>
        <w:tc>
          <w:tcPr>
            <w:tcW w:type="dxa" w:w="3408"/>
            <w:vAlign w:val="center"/>
            <w:shd w:fill="F2F6FA"/>
          </w:tcPr>
          <w:p>
            <w:pPr>
              <w:spacing w:after="0"/>
            </w:pPr>
            <w:r/>
            <w:r>
              <w:rPr>
                <w:rFonts w:ascii="Aptos" w:hAnsi="Aptos"/>
                <w:b w:val="0"/>
                <w:sz w:val="16"/>
              </w:rPr>
              <w:t>Good breadth; pricing evidence varied.</w:t>
            </w:r>
          </w:p>
        </w:tc>
      </w:tr>
      <w:tr>
        <w:tc>
          <w:tcPr>
            <w:tcW w:type="dxa" w:w="3408"/>
            <w:vAlign w:val="center"/>
          </w:tcPr>
          <w:p>
            <w:pPr>
              <w:spacing w:after="0"/>
            </w:pPr>
            <w:r/>
            <w:r>
              <w:rPr>
                <w:rFonts w:ascii="Aptos" w:hAnsi="Aptos"/>
                <w:b w:val="0"/>
                <w:sz w:val="16"/>
              </w:rPr>
              <w:t>Evidence quality</w:t>
            </w:r>
          </w:p>
        </w:tc>
        <w:tc>
          <w:tcPr>
            <w:tcW w:type="dxa" w:w="3408"/>
            <w:vAlign w:val="center"/>
          </w:tcPr>
          <w:p>
            <w:pPr>
              <w:spacing w:after="0"/>
            </w:pPr>
            <w:r/>
            <w:r>
              <w:rPr>
                <w:rFonts w:ascii="Aptos" w:hAnsi="Aptos"/>
                <w:b w:val="0"/>
                <w:sz w:val="16"/>
              </w:rPr>
              <w:t>4/5</w:t>
            </w:r>
          </w:p>
        </w:tc>
        <w:tc>
          <w:tcPr>
            <w:tcW w:type="dxa" w:w="3408"/>
            <w:vAlign w:val="center"/>
          </w:tcPr>
          <w:p>
            <w:pPr>
              <w:spacing w:after="0"/>
            </w:pPr>
            <w:r/>
            <w:r>
              <w:rPr>
                <w:rFonts w:ascii="Aptos" w:hAnsi="Aptos"/>
                <w:b w:val="0"/>
                <w:sz w:val="16"/>
              </w:rPr>
              <w:t>Useful evidence with third-party caveats.</w:t>
            </w:r>
          </w:p>
        </w:tc>
      </w:tr>
      <w:tr>
        <w:tc>
          <w:tcPr>
            <w:tcW w:type="dxa" w:w="3408"/>
            <w:vAlign w:val="center"/>
            <w:shd w:fill="F2F6FA"/>
          </w:tcPr>
          <w:p>
            <w:pPr>
              <w:spacing w:after="0"/>
            </w:pPr>
            <w:r/>
            <w:r>
              <w:rPr>
                <w:rFonts w:ascii="Aptos" w:hAnsi="Aptos"/>
                <w:b w:val="0"/>
                <w:sz w:val="16"/>
              </w:rPr>
              <w:t>Analysis quality</w:t>
            </w:r>
          </w:p>
        </w:tc>
        <w:tc>
          <w:tcPr>
            <w:tcW w:type="dxa" w:w="3408"/>
            <w:vAlign w:val="center"/>
            <w:shd w:fill="F2F6FA"/>
          </w:tcPr>
          <w:p>
            <w:pPr>
              <w:spacing w:after="0"/>
            </w:pPr>
            <w:r/>
            <w:r>
              <w:rPr>
                <w:rFonts w:ascii="Aptos" w:hAnsi="Aptos"/>
                <w:b w:val="0"/>
                <w:sz w:val="16"/>
              </w:rPr>
              <w:t>4/5</w:t>
            </w:r>
          </w:p>
        </w:tc>
        <w:tc>
          <w:tcPr>
            <w:tcW w:type="dxa" w:w="3408"/>
            <w:vAlign w:val="center"/>
            <w:shd w:fill="F2F6FA"/>
          </w:tcPr>
          <w:p>
            <w:pPr>
              <w:spacing w:after="0"/>
            </w:pPr>
            <w:r/>
            <w:r>
              <w:rPr>
                <w:rFonts w:ascii="Aptos" w:hAnsi="Aptos"/>
                <w:b w:val="0"/>
                <w:sz w:val="16"/>
              </w:rPr>
              <w:t>Clear differentiated positioning.</w:t>
            </w:r>
          </w:p>
        </w:tc>
      </w:tr>
      <w:tr>
        <w:tc>
          <w:tcPr>
            <w:tcW w:type="dxa" w:w="3408"/>
            <w:vAlign w:val="center"/>
          </w:tcPr>
          <w:p>
            <w:pPr>
              <w:spacing w:after="0"/>
            </w:pPr>
            <w:r/>
            <w:r>
              <w:rPr>
                <w:rFonts w:ascii="Aptos" w:hAnsi="Aptos"/>
                <w:b w:val="0"/>
                <w:sz w:val="16"/>
              </w:rPr>
              <w:t>Hallucination control</w:t>
            </w:r>
          </w:p>
        </w:tc>
        <w:tc>
          <w:tcPr>
            <w:tcW w:type="dxa" w:w="3408"/>
            <w:vAlign w:val="center"/>
          </w:tcPr>
          <w:p>
            <w:pPr>
              <w:spacing w:after="0"/>
            </w:pPr>
            <w:r/>
            <w:r>
              <w:rPr>
                <w:rFonts w:ascii="Aptos" w:hAnsi="Aptos"/>
                <w:b w:val="0"/>
                <w:sz w:val="16"/>
              </w:rPr>
              <w:t>5/5</w:t>
            </w:r>
          </w:p>
        </w:tc>
        <w:tc>
          <w:tcPr>
            <w:tcW w:type="dxa" w:w="3408"/>
            <w:vAlign w:val="center"/>
          </w:tcPr>
          <w:p>
            <w:pPr>
              <w:spacing w:after="0"/>
            </w:pPr>
            <w:r/>
            <w:r>
              <w:rPr>
                <w:rFonts w:ascii="Aptos" w:hAnsi="Aptos"/>
                <w:b w:val="0"/>
                <w:sz w:val="16"/>
              </w:rPr>
              <w:t>Unverified facts were labeled.</w:t>
            </w:r>
          </w:p>
        </w:tc>
      </w:tr>
      <w:tr>
        <w:tc>
          <w:tcPr>
            <w:tcW w:type="dxa" w:w="3408"/>
            <w:vAlign w:val="center"/>
            <w:shd w:fill="F2F6FA"/>
          </w:tcPr>
          <w:p>
            <w:pPr>
              <w:spacing w:after="0"/>
            </w:pPr>
            <w:r/>
            <w:r>
              <w:rPr>
                <w:rFonts w:ascii="Aptos" w:hAnsi="Aptos"/>
                <w:b w:val="0"/>
                <w:sz w:val="16"/>
              </w:rPr>
              <w:t>Workflow behavior</w:t>
            </w:r>
          </w:p>
        </w:tc>
        <w:tc>
          <w:tcPr>
            <w:tcW w:type="dxa" w:w="3408"/>
            <w:vAlign w:val="center"/>
            <w:shd w:fill="F2F6FA"/>
          </w:tcPr>
          <w:p>
            <w:pPr>
              <w:spacing w:after="0"/>
            </w:pPr>
            <w:r/>
            <w:r>
              <w:rPr>
                <w:rFonts w:ascii="Aptos" w:hAnsi="Aptos"/>
                <w:b w:val="0"/>
                <w:sz w:val="16"/>
              </w:rPr>
              <w:t>5/5</w:t>
            </w:r>
          </w:p>
        </w:tc>
        <w:tc>
          <w:tcPr>
            <w:tcW w:type="dxa" w:w="3408"/>
            <w:vAlign w:val="center"/>
            <w:shd w:fill="F2F6FA"/>
          </w:tcPr>
          <w:p>
            <w:pPr>
              <w:spacing w:after="0"/>
            </w:pPr>
            <w:r/>
            <w:r>
              <w:rPr>
                <w:rFonts w:ascii="Aptos" w:hAnsi="Aptos"/>
                <w:b w:val="0"/>
                <w:sz w:val="16"/>
              </w:rPr>
              <w:t>Entity gate, split, validation, delivery succeeded.</w:t>
            </w:r>
          </w:p>
        </w:tc>
      </w:tr>
      <w:tr>
        <w:tc>
          <w:tcPr>
            <w:tcW w:type="dxa" w:w="3408"/>
            <w:vAlign w:val="center"/>
          </w:tcPr>
          <w:p>
            <w:pPr>
              <w:spacing w:after="0"/>
            </w:pPr>
            <w:r/>
            <w:r>
              <w:rPr>
                <w:rFonts w:ascii="Aptos" w:hAnsi="Aptos"/>
                <w:b w:val="0"/>
                <w:sz w:val="16"/>
              </w:rPr>
              <w:t>Final report quality</w:t>
            </w:r>
          </w:p>
        </w:tc>
        <w:tc>
          <w:tcPr>
            <w:tcW w:type="dxa" w:w="3408"/>
            <w:vAlign w:val="center"/>
          </w:tcPr>
          <w:p>
            <w:pPr>
              <w:spacing w:after="0"/>
            </w:pPr>
            <w:r/>
            <w:r>
              <w:rPr>
                <w:rFonts w:ascii="Aptos" w:hAnsi="Aptos"/>
                <w:b w:val="0"/>
                <w:sz w:val="16"/>
              </w:rPr>
              <w:t>5/5</w:t>
            </w:r>
          </w:p>
        </w:tc>
        <w:tc>
          <w:tcPr>
            <w:tcW w:type="dxa" w:w="3408"/>
            <w:vAlign w:val="center"/>
          </w:tcPr>
          <w:p>
            <w:pPr>
              <w:spacing w:after="0"/>
            </w:pPr>
            <w:r/>
            <w:r>
              <w:rPr>
                <w:rFonts w:ascii="Aptos" w:hAnsi="Aptos"/>
                <w:b w:val="0"/>
                <w:sz w:val="16"/>
              </w:rPr>
              <w:t>Clear user-facing report.</w:t>
            </w:r>
          </w:p>
        </w:tc>
      </w:tr>
      <w:tr>
        <w:tc>
          <w:tcPr>
            <w:tcW w:type="dxa" w:w="3408"/>
            <w:vAlign w:val="center"/>
            <w:shd w:fill="F2F6FA"/>
          </w:tcPr>
          <w:p>
            <w:pPr>
              <w:spacing w:after="0"/>
            </w:pPr>
            <w:r/>
            <w:r>
              <w:rPr>
                <w:rFonts w:ascii="Aptos" w:hAnsi="Aptos"/>
                <w:b w:val="0"/>
                <w:sz w:val="16"/>
              </w:rPr>
              <w:t>Overall</w:t>
            </w:r>
          </w:p>
        </w:tc>
        <w:tc>
          <w:tcPr>
            <w:tcW w:type="dxa" w:w="3408"/>
            <w:vAlign w:val="center"/>
            <w:shd w:fill="F2F6FA"/>
          </w:tcPr>
          <w:p>
            <w:pPr>
              <w:spacing w:after="0"/>
            </w:pPr>
            <w:r/>
            <w:r>
              <w:rPr>
                <w:rFonts w:ascii="Aptos" w:hAnsi="Aptos"/>
                <w:b w:val="0"/>
                <w:sz w:val="16"/>
              </w:rPr>
              <w:t>32/35</w:t>
            </w:r>
          </w:p>
        </w:tc>
        <w:tc>
          <w:tcPr>
            <w:tcW w:type="dxa" w:w="3408"/>
            <w:vAlign w:val="center"/>
            <w:shd w:fill="F2F6FA"/>
          </w:tcPr>
          <w:p>
            <w:pPr>
              <w:spacing w:after="0"/>
            </w:pPr>
            <w:r/>
            <w:r>
              <w:rPr>
                <w:rFonts w:ascii="Aptos" w:hAnsi="Aptos"/>
                <w:b w:val="0"/>
                <w:sz w:val="16"/>
              </w:rPr>
              <w:t>91% - PASS</w:t>
            </w:r>
          </w:p>
        </w:tc>
      </w:tr>
    </w:tbl>
    <w:p/>
    <w:p>
      <w:pPr>
        <w:pStyle w:val="Heading1"/>
      </w:pPr>
      <w:r>
        <w:t>7. Failure Analysis and Corrective Actions</w:t>
      </w:r>
    </w:p>
    <w:p>
      <w:pPr>
        <w:pStyle w:val="Heading2"/>
      </w:pPr>
      <w:r>
        <w:t>7.1 Invalid Entity Resolution</w:t>
      </w:r>
    </w:p>
    <w:p>
      <w:r>
        <w:t>Observed failure: an intentionally invalid company input was initially resolved by search results to 'X Test Inc'. Competitor Discovery then produced Communication Arts Group, Global Testing, and Integrity Testing. This was an entity-resolution failure because the submitted company and researched company did not match.</w:t>
      </w:r>
    </w:p>
    <w:p>
      <w:r>
        <w:t>Detection: Research Validation reduced competitor coverage to 5, completeness to 10, recency to 5, and overall confidence to 45/100, with decision 'human_review'. It noted that only one competitor had a substantive verifiable profile and the others were effectively unverified.</w:t>
      </w:r>
    </w:p>
    <w:p>
      <w:r>
        <w:t>Root cause: the original architecture trusted initial search retrieval to resolve the submitted entity and had no explicit verification step before competitor discovery.</w:t>
      </w:r>
    </w:p>
    <w:p>
      <w:r>
        <w:t>Corrective action: an Entity Verification Agent and Boolean 'Entity Verified?' gate were inserted immediately after Competitor Search. FALSE routes directly to a clarification response; TRUE continues to competitor discovery.</w:t>
      </w:r>
    </w:p>
    <w:p>
      <w:r>
        <w:t>Retest: the same invalid input was rejected before competitor discovery and the user was asked to verify the company name or provide a website/domain. A subsequent Duolingo regression test passed end-to-end.</w:t>
      </w:r>
    </w:p>
    <w:p>
      <w:pPr>
        <w:pStyle w:val="Heading2"/>
      </w:pPr>
      <w:r>
        <w:t>7.2 Retry Search Query Too Long</w:t>
      </w:r>
    </w:p>
    <w:p>
      <w:r>
        <w:t>Retry Research Search rejected a generated query containing 146 words and 1,214 characters because the service limit was 50 words and 400 characters. The retry query was shortened to focus on pricing, features, target customers, positioning, and recent news; long validation-issue text was reserved for downstream synthesis. The retry path then completed successfully.</w:t>
      </w:r>
    </w:p>
    <w:p>
      <w:pPr>
        <w:pStyle w:val="Heading2"/>
      </w:pPr>
      <w:r>
        <w:t>7.3 Structured Output Configuration</w:t>
      </w:r>
    </w:p>
    <w:p>
      <w:r>
        <w:t>Structured Output Parser execution initially failed when a required model sub-node was not connected/enabled. Connecting the OpenAI Chat Model and parser correctly resolved the issue, reinforcing the need to test agent sub-node dependencies before full workflow execution.</w:t>
      </w:r>
    </w:p>
    <w:p>
      <w:pPr>
        <w:pStyle w:val="Heading1"/>
      </w:pPr>
      <w:r>
        <w:t>8. Human Review and Retry Evaluation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F4E79"/>
          </w:tcPr>
          <w:p>
            <w:pPr>
              <w:spacing w:after="0"/>
            </w:pPr>
            <w:r/>
            <w:r>
              <w:rPr>
                <w:rFonts w:ascii="Aptos" w:hAnsi="Aptos"/>
                <w:b/>
                <w:color w:val="FFFFFF"/>
                <w:sz w:val="16"/>
              </w:rPr>
              <w:t>Route</w:t>
            </w:r>
          </w:p>
        </w:tc>
        <w:tc>
          <w:tcPr>
            <w:tcW w:type="dxa" w:w="2556"/>
            <w:vAlign w:val="center"/>
            <w:shd w:fill="1F4E79"/>
          </w:tcPr>
          <w:p>
            <w:pPr>
              <w:spacing w:after="0"/>
            </w:pPr>
            <w:r/>
            <w:r>
              <w:rPr>
                <w:rFonts w:ascii="Aptos" w:hAnsi="Aptos"/>
                <w:b/>
                <w:color w:val="FFFFFF"/>
                <w:sz w:val="16"/>
              </w:rPr>
              <w:t>Trigger / selection</w:t>
            </w:r>
          </w:p>
        </w:tc>
        <w:tc>
          <w:tcPr>
            <w:tcW w:type="dxa" w:w="2556"/>
            <w:vAlign w:val="center"/>
            <w:shd w:fill="1F4E79"/>
          </w:tcPr>
          <w:p>
            <w:pPr>
              <w:spacing w:after="0"/>
            </w:pPr>
            <w:r/>
            <w:r>
              <w:rPr>
                <w:rFonts w:ascii="Aptos" w:hAnsi="Aptos"/>
                <w:b/>
                <w:color w:val="FFFFFF"/>
                <w:sz w:val="16"/>
              </w:rPr>
              <w:t>Expected behavior</w:t>
            </w:r>
          </w:p>
        </w:tc>
        <w:tc>
          <w:tcPr>
            <w:tcW w:type="dxa" w:w="2556"/>
            <w:vAlign w:val="center"/>
            <w:shd w:fill="1F4E79"/>
          </w:tcPr>
          <w:p>
            <w:pPr>
              <w:spacing w:after="0"/>
            </w:pPr>
            <w:r/>
            <w:r>
              <w:rPr>
                <w:rFonts w:ascii="Aptos" w:hAnsi="Aptos"/>
                <w:b/>
                <w:color w:val="FFFFFF"/>
                <w:sz w:val="16"/>
              </w:rPr>
              <w:t>Observed</w:t>
            </w:r>
          </w:p>
        </w:tc>
      </w:tr>
      <w:tr>
        <w:tc>
          <w:tcPr>
            <w:tcW w:type="dxa" w:w="2556"/>
            <w:vAlign w:val="center"/>
          </w:tcPr>
          <w:p>
            <w:pPr>
              <w:spacing w:after="0"/>
            </w:pPr>
            <w:r/>
            <w:r>
              <w:rPr>
                <w:rFonts w:ascii="Aptos" w:hAnsi="Aptos"/>
                <w:b w:val="0"/>
                <w:sz w:val="16"/>
              </w:rPr>
              <w:t>Normal</w:t>
            </w:r>
          </w:p>
        </w:tc>
        <w:tc>
          <w:tcPr>
            <w:tcW w:type="dxa" w:w="2556"/>
            <w:vAlign w:val="center"/>
          </w:tcPr>
          <w:p>
            <w:pPr>
              <w:spacing w:after="0"/>
            </w:pPr>
            <w:r/>
            <w:r>
              <w:rPr>
                <w:rFonts w:ascii="Aptos" w:hAnsi="Aptos"/>
                <w:b w:val="0"/>
                <w:sz w:val="16"/>
              </w:rPr>
              <w:t>Confidence ≥75</w:t>
            </w:r>
          </w:p>
        </w:tc>
        <w:tc>
          <w:tcPr>
            <w:tcW w:type="dxa" w:w="2556"/>
            <w:vAlign w:val="center"/>
          </w:tcPr>
          <w:p>
            <w:pPr>
              <w:spacing w:after="0"/>
            </w:pPr>
            <w:r/>
            <w:r>
              <w:rPr>
                <w:rFonts w:ascii="Aptos" w:hAnsi="Aptos"/>
                <w:b w:val="0"/>
                <w:sz w:val="16"/>
              </w:rPr>
              <w:t>Generate final report automatically</w:t>
            </w:r>
          </w:p>
        </w:tc>
        <w:tc>
          <w:tcPr>
            <w:tcW w:type="dxa" w:w="2556"/>
            <w:vAlign w:val="center"/>
          </w:tcPr>
          <w:p>
            <w:pPr>
              <w:spacing w:after="0"/>
            </w:pPr>
            <w:r/>
            <w:r>
              <w:rPr>
                <w:rFonts w:ascii="Aptos" w:hAnsi="Aptos"/>
                <w:b w:val="0"/>
                <w:sz w:val="16"/>
              </w:rPr>
              <w:t>PASS</w:t>
            </w:r>
          </w:p>
        </w:tc>
      </w:tr>
      <w:tr>
        <w:tc>
          <w:tcPr>
            <w:tcW w:type="dxa" w:w="2556"/>
            <w:vAlign w:val="center"/>
            <w:shd w:fill="F2F6FA"/>
          </w:tcPr>
          <w:p>
            <w:pPr>
              <w:spacing w:after="0"/>
            </w:pPr>
            <w:r/>
            <w:r>
              <w:rPr>
                <w:rFonts w:ascii="Aptos" w:hAnsi="Aptos"/>
                <w:b w:val="0"/>
                <w:sz w:val="16"/>
              </w:rPr>
              <w:t>Approve</w:t>
            </w:r>
          </w:p>
        </w:tc>
        <w:tc>
          <w:tcPr>
            <w:tcW w:type="dxa" w:w="2556"/>
            <w:vAlign w:val="center"/>
            <w:shd w:fill="F2F6FA"/>
          </w:tcPr>
          <w:p>
            <w:pPr>
              <w:spacing w:after="0"/>
            </w:pPr>
            <w:r/>
            <w:r>
              <w:rPr>
                <w:rFonts w:ascii="Aptos" w:hAnsi="Aptos"/>
                <w:b w:val="0"/>
                <w:sz w:val="16"/>
              </w:rPr>
              <w:t>Approve and generate report</w:t>
            </w:r>
          </w:p>
        </w:tc>
        <w:tc>
          <w:tcPr>
            <w:tcW w:type="dxa" w:w="2556"/>
            <w:vAlign w:val="center"/>
            <w:shd w:fill="F2F6FA"/>
          </w:tcPr>
          <w:p>
            <w:pPr>
              <w:spacing w:after="0"/>
            </w:pPr>
            <w:r/>
            <w:r>
              <w:rPr>
                <w:rFonts w:ascii="Aptos" w:hAnsi="Aptos"/>
                <w:b w:val="0"/>
                <w:sz w:val="16"/>
              </w:rPr>
              <w:t>Generate report after human approval</w:t>
            </w:r>
          </w:p>
        </w:tc>
        <w:tc>
          <w:tcPr>
            <w:tcW w:type="dxa" w:w="2556"/>
            <w:vAlign w:val="center"/>
            <w:shd w:fill="F2F6FA"/>
          </w:tcPr>
          <w:p>
            <w:pPr>
              <w:spacing w:after="0"/>
            </w:pPr>
            <w:r/>
            <w:r>
              <w:rPr>
                <w:rFonts w:ascii="Aptos" w:hAnsi="Aptos"/>
                <w:b w:val="0"/>
                <w:sz w:val="16"/>
              </w:rPr>
              <w:t>PASS</w:t>
            </w:r>
          </w:p>
        </w:tc>
      </w:tr>
      <w:tr>
        <w:tc>
          <w:tcPr>
            <w:tcW w:type="dxa" w:w="2556"/>
            <w:vAlign w:val="center"/>
          </w:tcPr>
          <w:p>
            <w:pPr>
              <w:spacing w:after="0"/>
            </w:pPr>
            <w:r/>
            <w:r>
              <w:rPr>
                <w:rFonts w:ascii="Aptos" w:hAnsi="Aptos"/>
                <w:b w:val="0"/>
                <w:sz w:val="16"/>
              </w:rPr>
              <w:t>Warning</w:t>
            </w:r>
          </w:p>
        </w:tc>
        <w:tc>
          <w:tcPr>
            <w:tcW w:type="dxa" w:w="2556"/>
            <w:vAlign w:val="center"/>
          </w:tcPr>
          <w:p>
            <w:pPr>
              <w:spacing w:after="0"/>
            </w:pPr>
            <w:r/>
            <w:r>
              <w:rPr>
                <w:rFonts w:ascii="Aptos" w:hAnsi="Aptos"/>
                <w:b w:val="0"/>
                <w:sz w:val="16"/>
              </w:rPr>
              <w:t>Continue with warning</w:t>
            </w:r>
          </w:p>
        </w:tc>
        <w:tc>
          <w:tcPr>
            <w:tcW w:type="dxa" w:w="2556"/>
            <w:vAlign w:val="center"/>
          </w:tcPr>
          <w:p>
            <w:pPr>
              <w:spacing w:after="0"/>
            </w:pPr>
            <w:r/>
            <w:r>
              <w:rPr>
                <w:rFonts w:ascii="Aptos" w:hAnsi="Aptos"/>
                <w:b w:val="0"/>
                <w:sz w:val="16"/>
              </w:rPr>
              <w:t>Add low-confidence warning then report</w:t>
            </w:r>
          </w:p>
        </w:tc>
        <w:tc>
          <w:tcPr>
            <w:tcW w:type="dxa" w:w="2556"/>
            <w:vAlign w:val="center"/>
          </w:tcPr>
          <w:p>
            <w:pPr>
              <w:spacing w:after="0"/>
            </w:pPr>
            <w:r/>
            <w:r>
              <w:rPr>
                <w:rFonts w:ascii="Aptos" w:hAnsi="Aptos"/>
                <w:b w:val="0"/>
                <w:sz w:val="16"/>
              </w:rPr>
              <w:t>PASS</w:t>
            </w:r>
          </w:p>
        </w:tc>
      </w:tr>
      <w:tr>
        <w:tc>
          <w:tcPr>
            <w:tcW w:type="dxa" w:w="2556"/>
            <w:vAlign w:val="center"/>
            <w:shd w:fill="F2F6FA"/>
          </w:tcPr>
          <w:p>
            <w:pPr>
              <w:spacing w:after="0"/>
            </w:pPr>
            <w:r/>
            <w:r>
              <w:rPr>
                <w:rFonts w:ascii="Aptos" w:hAnsi="Aptos"/>
                <w:b w:val="0"/>
                <w:sz w:val="16"/>
              </w:rPr>
              <w:t>Retry</w:t>
            </w:r>
          </w:p>
        </w:tc>
        <w:tc>
          <w:tcPr>
            <w:tcW w:type="dxa" w:w="2556"/>
            <w:vAlign w:val="center"/>
            <w:shd w:fill="F2F6FA"/>
          </w:tcPr>
          <w:p>
            <w:pPr>
              <w:spacing w:after="0"/>
            </w:pPr>
            <w:r/>
            <w:r>
              <w:rPr>
                <w:rFonts w:ascii="Aptos" w:hAnsi="Aptos"/>
                <w:b w:val="0"/>
                <w:sz w:val="16"/>
              </w:rPr>
              <w:t>Retry research</w:t>
            </w:r>
          </w:p>
        </w:tc>
        <w:tc>
          <w:tcPr>
            <w:tcW w:type="dxa" w:w="2556"/>
            <w:vAlign w:val="center"/>
            <w:shd w:fill="F2F6FA"/>
          </w:tcPr>
          <w:p>
            <w:pPr>
              <w:spacing w:after="0"/>
            </w:pPr>
            <w:r/>
            <w:r>
              <w:rPr>
                <w:rFonts w:ascii="Aptos" w:hAnsi="Aptos"/>
                <w:b w:val="0"/>
                <w:sz w:val="16"/>
              </w:rPr>
              <w:t>Increment retry count; targeted search; synthesize; post-retry report</w:t>
            </w:r>
          </w:p>
        </w:tc>
        <w:tc>
          <w:tcPr>
            <w:tcW w:type="dxa" w:w="2556"/>
            <w:vAlign w:val="center"/>
            <w:shd w:fill="F2F6FA"/>
          </w:tcPr>
          <w:p>
            <w:pPr>
              <w:spacing w:after="0"/>
            </w:pPr>
            <w:r/>
            <w:r>
              <w:rPr>
                <w:rFonts w:ascii="Aptos" w:hAnsi="Aptos"/>
                <w:b w:val="0"/>
                <w:sz w:val="16"/>
              </w:rPr>
              <w:t>PASS</w:t>
            </w:r>
          </w:p>
        </w:tc>
      </w:tr>
    </w:tbl>
    <w:p/>
    <w:p>
      <w:r>
        <w:t>The human-review design provides meaningful control rather than a cosmetic approval step. The warning route preserves risk disclosure, while the retry route performs one additional targeted research attempt and explicitly labels the resulting report as post-retry.</w:t>
      </w:r>
    </w:p>
    <w:p>
      <w:pPr>
        <w:pStyle w:val="Heading1"/>
      </w:pPr>
      <w:r>
        <w:t>9. User-Facing Completion Evaluation</w:t>
      </w:r>
    </w:p>
    <w:p>
      <w:r>
        <w:t>The final n8n Form Ending node successfully displayed the generated Competitive Intelligence Report in the browser. Both normal and retry reports were delivered through the form experience. Invalid entities now receive a concise clarification message instead of an unsupported competitive report.</w:t>
      </w:r>
    </w:p>
    <w:p>
      <w:r>
        <w:t>Presentation limitation: long reports are dense in the narrow default n8n form layout. This is acceptable for demonstration, but a production application would benefit from a dedicated report UI, downloadable document, or collapsible sections.</w:t>
      </w:r>
    </w:p>
    <w:p>
      <w:pPr>
        <w:pStyle w:val="Heading1"/>
      </w:pPr>
      <w:r>
        <w:t>10. Overall Findings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F4E79"/>
          </w:tcPr>
          <w:p>
            <w:pPr>
              <w:spacing w:after="0"/>
            </w:pPr>
            <w:r/>
            <w:r>
              <w:rPr>
                <w:rFonts w:ascii="Aptos" w:hAnsi="Aptos"/>
                <w:b/>
                <w:color w:val="FFFFFF"/>
                <w:sz w:val="16"/>
              </w:rPr>
              <w:t>Area</w:t>
            </w:r>
          </w:p>
        </w:tc>
        <w:tc>
          <w:tcPr>
            <w:tcW w:type="dxa" w:w="3408"/>
            <w:vAlign w:val="center"/>
            <w:shd w:fill="1F4E79"/>
          </w:tcPr>
          <w:p>
            <w:pPr>
              <w:spacing w:after="0"/>
            </w:pPr>
            <w:r/>
            <w:r>
              <w:rPr>
                <w:rFonts w:ascii="Aptos" w:hAnsi="Aptos"/>
                <w:b/>
                <w:color w:val="FFFFFF"/>
                <w:sz w:val="16"/>
              </w:rPr>
              <w:t>Assessment</w:t>
            </w:r>
          </w:p>
        </w:tc>
        <w:tc>
          <w:tcPr>
            <w:tcW w:type="dxa" w:w="3408"/>
            <w:vAlign w:val="center"/>
            <w:shd w:fill="1F4E79"/>
          </w:tcPr>
          <w:p>
            <w:pPr>
              <w:spacing w:after="0"/>
            </w:pPr>
            <w:r/>
            <w:r>
              <w:rPr>
                <w:rFonts w:ascii="Aptos" w:hAnsi="Aptos"/>
                <w:b/>
                <w:color w:val="FFFFFF"/>
                <w:sz w:val="16"/>
              </w:rPr>
              <w:t>Evidence-based conclusion</w:t>
            </w:r>
          </w:p>
        </w:tc>
      </w:tr>
      <w:tr>
        <w:tc>
          <w:tcPr>
            <w:tcW w:type="dxa" w:w="3408"/>
            <w:vAlign w:val="center"/>
          </w:tcPr>
          <w:p>
            <w:pPr>
              <w:spacing w:after="0"/>
            </w:pPr>
            <w:r/>
            <w:r>
              <w:rPr>
                <w:rFonts w:ascii="Aptos" w:hAnsi="Aptos"/>
                <w:b w:val="0"/>
                <w:sz w:val="16"/>
              </w:rPr>
              <w:t>Valid-company research</w:t>
            </w:r>
          </w:p>
        </w:tc>
        <w:tc>
          <w:tcPr>
            <w:tcW w:type="dxa" w:w="3408"/>
            <w:vAlign w:val="center"/>
          </w:tcPr>
          <w:p>
            <w:pPr>
              <w:spacing w:after="0"/>
            </w:pPr>
            <w:r/>
            <w:r>
              <w:rPr>
                <w:rFonts w:ascii="Aptos" w:hAnsi="Aptos"/>
                <w:b w:val="0"/>
                <w:sz w:val="16"/>
              </w:rPr>
              <w:t>Strong</w:t>
            </w:r>
          </w:p>
        </w:tc>
        <w:tc>
          <w:tcPr>
            <w:tcW w:type="dxa" w:w="3408"/>
            <w:vAlign w:val="center"/>
          </w:tcPr>
          <w:p>
            <w:pPr>
              <w:spacing w:after="0"/>
            </w:pPr>
            <w:r/>
            <w:r>
              <w:rPr>
                <w:rFonts w:ascii="Aptos" w:hAnsi="Aptos"/>
                <w:b w:val="0"/>
                <w:sz w:val="16"/>
              </w:rPr>
              <w:t>Workday, Canva, Mercury, and Duolingo demonstrate cross-domain applicability.</w:t>
            </w:r>
          </w:p>
        </w:tc>
      </w:tr>
      <w:tr>
        <w:tc>
          <w:tcPr>
            <w:tcW w:type="dxa" w:w="3408"/>
            <w:vAlign w:val="center"/>
            <w:shd w:fill="F2F6FA"/>
          </w:tcPr>
          <w:p>
            <w:pPr>
              <w:spacing w:after="0"/>
            </w:pPr>
            <w:r/>
            <w:r>
              <w:rPr>
                <w:rFonts w:ascii="Aptos" w:hAnsi="Aptos"/>
                <w:b w:val="0"/>
                <w:sz w:val="16"/>
              </w:rPr>
              <w:t>Grounding / uncertainty</w:t>
            </w:r>
          </w:p>
        </w:tc>
        <w:tc>
          <w:tcPr>
            <w:tcW w:type="dxa" w:w="3408"/>
            <w:vAlign w:val="center"/>
            <w:shd w:fill="F2F6FA"/>
          </w:tcPr>
          <w:p>
            <w:pPr>
              <w:spacing w:after="0"/>
            </w:pPr>
            <w:r/>
            <w:r>
              <w:rPr>
                <w:rFonts w:ascii="Aptos" w:hAnsi="Aptos"/>
                <w:b w:val="0"/>
                <w:sz w:val="16"/>
              </w:rPr>
              <w:t>Strong</w:t>
            </w:r>
          </w:p>
        </w:tc>
        <w:tc>
          <w:tcPr>
            <w:tcW w:type="dxa" w:w="3408"/>
            <w:vAlign w:val="center"/>
            <w:shd w:fill="F2F6FA"/>
          </w:tcPr>
          <w:p>
            <w:pPr>
              <w:spacing w:after="0"/>
            </w:pPr>
            <w:r/>
            <w:r>
              <w:rPr>
                <w:rFonts w:ascii="Aptos" w:hAnsi="Aptos"/>
                <w:b w:val="0"/>
                <w:sz w:val="16"/>
              </w:rPr>
              <w:t>Unverified pricing and partial evidence were surfaced rather than hidden.</w:t>
            </w:r>
          </w:p>
        </w:tc>
      </w:tr>
      <w:tr>
        <w:tc>
          <w:tcPr>
            <w:tcW w:type="dxa" w:w="3408"/>
            <w:vAlign w:val="center"/>
          </w:tcPr>
          <w:p>
            <w:pPr>
              <w:spacing w:after="0"/>
            </w:pPr>
            <w:r/>
            <w:r>
              <w:rPr>
                <w:rFonts w:ascii="Aptos" w:hAnsi="Aptos"/>
                <w:b w:val="0"/>
                <w:sz w:val="16"/>
              </w:rPr>
              <w:t>Workflow control</w:t>
            </w:r>
          </w:p>
        </w:tc>
        <w:tc>
          <w:tcPr>
            <w:tcW w:type="dxa" w:w="3408"/>
            <w:vAlign w:val="center"/>
          </w:tcPr>
          <w:p>
            <w:pPr>
              <w:spacing w:after="0"/>
            </w:pPr>
            <w:r/>
            <w:r>
              <w:rPr>
                <w:rFonts w:ascii="Aptos" w:hAnsi="Aptos"/>
                <w:b w:val="0"/>
                <w:sz w:val="16"/>
              </w:rPr>
              <w:t>Strong</w:t>
            </w:r>
          </w:p>
        </w:tc>
        <w:tc>
          <w:tcPr>
            <w:tcW w:type="dxa" w:w="3408"/>
            <w:vAlign w:val="center"/>
          </w:tcPr>
          <w:p>
            <w:pPr>
              <w:spacing w:after="0"/>
            </w:pPr>
            <w:r/>
            <w:r>
              <w:rPr>
                <w:rFonts w:ascii="Aptos" w:hAnsi="Aptos"/>
                <w:b w:val="0"/>
                <w:sz w:val="16"/>
              </w:rPr>
              <w:t>All confidence, human-review, and retry branches passed.</w:t>
            </w:r>
          </w:p>
        </w:tc>
      </w:tr>
      <w:tr>
        <w:tc>
          <w:tcPr>
            <w:tcW w:type="dxa" w:w="3408"/>
            <w:vAlign w:val="center"/>
            <w:shd w:fill="F2F6FA"/>
          </w:tcPr>
          <w:p>
            <w:pPr>
              <w:spacing w:after="0"/>
            </w:pPr>
            <w:r/>
            <w:r>
              <w:rPr>
                <w:rFonts w:ascii="Aptos" w:hAnsi="Aptos"/>
                <w:b w:val="0"/>
                <w:sz w:val="16"/>
              </w:rPr>
              <w:t>Failure detection</w:t>
            </w:r>
          </w:p>
        </w:tc>
        <w:tc>
          <w:tcPr>
            <w:tcW w:type="dxa" w:w="3408"/>
            <w:vAlign w:val="center"/>
            <w:shd w:fill="F2F6FA"/>
          </w:tcPr>
          <w:p>
            <w:pPr>
              <w:spacing w:after="0"/>
            </w:pPr>
            <w:r/>
            <w:r>
              <w:rPr>
                <w:rFonts w:ascii="Aptos" w:hAnsi="Aptos"/>
                <w:b w:val="0"/>
                <w:sz w:val="16"/>
              </w:rPr>
              <w:t>Strong</w:t>
            </w:r>
          </w:p>
        </w:tc>
        <w:tc>
          <w:tcPr>
            <w:tcW w:type="dxa" w:w="3408"/>
            <w:vAlign w:val="center"/>
            <w:shd w:fill="F2F6FA"/>
          </w:tcPr>
          <w:p>
            <w:pPr>
              <w:spacing w:after="0"/>
            </w:pPr>
            <w:r/>
            <w:r>
              <w:rPr>
                <w:rFonts w:ascii="Aptos" w:hAnsi="Aptos"/>
                <w:b w:val="0"/>
                <w:sz w:val="16"/>
              </w:rPr>
              <w:t>Validator caught weak invalid-entity research at confidence 45.</w:t>
            </w:r>
          </w:p>
        </w:tc>
      </w:tr>
      <w:tr>
        <w:tc>
          <w:tcPr>
            <w:tcW w:type="dxa" w:w="3408"/>
            <w:vAlign w:val="center"/>
          </w:tcPr>
          <w:p>
            <w:pPr>
              <w:spacing w:after="0"/>
            </w:pPr>
            <w:r/>
            <w:r>
              <w:rPr>
                <w:rFonts w:ascii="Aptos" w:hAnsi="Aptos"/>
                <w:b w:val="0"/>
                <w:sz w:val="16"/>
              </w:rPr>
              <w:t>Early entity resolution</w:t>
            </w:r>
          </w:p>
        </w:tc>
        <w:tc>
          <w:tcPr>
            <w:tcW w:type="dxa" w:w="3408"/>
            <w:vAlign w:val="center"/>
          </w:tcPr>
          <w:p>
            <w:pPr>
              <w:spacing w:after="0"/>
            </w:pPr>
            <w:r/>
            <w:r>
              <w:rPr>
                <w:rFonts w:ascii="Aptos" w:hAnsi="Aptos"/>
                <w:b w:val="0"/>
                <w:sz w:val="16"/>
              </w:rPr>
              <w:t>Improved</w:t>
            </w:r>
          </w:p>
        </w:tc>
        <w:tc>
          <w:tcPr>
            <w:tcW w:type="dxa" w:w="3408"/>
            <w:vAlign w:val="center"/>
          </w:tcPr>
          <w:p>
            <w:pPr>
              <w:spacing w:after="0"/>
            </w:pPr>
            <w:r/>
            <w:r>
              <w:rPr>
                <w:rFonts w:ascii="Aptos" w:hAnsi="Aptos"/>
                <w:b w:val="0"/>
                <w:sz w:val="16"/>
              </w:rPr>
              <w:t>Observed failure led to Entity Verification Gate and successful retest.</w:t>
            </w:r>
          </w:p>
        </w:tc>
      </w:tr>
      <w:tr>
        <w:tc>
          <w:tcPr>
            <w:tcW w:type="dxa" w:w="3408"/>
            <w:vAlign w:val="center"/>
            <w:shd w:fill="F2F6FA"/>
          </w:tcPr>
          <w:p>
            <w:pPr>
              <w:spacing w:after="0"/>
            </w:pPr>
            <w:r/>
            <w:r>
              <w:rPr>
                <w:rFonts w:ascii="Aptos" w:hAnsi="Aptos"/>
                <w:b w:val="0"/>
                <w:sz w:val="16"/>
              </w:rPr>
              <w:t>API robustness</w:t>
            </w:r>
          </w:p>
        </w:tc>
        <w:tc>
          <w:tcPr>
            <w:tcW w:type="dxa" w:w="3408"/>
            <w:vAlign w:val="center"/>
            <w:shd w:fill="F2F6FA"/>
          </w:tcPr>
          <w:p>
            <w:pPr>
              <w:spacing w:after="0"/>
            </w:pPr>
            <w:r/>
            <w:r>
              <w:rPr>
                <w:rFonts w:ascii="Aptos" w:hAnsi="Aptos"/>
                <w:b w:val="0"/>
                <w:sz w:val="16"/>
              </w:rPr>
              <w:t>Improved</w:t>
            </w:r>
          </w:p>
        </w:tc>
        <w:tc>
          <w:tcPr>
            <w:tcW w:type="dxa" w:w="3408"/>
            <w:vAlign w:val="center"/>
            <w:shd w:fill="F2F6FA"/>
          </w:tcPr>
          <w:p>
            <w:pPr>
              <w:spacing w:after="0"/>
            </w:pPr>
            <w:r/>
            <w:r>
              <w:rPr>
                <w:rFonts w:ascii="Aptos" w:hAnsi="Aptos"/>
                <w:b w:val="0"/>
                <w:sz w:val="16"/>
              </w:rPr>
              <w:t>Retry query-length failure was diagnosed and corrected.</w:t>
            </w:r>
          </w:p>
        </w:tc>
      </w:tr>
      <w:tr>
        <w:tc>
          <w:tcPr>
            <w:tcW w:type="dxa" w:w="3408"/>
            <w:vAlign w:val="center"/>
          </w:tcPr>
          <w:p>
            <w:pPr>
              <w:spacing w:after="0"/>
            </w:pPr>
            <w:r/>
            <w:r>
              <w:rPr>
                <w:rFonts w:ascii="Aptos" w:hAnsi="Aptos"/>
                <w:b w:val="0"/>
                <w:sz w:val="16"/>
              </w:rPr>
              <w:t>End-user delivery</w:t>
            </w:r>
          </w:p>
        </w:tc>
        <w:tc>
          <w:tcPr>
            <w:tcW w:type="dxa" w:w="3408"/>
            <w:vAlign w:val="center"/>
          </w:tcPr>
          <w:p>
            <w:pPr>
              <w:spacing w:after="0"/>
            </w:pPr>
            <w:r/>
            <w:r>
              <w:rPr>
                <w:rFonts w:ascii="Aptos" w:hAnsi="Aptos"/>
                <w:b w:val="0"/>
                <w:sz w:val="16"/>
              </w:rPr>
              <w:t>Strong</w:t>
            </w:r>
          </w:p>
        </w:tc>
        <w:tc>
          <w:tcPr>
            <w:tcW w:type="dxa" w:w="3408"/>
            <w:vAlign w:val="center"/>
          </w:tcPr>
          <w:p>
            <w:pPr>
              <w:spacing w:after="0"/>
            </w:pPr>
            <w:r/>
            <w:r>
              <w:rPr>
                <w:rFonts w:ascii="Aptos" w:hAnsi="Aptos"/>
                <w:b w:val="0"/>
                <w:sz w:val="16"/>
              </w:rPr>
              <w:t>Reports and clarification messages display through the form.</w:t>
            </w:r>
          </w:p>
        </w:tc>
      </w:tr>
    </w:tbl>
    <w:p/>
    <w:p>
      <w:pPr>
        <w:pStyle w:val="Heading1"/>
      </w:pPr>
      <w:r>
        <w:t>11. Known Limitations</w:t>
      </w:r>
    </w:p>
    <w:p>
      <w:pPr>
        <w:pStyle w:val="ListBullet"/>
      </w:pPr>
      <w:r>
        <w:t>Entity ambiguity can still be resolved implicitly when search evidence strongly favors one interpretation; production use could ask the user to confirm ambiguous entities.</w:t>
      </w:r>
    </w:p>
    <w:p>
      <w:pPr>
        <w:pStyle w:val="ListBullet"/>
      </w:pPr>
      <w:r>
        <w:t>Pricing evidence is frequently secondary, region-dependent, negotiated, or incomplete; the system flags this but cannot guarantee commercial accuracy.</w:t>
      </w:r>
    </w:p>
    <w:p>
      <w:pPr>
        <w:pStyle w:val="ListBullet"/>
      </w:pPr>
      <w:r>
        <w:t>Search quality constrains downstream research quality.</w:t>
      </w:r>
    </w:p>
    <w:p>
      <w:pPr>
        <w:pStyle w:val="ListBullet"/>
      </w:pPr>
      <w:r>
        <w:t>The confidence score is model-generated rather than statistically calibrated against a large labeled benchmark.</w:t>
      </w:r>
    </w:p>
    <w:p>
      <w:pPr>
        <w:pStyle w:val="ListBullet"/>
      </w:pPr>
      <w:r>
        <w:t>The evaluation used a focused set of representative companies and branch tests rather than a large-scale benchmark.</w:t>
      </w:r>
    </w:p>
    <w:p>
      <w:pPr>
        <w:pStyle w:val="ListBullet"/>
      </w:pPr>
      <w:r>
        <w:t>The default n8n completion page is functional but not optimized for long-form report readability.</w:t>
      </w:r>
    </w:p>
    <w:p>
      <w:pPr>
        <w:pStyle w:val="Heading1"/>
      </w:pPr>
      <w:r>
        <w:t>12. Recommended Future Improvements</w:t>
      </w:r>
    </w:p>
    <w:p>
      <w:pPr>
        <w:pStyle w:val="ListBullet"/>
      </w:pPr>
      <w:r>
        <w:t>Add explicit ambiguity handling: when multiple plausible entities remain after verification, request a website/domain before research.</w:t>
      </w:r>
    </w:p>
    <w:p>
      <w:pPr>
        <w:pStyle w:val="ListBullet"/>
      </w:pPr>
      <w:r>
        <w:t>Prefer official vendor sources for pricing, product capabilities, and release information; use secondary sources for triangulation.</w:t>
      </w:r>
    </w:p>
    <w:p>
      <w:pPr>
        <w:pStyle w:val="ListBullet"/>
      </w:pPr>
      <w:r>
        <w:t>Add deterministic pre-LLM checks for empty search results, exact-name mismatch, and minimum source count.</w:t>
      </w:r>
    </w:p>
    <w:p>
      <w:pPr>
        <w:pStyle w:val="ListBullet"/>
      </w:pPr>
      <w:r>
        <w:t>Calibrate the confidence threshold using a larger labeled evaluation set and compare validator scores with human judgments.</w:t>
      </w:r>
    </w:p>
    <w:p>
      <w:pPr>
        <w:pStyle w:val="ListBullet"/>
      </w:pPr>
      <w:r>
        <w:t>Add automated regression tests for entity verification, exactly-three-competitor output, target preservation, and retry-count limits.</w:t>
      </w:r>
    </w:p>
    <w:p>
      <w:pPr>
        <w:pStyle w:val="ListBullet"/>
      </w:pPr>
      <w:r>
        <w:t>Provide a richer report interface or downloadable artifact for long competitive intelligence reports.</w:t>
      </w:r>
    </w:p>
    <w:p>
      <w:pPr>
        <w:pStyle w:val="Heading1"/>
      </w:pPr>
      <w:r>
        <w:t>13. Conclusion</w:t>
      </w:r>
    </w:p>
    <w:p>
      <w:r>
        <w:t>The evaluation demonstrates that the Competitive Intelligence Research Agent is functionally complete and robust enough for project submission. It supports evidence-grounded multi-agent research, structured outputs, confidence-based validation, human oversight, one-time retry research, and user-facing delivery. Most importantly, evaluation uncovered a real entity-resolution weakness; the architecture was improved with an early Entity Verification Gate and the fix was verified with both negative and positive regression tests.</w:t>
      </w:r>
    </w:p>
    <w:p>
      <w:r>
        <w:t>Final assessment: PASS for submission, with documented limitations around source quality, pricing verification, ambiguity handling, confidence calibration, and presentation.</w:t>
      </w:r>
    </w:p>
    <w:p>
      <w:pPr>
        <w:pStyle w:val="Heading1"/>
      </w:pPr>
      <w:r>
        <w:t>Appendix A. Evidence Checklist for Submission</w:t>
      </w:r>
    </w:p>
    <w:p>
      <w:pPr>
        <w:pStyle w:val="ListBullet"/>
      </w:pPr>
      <w:r>
        <w:t>Workflow canvas showing the complete agent pipeline.</w:t>
      </w:r>
    </w:p>
    <w:p>
      <w:pPr>
        <w:pStyle w:val="ListBullet"/>
      </w:pPr>
      <w:r>
        <w:t>Entity Verification Agent output for a valid company.</w:t>
      </w:r>
    </w:p>
    <w:p>
      <w:pPr>
        <w:pStyle w:val="ListBullet"/>
      </w:pPr>
      <w:r>
        <w:t>Invalid-company clarification screen after mitigation.</w:t>
      </w:r>
    </w:p>
    <w:p>
      <w:pPr>
        <w:pStyle w:val="ListBullet"/>
      </w:pPr>
      <w:r>
        <w:t>Human Review form and Review Decision Router.</w:t>
      </w:r>
    </w:p>
    <w:p>
      <w:pPr>
        <w:pStyle w:val="ListBullet"/>
      </w:pPr>
      <w:r>
        <w:t>Low-confidence warning final report.</w:t>
      </w:r>
    </w:p>
    <w:p>
      <w:pPr>
        <w:pStyle w:val="ListBullet"/>
      </w:pPr>
      <w:r>
        <w:t>Post-retry final report.</w:t>
      </w:r>
    </w:p>
    <w:p>
      <w:pPr>
        <w:pStyle w:val="ListBullet"/>
      </w:pPr>
      <w:r>
        <w:t>Duolingo final user-facing report.</w:t>
      </w:r>
    </w:p>
    <w:p>
      <w:pPr>
        <w:pStyle w:val="ListBullet"/>
      </w:pPr>
      <w:r>
        <w:t>Research Validation output showing confidence scoring.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