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1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 xml:space="preserve">1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АБ "ИБГ НИКОЙЛ" (ОАО)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председателю правления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Рыскину Владимиру Марковичу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 xml:space="preserve">Уважаемый Владимир Маркович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TableGrid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ListParagraph"/>
              <w:numPr>
                <w:ilvl w:val="0"/>
                <w:numId w:val="11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2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 xml:space="preserve">2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"АВЕЛОКС" ООО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генеральному директору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Нармания Нугзару Ивановичу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 xml:space="preserve">Уважаемый Нугзар Иванович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TableGrid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ListParagraph"/>
              <w:numPr>
                <w:ilvl w:val="0"/>
                <w:numId w:val="13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sectPr w:rsidR="00FC693F" w:rsidRPr="0006063C" w:rsidSect="00034616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5478C8E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abstractNum xmlns:w15="http://schemas.microsoft.com/office/word/2012/wordml" w:abstractNumId="10" w15:restartNumberingAfterBreak="0">
    <w:nsid w:val="018122FB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xmlns:w16cid="http://schemas.microsoft.com/office/word/2016/wordml/cid" w:numId="10" w16cid:durableId="1333725039">
    <w:abstractNumId w:val="9"/>
  </w:num>
  <w:num xmlns:w16cid="http://schemas.microsoft.com/office/word/2016/wordml/cid" w:numId="11" w16cid:durableId="1333725039">
    <w:abstractNumId w:val="9"/>
    <w:lvlOverride w:ilvl="0">
      <w:startOverride w:val="1"/>
    </w:lvlOverride>
  </w:num>
  <w:num xmlns:w16cid="http://schemas.microsoft.com/office/word/2016/wordml/cid" w:numId="12" w16cid:durableId="1333725039">
    <w:abstractNumId w:val="10"/>
  </w:num>
  <w:num xmlns:w16cid="http://schemas.microsoft.com/office/word/2016/wordml/cid" w:numId="13" w16cid:durableId="1333725039">
    <w:abstractNumId w:val="10"/>
    <w:lvlOverride w:ilvl="0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