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SetuHire — Project Proposal &amp; Quotation</w:t>
      </w:r>
    </w:p>
    <w:p>
      <w:pPr>
        <w:jc w:val="center"/>
      </w:pPr>
      <w:r>
        <w:rPr>
          <w:i/>
          <w:color w:val="555555"/>
          <w:sz w:val="24"/>
        </w:rPr>
        <w:t>IT Staffing / Bench-Sales Management Platform — Discussion Draft</w:t>
      </w:r>
    </w:p>
    <w:p/>
    <w:p>
      <w:pPr>
        <w:spacing w:after="120"/>
      </w:pPr>
      <w:r>
        <w:rPr>
          <w:b w:val="0"/>
          <w:i w:val="0"/>
          <w:color w:val="000000"/>
          <w:sz w:val="23"/>
        </w:rPr>
        <w:t>Thanks for the time on the call — glad the demo gave a clear sense of direction. Below is the proposed scope, timeline, and pricing structure for SetuHire, along with the discussion points we'll walk through together.</w:t>
      </w:r>
    </w:p>
    <w:p>
      <w:pPr>
        <w:spacing w:before="360" w:after="160"/>
      </w:pPr>
      <w:r>
        <w:rPr>
          <w:b/>
          <w:color w:val="1E3A5F"/>
          <w:sz w:val="32"/>
        </w:rPr>
        <w:t>1. Scope of Work</w:t>
      </w:r>
    </w:p>
    <w:p>
      <w:pPr>
        <w:spacing w:after="120"/>
      </w:pPr>
      <w:r>
        <w:rPr>
          <w:b w:val="0"/>
          <w:i/>
          <w:color w:val="555555"/>
          <w:sz w:val="22"/>
        </w:rPr>
        <w:t>Matches what was demoed in the POC — six core modules, already architected end-to-end (schema, matching logic, and design system in place):</w:t>
      </w:r>
    </w:p>
    <w:p>
      <w:pPr>
        <w:pStyle w:val="ListBullet"/>
        <w:spacing w:after="80"/>
      </w:pPr>
      <w:r>
        <w:rPr>
          <w:sz w:val="22"/>
        </w:rPr>
        <w:t>Client Management — client profiles, engagement history, jobs raised, pricing (TSC vs sourcing cost vs margin) per active job</w:t>
      </w:r>
    </w:p>
    <w:p>
      <w:pPr>
        <w:pStyle w:val="ListBullet"/>
        <w:spacing w:after="80"/>
      </w:pPr>
      <w:r>
        <w:rPr>
          <w:sz w:val="22"/>
        </w:rPr>
        <w:t>Vendor Management — vendor profiles, performance stats (submissions/shortlist/placement ratio), resources supplied</w:t>
      </w:r>
    </w:p>
    <w:p>
      <w:pPr>
        <w:pStyle w:val="ListBullet"/>
        <w:spacing w:after="80"/>
      </w:pPr>
      <w:r>
        <w:rPr>
          <w:sz w:val="22"/>
        </w:rPr>
        <w:t>Resource &amp; Candidate Management — structured profiles, resume parsing, availability status</w:t>
      </w:r>
    </w:p>
    <w:p>
      <w:pPr>
        <w:pStyle w:val="ListBullet"/>
        <w:spacing w:after="80"/>
      </w:pPr>
      <w:r>
        <w:rPr>
          <w:sz w:val="22"/>
        </w:rPr>
        <w:t>Job / Requirement Management — job intake (URL fetch or manual), requirement-to-profile AI matching with ranked scores</w:t>
      </w:r>
    </w:p>
    <w:p>
      <w:pPr>
        <w:pStyle w:val="ListBullet"/>
        <w:spacing w:after="80"/>
      </w:pPr>
      <w:r>
        <w:rPr>
          <w:sz w:val="22"/>
        </w:rPr>
        <w:t>Multi-login Dashboards — role-based views (Admin / Sales / Manager), each seeing data scoped to their role</w:t>
      </w:r>
    </w:p>
    <w:p>
      <w:pPr>
        <w:pStyle w:val="ListBullet"/>
        <w:spacing w:after="80"/>
      </w:pPr>
      <w:r>
        <w:rPr>
          <w:sz w:val="22"/>
        </w:rPr>
        <w:t>Finance &amp; Reporting — billing vs payout vs commission tracking, with permission-gated visibility for sensitive amounts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Anything outside these six modules (new features, integrations, major workflow changes) is treated as a change request and scoped/quoted separately — this is what protects the 6-week timeline and the price below.</w:t>
      </w:r>
    </w:p>
    <w:p>
      <w:pPr>
        <w:spacing w:before="360" w:after="160"/>
      </w:pPr>
      <w:r>
        <w:rPr>
          <w:b/>
          <w:color w:val="1E3A5F"/>
          <w:sz w:val="32"/>
        </w:rPr>
        <w:t>2. Timeline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Working v1 in 6 weeks. Because the schema, matching engine design, and UI system are already built out from prior work, there's a realistic chance this compresses — we'll flag early if that happens, but 6 weeks is the committed outer bound.</w:t>
      </w:r>
    </w:p>
    <w:p>
      <w:pPr>
        <w:spacing w:before="360" w:after="160"/>
      </w:pPr>
      <w:r>
        <w:rPr>
          <w:b/>
          <w:color w:val="1E3A5F"/>
          <w:sz w:val="32"/>
        </w:rPr>
        <w:t>3. Investment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Total project cost: ₹4,80,000 — milestone-based, so payment always trails visible progress, not the other way round.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/>
            <w:r>
              <w:rPr>
                <w:b/>
                <w:color w:val="FFFFFF"/>
                <w:sz w:val="21"/>
              </w:rPr>
              <w:t>Milestone</w:t>
            </w:r>
          </w:p>
        </w:tc>
        <w:tc>
          <w:tcPr>
            <w:tcW w:type="dxa" w:w="864"/>
            <w:shd w:fill="1E3A5F"/>
          </w:tcPr>
          <w:p>
            <w:r/>
            <w:r>
              <w:rPr>
                <w:b/>
                <w:color w:val="FFFFFF"/>
                <w:sz w:val="21"/>
              </w:rPr>
              <w:t>%</w:t>
            </w:r>
          </w:p>
        </w:tc>
        <w:tc>
          <w:tcPr>
            <w:tcW w:type="dxa" w:w="4608"/>
            <w:shd w:fill="1E3A5F"/>
          </w:tcPr>
          <w:p>
            <w:r/>
            <w:r>
              <w:rPr>
                <w:b/>
                <w:color w:val="FFFFFF"/>
                <w:sz w:val="21"/>
              </w:rPr>
              <w:t>Trigger</w:t>
            </w:r>
          </w:p>
        </w:tc>
        <w:tc>
          <w:tcPr>
            <w:tcW w:type="dxa" w:w="1728"/>
            <w:shd w:fill="1E3A5F"/>
          </w:tcPr>
          <w:p>
            <w:r/>
            <w:r>
              <w:rPr>
                <w:b/>
                <w:color w:val="FFFFFF"/>
                <w:sz w:val="21"/>
              </w:rPr>
              <w:t>Amount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Advance</w:t>
            </w:r>
          </w:p>
        </w:tc>
        <w:tc>
          <w:tcPr>
            <w:tcW w:type="dxa" w:w="864"/>
          </w:tcPr>
          <w:p>
            <w:r/>
            <w:r>
              <w:rPr>
                <w:sz w:val="21"/>
              </w:rPr>
              <w:t>25%</w:t>
            </w:r>
          </w:p>
        </w:tc>
        <w:tc>
          <w:tcPr>
            <w:tcW w:type="dxa" w:w="4608"/>
          </w:tcPr>
          <w:p>
            <w:r/>
            <w:r>
              <w:rPr>
                <w:sz w:val="21"/>
              </w:rPr>
              <w:t>Kickoff — before work starts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₹1,20,000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Milestone 1</w:t>
            </w:r>
          </w:p>
        </w:tc>
        <w:tc>
          <w:tcPr>
            <w:tcW w:type="dxa" w:w="864"/>
          </w:tcPr>
          <w:p>
            <w:r/>
            <w:r>
              <w:rPr>
                <w:sz w:val="21"/>
              </w:rPr>
              <w:t>25%</w:t>
            </w:r>
          </w:p>
        </w:tc>
        <w:tc>
          <w:tcPr>
            <w:tcW w:type="dxa" w:w="4608"/>
          </w:tcPr>
          <w:p>
            <w:r/>
            <w:r>
              <w:rPr>
                <w:sz w:val="21"/>
              </w:rPr>
              <w:t>Core data model + dashboard shell live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₹1,20,000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Milestone 2</w:t>
            </w:r>
          </w:p>
        </w:tc>
        <w:tc>
          <w:tcPr>
            <w:tcW w:type="dxa" w:w="864"/>
          </w:tcPr>
          <w:p>
            <w:r/>
            <w:r>
              <w:rPr>
                <w:sz w:val="21"/>
              </w:rPr>
              <w:t>25%</w:t>
            </w:r>
          </w:p>
        </w:tc>
        <w:tc>
          <w:tcPr>
            <w:tcW w:type="dxa" w:w="4608"/>
          </w:tcPr>
          <w:p>
            <w:r/>
            <w:r>
              <w:rPr>
                <w:sz w:val="21"/>
              </w:rPr>
              <w:t>Matching engine + role-based dashboards functional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₹1,20,000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Final</w:t>
            </w:r>
          </w:p>
        </w:tc>
        <w:tc>
          <w:tcPr>
            <w:tcW w:type="dxa" w:w="864"/>
          </w:tcPr>
          <w:p>
            <w:r/>
            <w:r>
              <w:rPr>
                <w:sz w:val="21"/>
              </w:rPr>
              <w:t>25%</w:t>
            </w:r>
          </w:p>
        </w:tc>
        <w:tc>
          <w:tcPr>
            <w:tcW w:type="dxa" w:w="4608"/>
          </w:tcPr>
          <w:p>
            <w:r/>
            <w:r>
              <w:rPr>
                <w:sz w:val="21"/>
              </w:rPr>
              <w:t>UAT sign-off + full source handover + deployment docs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₹1,20,000</w:t>
            </w:r>
          </w:p>
        </w:tc>
      </w:tr>
    </w:tbl>
    <w:p/>
    <w:p>
      <w:pPr>
        <w:spacing w:after="120"/>
      </w:pPr>
      <w:r>
        <w:rPr>
          <w:b w:val="0"/>
          <w:i w:val="0"/>
          <w:color w:val="000000"/>
          <w:sz w:val="22"/>
        </w:rPr>
        <w:t>Full source code and deployment access transfer at final payment — fully self-hosted, no ongoing dependency on us.</w:t>
      </w:r>
    </w:p>
    <w:p>
      <w:pPr>
        <w:spacing w:before="360" w:after="160"/>
      </w:pPr>
      <w:r>
        <w:rPr>
          <w:b/>
          <w:color w:val="1E3A5F"/>
          <w:sz w:val="32"/>
        </w:rPr>
        <w:t>4. Post-Launch Support</w:t>
      </w:r>
    </w:p>
    <w:p>
      <w:pPr>
        <w:pStyle w:val="ListBullet"/>
        <w:spacing w:after="80"/>
      </w:pPr>
      <w:r>
        <w:rPr>
          <w:sz w:val="22"/>
        </w:rPr>
        <w:t>15 days free bug-fixing on delivered scope after go-live (defects only, not new features).</w:t>
      </w:r>
    </w:p>
    <w:p>
      <w:pPr>
        <w:pStyle w:val="ListBullet"/>
        <w:spacing w:after="80"/>
      </w:pPr>
      <w:r>
        <w:rPr>
          <w:sz w:val="22"/>
        </w:rPr>
        <w:t>Beyond that: either a monthly AMC retainer or pay-as-you-go support — exact terms to be worked out once live and usage patterns are clear.</w:t>
      </w:r>
    </w:p>
    <w:p>
      <w:pPr>
        <w:spacing w:before="360" w:after="160"/>
      </w:pPr>
      <w:r>
        <w:rPr>
          <w:b/>
          <w:color w:val="1E3A5F"/>
          <w:sz w:val="32"/>
        </w:rPr>
        <w:t>5. Points to Talk Through Tomorrow</w:t>
      </w:r>
    </w:p>
    <w:p>
      <w:pPr>
        <w:pStyle w:val="ListBullet"/>
        <w:spacing w:after="80"/>
      </w:pPr>
      <w:r>
        <w:rPr>
          <w:sz w:val="22"/>
        </w:rPr>
        <w:t>Lead with the POC — it's already working, which is why we're comfortable asking for the advance upfront.</w:t>
      </w:r>
    </w:p>
    <w:p>
      <w:pPr>
        <w:pStyle w:val="ListBullet"/>
        <w:spacing w:after="80"/>
      </w:pPr>
      <w:r>
        <w:rPr>
          <w:sz w:val="22"/>
        </w:rPr>
        <w:t>Full source + self-hosted delivery is priced differently than a SaaS subscription would be — they're getting the IP outright, not renting access to it.</w:t>
      </w:r>
    </w:p>
    <w:p>
      <w:pPr>
        <w:pStyle w:val="ListBullet"/>
        <w:spacing w:after="80"/>
      </w:pPr>
      <w:r>
        <w:rPr>
          <w:sz w:val="22"/>
        </w:rPr>
        <w:t>The milestone structure is what keeps this affordable for them starting out — they're never paying ahead of visible progress.</w:t>
      </w:r>
    </w:p>
    <w:p>
      <w:pPr>
        <w:pStyle w:val="ListBullet"/>
        <w:spacing w:after="80"/>
      </w:pPr>
      <w:r>
        <w:rPr>
          <w:sz w:val="22"/>
        </w:rPr>
        <w:t>Scope is locked to the six modules above in writing; anything beyond is a separate change request — keeps both timeline and budget protected.</w:t>
      </w:r>
    </w:p>
    <w:p>
      <w:pPr>
        <w:pStyle w:val="ListBullet"/>
        <w:spacing w:after="80"/>
      </w:pPr>
      <w:r>
        <w:rPr>
          <w:sz w:val="22"/>
        </w:rPr>
        <w:t>If they push on price, the lever is milestone scope (e.g., defer admin reporting to a v1.1 phase), not cutting the price on the same scope.</w:t>
      </w:r>
    </w:p>
    <w:p>
      <w:pPr>
        <w:spacing w:before="360" w:after="160"/>
      </w:pPr>
      <w:r>
        <w:rPr>
          <w:b/>
          <w:color w:val="1E3A5F"/>
          <w:sz w:val="32"/>
        </w:rPr>
        <w:t>6. Points to Note (Internal — don't say out loud)</w:t>
      </w:r>
    </w:p>
    <w:p>
      <w:pPr>
        <w:pStyle w:val="ListBullet"/>
        <w:spacing w:after="80"/>
      </w:pPr>
      <w:r>
        <w:rPr>
          <w:sz w:val="22"/>
        </w:rPr>
        <w:t>₹4,80,000 is a single fixed number, not a range — a range invites them to negotiate down from the top; a fixed number redirects negotiation to scope instead, which is easier to control.</w:t>
      </w:r>
    </w:p>
    <w:p>
      <w:pPr>
        <w:pStyle w:val="ListBullet"/>
        <w:spacing w:after="80"/>
      </w:pPr>
      <w:r>
        <w:rPr>
          <w:sz w:val="22"/>
        </w:rPr>
        <w:t>Internal cost floor: ~150-160 hrs at $30/hr (~₹3.2L-4L) — reusing the existing schema, matching logic, and design system is what makes this achievable inside their stated ceiling.</w:t>
      </w:r>
    </w:p>
    <w:p>
      <w:pPr>
        <w:pStyle w:val="ListBullet"/>
        <w:spacing w:after="80"/>
      </w:pPr>
      <w:r>
        <w:rPr>
          <w:sz w:val="22"/>
        </w:rPr>
        <w:t>If they hesitate on the 25% advance despite having seen a working POC, that's a signal on how serious the commitment actually is — worth noting, not necessarily a blocker.</w:t>
      </w:r>
    </w:p>
    <w:p>
      <w:pPr>
        <w:pStyle w:val="ListBullet"/>
        <w:spacing w:after="80"/>
      </w:pPr>
      <w:r>
        <w:rPr>
          <w:sz w:val="22"/>
        </w:rPr>
        <w:t>Don't offer "we'll move faster with AI" as a price-reduction lever — any speed gained should protect margin, not lower the quote further.</w:t>
      </w:r>
    </w:p>
    <w:p>
      <w:pPr>
        <w:pStyle w:val="ListBullet"/>
        <w:spacing w:after="80"/>
      </w:pPr>
      <w:r>
        <w:rPr>
          <w:sz w:val="22"/>
        </w:rPr>
        <w:t>Support/AMC pricing is deliberately left open — committing to a number now, before knowing their usage pattern, under-prices future support.</w:t>
      </w:r>
    </w:p>
    <w:p>
      <w:pPr>
        <w:spacing w:before="360" w:after="160"/>
      </w:pPr>
      <w:r>
        <w:rPr>
          <w:b/>
          <w:color w:val="1E3A5F"/>
          <w:sz w:val="32"/>
        </w:rPr>
        <w:t>7. Fallback Version (if they push back on ₹4.8L)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Don't cut the price on the same scope. Instead, trim milestone scope and phase the rest: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/>
            <w:r>
              <w:rPr>
                <w:b/>
                <w:color w:val="FFFFFF"/>
                <w:sz w:val="21"/>
              </w:rPr>
              <w:t>Milestone</w:t>
            </w:r>
          </w:p>
        </w:tc>
        <w:tc>
          <w:tcPr>
            <w:tcW w:type="dxa" w:w="864"/>
            <w:shd w:fill="1E3A5F"/>
          </w:tcPr>
          <w:p>
            <w:r/>
            <w:r>
              <w:rPr>
                <w:b/>
                <w:color w:val="FFFFFF"/>
                <w:sz w:val="21"/>
              </w:rPr>
              <w:t>%</w:t>
            </w:r>
          </w:p>
        </w:tc>
        <w:tc>
          <w:tcPr>
            <w:tcW w:type="dxa" w:w="4608"/>
            <w:shd w:fill="1E3A5F"/>
          </w:tcPr>
          <w:p>
            <w:r/>
            <w:r>
              <w:rPr>
                <w:b/>
                <w:color w:val="FFFFFF"/>
                <w:sz w:val="21"/>
              </w:rPr>
              <w:t>Trigger</w:t>
            </w:r>
          </w:p>
        </w:tc>
        <w:tc>
          <w:tcPr>
            <w:tcW w:type="dxa" w:w="1728"/>
            <w:shd w:fill="1E3A5F"/>
          </w:tcPr>
          <w:p>
            <w:r/>
            <w:r>
              <w:rPr>
                <w:b/>
                <w:color w:val="FFFFFF"/>
                <w:sz w:val="21"/>
              </w:rPr>
              <w:t>Amount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Advance</w:t>
            </w:r>
          </w:p>
        </w:tc>
        <w:tc>
          <w:tcPr>
            <w:tcW w:type="dxa" w:w="864"/>
          </w:tcPr>
          <w:p>
            <w:r/>
            <w:r>
              <w:rPr>
                <w:sz w:val="21"/>
              </w:rPr>
              <w:t>25%</w:t>
            </w:r>
          </w:p>
        </w:tc>
        <w:tc>
          <w:tcPr>
            <w:tcW w:type="dxa" w:w="4608"/>
          </w:tcPr>
          <w:p>
            <w:r/>
            <w:r>
              <w:rPr>
                <w:sz w:val="21"/>
              </w:rPr>
              <w:t>Kickoff — before work starts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₹95,000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Milestone 1</w:t>
            </w:r>
          </w:p>
        </w:tc>
        <w:tc>
          <w:tcPr>
            <w:tcW w:type="dxa" w:w="864"/>
          </w:tcPr>
          <w:p>
            <w:r/>
            <w:r>
              <w:rPr>
                <w:sz w:val="21"/>
              </w:rPr>
              <w:t>25%</w:t>
            </w:r>
          </w:p>
        </w:tc>
        <w:tc>
          <w:tcPr>
            <w:tcW w:type="dxa" w:w="4608"/>
          </w:tcPr>
          <w:p>
            <w:r/>
            <w:r>
              <w:rPr>
                <w:sz w:val="21"/>
              </w:rPr>
              <w:t>Core data model + dashboard shell live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₹95,000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Milestone 2</w:t>
            </w:r>
          </w:p>
        </w:tc>
        <w:tc>
          <w:tcPr>
            <w:tcW w:type="dxa" w:w="864"/>
          </w:tcPr>
          <w:p>
            <w:r/>
            <w:r>
              <w:rPr>
                <w:sz w:val="21"/>
              </w:rPr>
              <w:t>25%</w:t>
            </w:r>
          </w:p>
        </w:tc>
        <w:tc>
          <w:tcPr>
            <w:tcW w:type="dxa" w:w="4608"/>
          </w:tcPr>
          <w:p>
            <w:r/>
            <w:r>
              <w:rPr>
                <w:sz w:val="21"/>
              </w:rPr>
              <w:t>Matching engine + sales dashboards (core roles only)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₹95,000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Final</w:t>
            </w:r>
          </w:p>
        </w:tc>
        <w:tc>
          <w:tcPr>
            <w:tcW w:type="dxa" w:w="864"/>
          </w:tcPr>
          <w:p>
            <w:r/>
            <w:r>
              <w:rPr>
                <w:sz w:val="21"/>
              </w:rPr>
              <w:t>25%</w:t>
            </w:r>
          </w:p>
        </w:tc>
        <w:tc>
          <w:tcPr>
            <w:tcW w:type="dxa" w:w="4608"/>
          </w:tcPr>
          <w:p>
            <w:r/>
            <w:r>
              <w:rPr>
                <w:sz w:val="21"/>
              </w:rPr>
              <w:t>UAT sign-off + source handover + deployment docs</w:t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  <w:t>₹95,000</w:t>
            </w:r>
          </w:p>
        </w:tc>
      </w:tr>
    </w:tbl>
    <w:p/>
    <w:p>
      <w:pPr>
        <w:spacing w:after="120"/>
      </w:pPr>
      <w:r>
        <w:rPr>
          <w:b w:val="0"/>
          <w:i w:val="0"/>
          <w:color w:val="000000"/>
          <w:sz w:val="22"/>
        </w:rPr>
        <w:t>Total: ₹3,80,000 for a v1 that excludes admin reporting and finance permission-gating (deferred to a v1.1 phase, quoted separately once v1 is live). Frame this explicitly as "same core platform, smaller v1 boundary" — not a discount on the same deliverable.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Alternative fallback lever: keep the full ₹4.8L scope but extend timeline from 6 to 8 weeks instead of reducing price — trade timeline, not the number.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