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301E" w14:textId="705A2994" w:rsidR="003F30F4" w:rsidRDefault="00383055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에기연의</w:t>
      </w:r>
      <w:proofErr w:type="spellEnd"/>
      <w:r>
        <w:rPr>
          <w:rFonts w:hint="eastAsia"/>
        </w:rPr>
        <w:t xml:space="preserve"> 일사량 자료와 국립기상과학원의 일사량 자료를 활용하여 경기도의 이론적, 기술적, 시장 잠재량을 계산한다.</w:t>
      </w:r>
    </w:p>
    <w:p w14:paraId="0B71DFF8" w14:textId="25B5A94F" w:rsidR="00383055" w:rsidRDefault="00383055">
      <w:r>
        <w:rPr>
          <w:rFonts w:hint="eastAsia"/>
        </w:rPr>
        <w:t xml:space="preserve">2. 국립기상과학원의 일사량 자료는 </w:t>
      </w:r>
      <w:proofErr w:type="spellStart"/>
      <w:r>
        <w:rPr>
          <w:rFonts w:hint="eastAsia"/>
        </w:rPr>
        <w:t>에기연의</w:t>
      </w:r>
      <w:proofErr w:type="spellEnd"/>
      <w:r>
        <w:rPr>
          <w:rFonts w:hint="eastAsia"/>
        </w:rPr>
        <w:t xml:space="preserve"> 일사량 자료보다 2배보다 많은 수치를 보여주고 있다. </w:t>
      </w:r>
    </w:p>
    <w:p w14:paraId="6DA020CD" w14:textId="18FBC280" w:rsidR="00383055" w:rsidRDefault="00383055">
      <w:r>
        <w:rPr>
          <w:rFonts w:hint="eastAsia"/>
        </w:rPr>
        <w:t xml:space="preserve">3. 두 </w:t>
      </w:r>
      <w:proofErr w:type="spellStart"/>
      <w:r>
        <w:rPr>
          <w:rFonts w:hint="eastAsia"/>
        </w:rPr>
        <w:t>자료간의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이론적,기술적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잠재량</w:t>
      </w:r>
      <w:proofErr w:type="spellEnd"/>
      <w:r>
        <w:rPr>
          <w:rFonts w:hint="eastAsia"/>
        </w:rPr>
        <w:t xml:space="preserve"> 비교를 하면 일사량의 차이만큼 2배씩 차이가 나지만, 시장 잠재량에서는 LCOE계산식에 발전량이 분모로 들어가기 때문에, </w:t>
      </w:r>
      <w:proofErr w:type="spellStart"/>
      <w:r>
        <w:rPr>
          <w:rFonts w:hint="eastAsia"/>
        </w:rPr>
        <w:t>에기연의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시장잠재량에서는</w:t>
      </w:r>
      <w:proofErr w:type="spellEnd"/>
      <w:r>
        <w:rPr>
          <w:rFonts w:hint="eastAsia"/>
        </w:rPr>
        <w:t xml:space="preserve"> 시장 잠재량에서 제외되는 셀들이 추가로 생기게 된다. 따라서 시장 잠재량은 2배 이상의 차이를 보이게 된다.</w:t>
      </w:r>
    </w:p>
    <w:p w14:paraId="7CCD23E3" w14:textId="77777777" w:rsidR="00B23556" w:rsidRDefault="00B23556"/>
    <w:p w14:paraId="03331B71" w14:textId="77777777" w:rsidR="00B23556" w:rsidRDefault="00B2355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9"/>
        <w:gridCol w:w="2372"/>
        <w:gridCol w:w="1417"/>
        <w:gridCol w:w="1418"/>
        <w:gridCol w:w="2500"/>
      </w:tblGrid>
      <w:tr w:rsidR="00C7766B" w14:paraId="356BE6E7" w14:textId="59962BDA" w:rsidTr="00782AEA">
        <w:tc>
          <w:tcPr>
            <w:tcW w:w="1309" w:type="dxa"/>
          </w:tcPr>
          <w:p w14:paraId="050FDC32" w14:textId="77777777" w:rsidR="00C7766B" w:rsidRDefault="00C7766B" w:rsidP="008F5C95">
            <w:pPr>
              <w:rPr>
                <w:rFonts w:hint="eastAsia"/>
              </w:rPr>
            </w:pPr>
          </w:p>
        </w:tc>
        <w:tc>
          <w:tcPr>
            <w:tcW w:w="2372" w:type="dxa"/>
          </w:tcPr>
          <w:p w14:paraId="4C7F2043" w14:textId="6577EA2D" w:rsidR="00C7766B" w:rsidRDefault="00C7766B" w:rsidP="008F5C95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40589B9" w14:textId="149E4190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KIER1500</w:t>
            </w:r>
          </w:p>
        </w:tc>
        <w:tc>
          <w:tcPr>
            <w:tcW w:w="1418" w:type="dxa"/>
          </w:tcPr>
          <w:p w14:paraId="238160D1" w14:textId="1645FC05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KMA100</w:t>
            </w:r>
          </w:p>
        </w:tc>
        <w:tc>
          <w:tcPr>
            <w:tcW w:w="2500" w:type="dxa"/>
          </w:tcPr>
          <w:p w14:paraId="711D3F75" w14:textId="0031D3E0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</w:tr>
      <w:tr w:rsidR="00C7766B" w14:paraId="49B6337D" w14:textId="451E9518" w:rsidTr="00782AEA">
        <w:trPr>
          <w:trHeight w:val="170"/>
        </w:trPr>
        <w:tc>
          <w:tcPr>
            <w:tcW w:w="1309" w:type="dxa"/>
            <w:vMerge w:val="restart"/>
          </w:tcPr>
          <w:p w14:paraId="0785EF82" w14:textId="587D1891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Theoretical</w:t>
            </w:r>
          </w:p>
        </w:tc>
        <w:tc>
          <w:tcPr>
            <w:tcW w:w="2372" w:type="dxa"/>
          </w:tcPr>
          <w:p w14:paraId="3841FB8F" w14:textId="07293D22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Ground-mounted PV</w:t>
            </w:r>
          </w:p>
        </w:tc>
        <w:tc>
          <w:tcPr>
            <w:tcW w:w="1417" w:type="dxa"/>
          </w:tcPr>
          <w:p w14:paraId="565C72AB" w14:textId="58B4B965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12,929.4</w:t>
            </w:r>
          </w:p>
        </w:tc>
        <w:tc>
          <w:tcPr>
            <w:tcW w:w="1418" w:type="dxa"/>
          </w:tcPr>
          <w:p w14:paraId="33A7DC2B" w14:textId="6E0B2C07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24,774.6</w:t>
            </w:r>
          </w:p>
        </w:tc>
        <w:tc>
          <w:tcPr>
            <w:tcW w:w="2500" w:type="dxa"/>
          </w:tcPr>
          <w:p w14:paraId="414A95A8" w14:textId="0BD0466B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</w:tr>
      <w:tr w:rsidR="00C7766B" w14:paraId="7F19E993" w14:textId="655C22FF" w:rsidTr="00782AEA">
        <w:trPr>
          <w:trHeight w:val="170"/>
        </w:trPr>
        <w:tc>
          <w:tcPr>
            <w:tcW w:w="1309" w:type="dxa"/>
            <w:vMerge/>
          </w:tcPr>
          <w:p w14:paraId="39844B52" w14:textId="77777777" w:rsidR="00C7766B" w:rsidRDefault="00C7766B" w:rsidP="008F5C95">
            <w:pPr>
              <w:rPr>
                <w:rFonts w:hint="eastAsia"/>
              </w:rPr>
            </w:pPr>
          </w:p>
        </w:tc>
        <w:tc>
          <w:tcPr>
            <w:tcW w:w="2372" w:type="dxa"/>
          </w:tcPr>
          <w:p w14:paraId="234A5A03" w14:textId="541AE491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Roof-top PV</w:t>
            </w:r>
          </w:p>
        </w:tc>
        <w:tc>
          <w:tcPr>
            <w:tcW w:w="1417" w:type="dxa"/>
          </w:tcPr>
          <w:p w14:paraId="766BFB08" w14:textId="672A52AA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456.9</w:t>
            </w:r>
          </w:p>
        </w:tc>
        <w:tc>
          <w:tcPr>
            <w:tcW w:w="1418" w:type="dxa"/>
          </w:tcPr>
          <w:p w14:paraId="278A48DC" w14:textId="25804E64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885.0</w:t>
            </w:r>
          </w:p>
        </w:tc>
        <w:tc>
          <w:tcPr>
            <w:tcW w:w="2500" w:type="dxa"/>
          </w:tcPr>
          <w:p w14:paraId="1AB79018" w14:textId="4F15DDA6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</w:tr>
      <w:tr w:rsidR="00C7766B" w14:paraId="16D01B35" w14:textId="0F1F9B13" w:rsidTr="00782AEA">
        <w:trPr>
          <w:trHeight w:val="170"/>
        </w:trPr>
        <w:tc>
          <w:tcPr>
            <w:tcW w:w="1309" w:type="dxa"/>
            <w:vMerge w:val="restart"/>
          </w:tcPr>
          <w:p w14:paraId="6DE22264" w14:textId="4233CF3D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Technical</w:t>
            </w:r>
          </w:p>
        </w:tc>
        <w:tc>
          <w:tcPr>
            <w:tcW w:w="2372" w:type="dxa"/>
          </w:tcPr>
          <w:p w14:paraId="174E4A52" w14:textId="2BF6EE44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Ground-mounted PV</w:t>
            </w:r>
          </w:p>
        </w:tc>
        <w:tc>
          <w:tcPr>
            <w:tcW w:w="1417" w:type="dxa"/>
          </w:tcPr>
          <w:p w14:paraId="3185E629" w14:textId="6F86BB00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385.0</w:t>
            </w:r>
          </w:p>
        </w:tc>
        <w:tc>
          <w:tcPr>
            <w:tcW w:w="1418" w:type="dxa"/>
          </w:tcPr>
          <w:p w14:paraId="78DB7979" w14:textId="356F48C3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742.8</w:t>
            </w:r>
          </w:p>
        </w:tc>
        <w:tc>
          <w:tcPr>
            <w:tcW w:w="2500" w:type="dxa"/>
          </w:tcPr>
          <w:p w14:paraId="4A8CDDC7" w14:textId="4511101D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</w:tr>
      <w:tr w:rsidR="00C7766B" w14:paraId="52287B0C" w14:textId="1924E5C6" w:rsidTr="00782AEA">
        <w:trPr>
          <w:trHeight w:val="170"/>
        </w:trPr>
        <w:tc>
          <w:tcPr>
            <w:tcW w:w="1309" w:type="dxa"/>
            <w:vMerge/>
          </w:tcPr>
          <w:p w14:paraId="53A3C578" w14:textId="77777777" w:rsidR="00C7766B" w:rsidRDefault="00C7766B" w:rsidP="008F5C95">
            <w:pPr>
              <w:rPr>
                <w:rFonts w:hint="eastAsia"/>
              </w:rPr>
            </w:pPr>
          </w:p>
        </w:tc>
        <w:tc>
          <w:tcPr>
            <w:tcW w:w="2372" w:type="dxa"/>
          </w:tcPr>
          <w:p w14:paraId="4CDB6336" w14:textId="3B1F7408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Roof-top PV</w:t>
            </w:r>
          </w:p>
        </w:tc>
        <w:tc>
          <w:tcPr>
            <w:tcW w:w="1417" w:type="dxa"/>
          </w:tcPr>
          <w:p w14:paraId="1779E78F" w14:textId="54A096B3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22.2</w:t>
            </w:r>
          </w:p>
        </w:tc>
        <w:tc>
          <w:tcPr>
            <w:tcW w:w="1418" w:type="dxa"/>
          </w:tcPr>
          <w:p w14:paraId="3AB523BA" w14:textId="6B8765F9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43.0</w:t>
            </w:r>
          </w:p>
        </w:tc>
        <w:tc>
          <w:tcPr>
            <w:tcW w:w="2500" w:type="dxa"/>
          </w:tcPr>
          <w:p w14:paraId="378FA589" w14:textId="43D7D021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</w:tr>
      <w:tr w:rsidR="00C7766B" w14:paraId="4014766E" w14:textId="1CCE52FC" w:rsidTr="00782AEA">
        <w:trPr>
          <w:trHeight w:val="170"/>
        </w:trPr>
        <w:tc>
          <w:tcPr>
            <w:tcW w:w="1309" w:type="dxa"/>
            <w:vMerge w:val="restart"/>
          </w:tcPr>
          <w:p w14:paraId="48B08AA8" w14:textId="7473757B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Market</w:t>
            </w:r>
          </w:p>
        </w:tc>
        <w:tc>
          <w:tcPr>
            <w:tcW w:w="2372" w:type="dxa"/>
          </w:tcPr>
          <w:p w14:paraId="37C43708" w14:textId="7D76CFA6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Ground-mounted PV</w:t>
            </w:r>
          </w:p>
        </w:tc>
        <w:tc>
          <w:tcPr>
            <w:tcW w:w="1417" w:type="dxa"/>
          </w:tcPr>
          <w:p w14:paraId="7D800C3D" w14:textId="4136A46E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17.8</w:t>
            </w:r>
          </w:p>
        </w:tc>
        <w:tc>
          <w:tcPr>
            <w:tcW w:w="1418" w:type="dxa"/>
          </w:tcPr>
          <w:p w14:paraId="3462744D" w14:textId="394AC973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307.8</w:t>
            </w:r>
          </w:p>
        </w:tc>
        <w:tc>
          <w:tcPr>
            <w:tcW w:w="2500" w:type="dxa"/>
          </w:tcPr>
          <w:p w14:paraId="32525BB3" w14:textId="49F9DC3C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17.3</w:t>
            </w:r>
          </w:p>
        </w:tc>
      </w:tr>
      <w:tr w:rsidR="00C7766B" w14:paraId="5771953E" w14:textId="1C94A6D0" w:rsidTr="00782AEA">
        <w:trPr>
          <w:trHeight w:val="170"/>
        </w:trPr>
        <w:tc>
          <w:tcPr>
            <w:tcW w:w="1309" w:type="dxa"/>
            <w:vMerge/>
          </w:tcPr>
          <w:p w14:paraId="30AD060F" w14:textId="77777777" w:rsidR="00C7766B" w:rsidRDefault="00C7766B" w:rsidP="008F5C95">
            <w:pPr>
              <w:rPr>
                <w:rFonts w:hint="eastAsia"/>
              </w:rPr>
            </w:pPr>
          </w:p>
        </w:tc>
        <w:tc>
          <w:tcPr>
            <w:tcW w:w="2372" w:type="dxa"/>
          </w:tcPr>
          <w:p w14:paraId="78CE318E" w14:textId="5208FB9B" w:rsidR="00C7766B" w:rsidRDefault="00C7766B" w:rsidP="008F5C95">
            <w:pPr>
              <w:rPr>
                <w:rFonts w:hint="eastAsia"/>
              </w:rPr>
            </w:pPr>
            <w:r>
              <w:rPr>
                <w:rFonts w:hint="eastAsia"/>
              </w:rPr>
              <w:t>Roof-top PV</w:t>
            </w:r>
          </w:p>
        </w:tc>
        <w:tc>
          <w:tcPr>
            <w:tcW w:w="1417" w:type="dxa"/>
          </w:tcPr>
          <w:p w14:paraId="19501910" w14:textId="374F9CA0" w:rsidR="00C7766B" w:rsidRDefault="00C7766B" w:rsidP="008F5C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18" w:type="dxa"/>
          </w:tcPr>
          <w:p w14:paraId="30DE33AF" w14:textId="4646E3BA" w:rsidR="00C7766B" w:rsidRDefault="00C7766B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32.6</w:t>
            </w:r>
          </w:p>
        </w:tc>
        <w:tc>
          <w:tcPr>
            <w:tcW w:w="2500" w:type="dxa"/>
          </w:tcPr>
          <w:p w14:paraId="0DD049AA" w14:textId="58843A0F" w:rsidR="00C7766B" w:rsidRDefault="00782AEA" w:rsidP="00C7766B">
            <w:pPr>
              <w:rPr>
                <w:rFonts w:hint="eastAsia"/>
              </w:rPr>
            </w:pPr>
            <w:r>
              <w:rPr>
                <w:rFonts w:hint="eastAsia"/>
              </w:rPr>
              <w:t>108.7</w:t>
            </w:r>
          </w:p>
        </w:tc>
      </w:tr>
    </w:tbl>
    <w:p w14:paraId="3C09105A" w14:textId="77777777" w:rsidR="00B23556" w:rsidRDefault="00B23556">
      <w:pPr>
        <w:rPr>
          <w:rFonts w:hint="eastAsia"/>
        </w:rPr>
      </w:pPr>
    </w:p>
    <w:sectPr w:rsidR="00B23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55"/>
    <w:rsid w:val="000E0E89"/>
    <w:rsid w:val="00383055"/>
    <w:rsid w:val="003F30F4"/>
    <w:rsid w:val="00480ADA"/>
    <w:rsid w:val="00645BA3"/>
    <w:rsid w:val="007312D5"/>
    <w:rsid w:val="00782AEA"/>
    <w:rsid w:val="00860B18"/>
    <w:rsid w:val="0086513F"/>
    <w:rsid w:val="008A4CA0"/>
    <w:rsid w:val="008F5C95"/>
    <w:rsid w:val="00926DA5"/>
    <w:rsid w:val="00B23556"/>
    <w:rsid w:val="00B52D92"/>
    <w:rsid w:val="00B90C1B"/>
    <w:rsid w:val="00BD6A12"/>
    <w:rsid w:val="00C36B29"/>
    <w:rsid w:val="00C52137"/>
    <w:rsid w:val="00C7766B"/>
    <w:rsid w:val="00D62A8C"/>
    <w:rsid w:val="00E477DD"/>
    <w:rsid w:val="00E80AFD"/>
    <w:rsid w:val="00E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AFB"/>
  <w15:chartTrackingRefBased/>
  <w15:docId w15:val="{E75FAD72-3C8C-4C01-860D-0BADADE8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0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0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0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0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0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0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0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30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30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30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30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3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30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3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30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30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30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30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305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235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7A3A7F-6A09-4499-AC5A-5B7998C4F23B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n-US&quot;"/>
    <we:property name="MENDELEY_CITATIONS_STYLE" value="{&quot;id&quot;:&quot;https://www.zotero.org/styles/journal-of-environmental-management&quot;,&quot;title&quot;:&quot;Journal of Environmental Management&quot;,&quot;format&quot;:&quot;author-date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EDEF-CC92-4E11-9D27-0490F557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4</cp:revision>
  <dcterms:created xsi:type="dcterms:W3CDTF">2025-04-23T23:23:00Z</dcterms:created>
  <dcterms:modified xsi:type="dcterms:W3CDTF">2025-04-24T08:46:00Z</dcterms:modified>
</cp:coreProperties>
</file>