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5D5FDBDB"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F10C43" w:rsidRPr="00F10C43">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F10C43" w:rsidRPr="00F10C43">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F10C43" w:rsidRPr="00F10C43">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F10C43" w:rsidRPr="00F10C43">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33FDF77A"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 the country produced a total of 43.7 TWh, distributed as follows: 24.7 TWh (56.6%) from solar energy, 11.8 TWh (27.0%) from bioenergy, 3.2 TWh (7.3%) from wind energy, 3.1 TWh (7.0%) from hydro energy, and 0.93 TWh (2.1%)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X0sImlzVGVtcG9yYXJ5IjpmYWxzZX1dfQ=="/>
          <w:id w:val="2108845815"/>
          <w:placeholder>
            <w:docPart w:val="05C10443987D422F8314E2B41AC80D31"/>
          </w:placeholder>
        </w:sdtPr>
        <w:sdtContent>
          <w:r w:rsidR="00F10C43" w:rsidRPr="00F10C43">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landscape in terms of 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269E2B1F" w14:textId="28CCA4F1" w:rsidR="00F4047F" w:rsidRDefault="00C25AD0" w:rsidP="00500833">
      <w:pPr>
        <w:ind w:firstLine="320"/>
        <w:rPr>
          <w:rFonts w:eastAsia="맑은 고딕" w:hint="eastAsia"/>
          <w:color w:val="000000"/>
        </w:rPr>
      </w:pPr>
      <w:r>
        <w:rPr>
          <w:rFonts w:eastAsia="맑은 고딕" w:hint="eastAsia"/>
          <w:color w:val="000000"/>
        </w:rPr>
        <w:t xml:space="preserve">The shapes of </w:t>
      </w:r>
      <w:r w:rsidR="00770E0F">
        <w:rPr>
          <w:rFonts w:eastAsia="맑은 고딕" w:hint="eastAsia"/>
          <w:color w:val="000000"/>
        </w:rPr>
        <w:t>the</w:t>
      </w:r>
      <w:r>
        <w:rPr>
          <w:rFonts w:eastAsia="맑은 고딕" w:hint="eastAsia"/>
          <w:color w:val="000000"/>
        </w:rPr>
        <w:t xml:space="preserve"> renewable portfolio </w:t>
      </w:r>
      <w:r w:rsidR="00770E0F">
        <w:rPr>
          <w:rFonts w:eastAsia="맑은 고딕" w:hint="eastAsia"/>
          <w:color w:val="000000"/>
        </w:rPr>
        <w:t>and energy mix</w:t>
      </w:r>
      <w:r>
        <w:rPr>
          <w:rFonts w:eastAsia="맑은 고딕" w:hint="eastAsia"/>
          <w:color w:val="000000"/>
        </w:rPr>
        <w:t xml:space="preserve"> </w:t>
      </w:r>
      <w:r w:rsidR="00770DB6">
        <w:rPr>
          <w:rFonts w:eastAsia="맑은 고딕" w:hint="eastAsia"/>
          <w:color w:val="000000"/>
        </w:rPr>
        <w:t xml:space="preserve">are </w:t>
      </w:r>
      <w:r>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Pr>
          <w:rFonts w:eastAsia="맑은 고딕" w:hint="eastAsia"/>
          <w:color w:val="000000"/>
        </w:rPr>
        <w:t xml:space="preserve">energy security, </w:t>
      </w:r>
      <w:r w:rsidR="00D128F6">
        <w:rPr>
          <w:rFonts w:eastAsia="맑은 고딕" w:hint="eastAsia"/>
          <w:color w:val="000000"/>
        </w:rPr>
        <w:t>economy, politics</w:t>
      </w:r>
      <w:r>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n0sImlzVGVtcG9yYXJ5IjpmYWxzZX1dfQ=="/>
          <w:id w:val="418842314"/>
          <w:placeholder>
            <w:docPart w:val="DefaultPlaceholder_-1854013440"/>
          </w:placeholder>
        </w:sdtPr>
        <w:sdtContent>
          <w:r w:rsidR="00F10C43" w:rsidRPr="00F10C43">
            <w:rPr>
              <w:rFonts w:eastAsia="맑은 고딕"/>
              <w:color w:val="000000"/>
            </w:rPr>
            <w:t>[7]</w:t>
          </w:r>
        </w:sdtContent>
      </w:sdt>
      <w:r>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the renewable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
          <w:id w:val="1151950961"/>
          <w:placeholder>
            <w:docPart w:val="DefaultPlaceholder_-1854013440"/>
          </w:placeholder>
        </w:sdtPr>
        <w:sdtContent>
          <w:r w:rsidR="00F10C43" w:rsidRPr="00F10C43">
            <w:rPr>
              <w:rFonts w:eastAsia="맑은 고딕"/>
              <w:color w:val="000000"/>
            </w:rPr>
            <w:t>[8,9]</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D6052F">
        <w:rPr>
          <w:rFonts w:eastAsia="맑은 고딕" w:hint="eastAsia"/>
          <w:color w:val="000000"/>
        </w:rPr>
        <w:t xml:space="preserve">afraid of drastic and thoughtless expansion of renewable energy. </w:t>
      </w:r>
      <w:r w:rsidR="00500833">
        <w:rPr>
          <w:rFonts w:eastAsia="맑은 고딕" w:hint="eastAsia"/>
          <w:color w:val="000000"/>
        </w:rPr>
        <w:t xml:space="preserve">In many countries environmental licensing are said to be a cause of delays in the completion of renewable energy farms, </w:t>
      </w:r>
      <w:r w:rsidR="00500833">
        <w:rPr>
          <w:rFonts w:eastAsia="맑은 고딕"/>
          <w:color w:val="000000"/>
        </w:rPr>
        <w:t>especially</w:t>
      </w:r>
      <w:r w:rsidR="00500833">
        <w:rPr>
          <w:rFonts w:eastAsia="맑은 고딕" w:hint="eastAsia"/>
          <w:color w:val="000000"/>
        </w:rPr>
        <w:t xml:space="preserve"> </w:t>
      </w:r>
      <w:r w:rsidR="00F10C43">
        <w:rPr>
          <w:rFonts w:eastAsia="맑은 고딕"/>
          <w:color w:val="000000"/>
        </w:rPr>
        <w:t>offshore</w:t>
      </w:r>
      <w:r w:rsidR="00500833">
        <w:rPr>
          <w:rFonts w:eastAsia="맑은 고딕" w:hint="eastAsia"/>
          <w:color w:val="000000"/>
        </w:rPr>
        <w:t xml:space="preserve"> wind farms</w:t>
      </w:r>
      <w:r w:rsidR="00F10C43">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F10C43" w:rsidRPr="00F10C43">
            <w:rPr>
              <w:rFonts w:eastAsia="맑은 고딕"/>
              <w:color w:val="000000"/>
            </w:rPr>
            <w:t>[10–14]</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designated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7A0A9A">
        <w:rPr>
          <w:rFonts w:eastAsia="맑은 고딕" w:hint="eastAsia"/>
          <w:color w:val="000000"/>
        </w:rPr>
        <w:t xml:space="preserve"> </w:t>
      </w:r>
      <w:r w:rsidR="003D234A">
        <w:rPr>
          <w:rFonts w:eastAsia="맑은 고딕" w:hint="eastAsia"/>
          <w:color w:val="000000"/>
        </w:rPr>
        <w:t xml:space="preserve">The major reason that county governments adopted the setback regulation is local opposition of the PV facilities. </w:t>
      </w:r>
    </w:p>
    <w:p w14:paraId="30FBF941" w14:textId="77777777" w:rsidR="00F4047F" w:rsidRDefault="00F4047F" w:rsidP="00500833">
      <w:pPr>
        <w:ind w:firstLine="320"/>
        <w:rPr>
          <w:rFonts w:eastAsia="맑은 고딕"/>
          <w:color w:val="000000"/>
        </w:rPr>
      </w:pPr>
    </w:p>
    <w:p w14:paraId="28792AAA" w14:textId="77777777" w:rsidR="000F1452" w:rsidRPr="000F1452" w:rsidRDefault="000F1452" w:rsidP="000F1452">
      <w:pPr>
        <w:ind w:firstLine="320"/>
        <w:rPr>
          <w:rFonts w:eastAsia="맑은 고딕"/>
          <w:color w:val="000000"/>
        </w:rPr>
      </w:pPr>
      <w:r w:rsidRPr="000F1452">
        <w:rPr>
          <w:rFonts w:eastAsia="맑은 고딕"/>
          <w:color w:val="000000"/>
        </w:rPr>
        <w:t>The reason local governments are introducing setback regulations is due to opposition from local residents. The primary reasons for residents' opposition to the siting of solar power plants are concerns about landscape and environmental degradation. Additionally, there is a perception that solar panels negatively impact health due to the emission of heavy metals and electromagnetic waves. Although scientific explanations have been widely shared to inform people that solar panels are harmless to human health, resolving the issue of landscape degradation is much more difficult. To increase residents' acceptance of solar power plants, efforts are being made to emphasize the economic benefits from solar power plants and the involvement of residents in the development process.</w:t>
      </w:r>
    </w:p>
    <w:p w14:paraId="4B669718" w14:textId="77777777" w:rsidR="000F1452" w:rsidRPr="000F1452" w:rsidRDefault="000F1452" w:rsidP="000F1452">
      <w:pPr>
        <w:ind w:firstLine="320"/>
        <w:rPr>
          <w:rFonts w:eastAsia="맑은 고딕"/>
          <w:color w:val="000000"/>
        </w:rPr>
      </w:pPr>
    </w:p>
    <w:p w14:paraId="39BF5DAB" w14:textId="77777777" w:rsidR="000F1452" w:rsidRPr="000F1452" w:rsidRDefault="000F1452" w:rsidP="000F1452">
      <w:pPr>
        <w:ind w:firstLine="320"/>
        <w:rPr>
          <w:rFonts w:eastAsia="맑은 고딕"/>
          <w:color w:val="000000"/>
        </w:rPr>
      </w:pPr>
      <w:r w:rsidRPr="000F1452">
        <w:rPr>
          <w:rFonts w:eastAsia="맑은 고딕"/>
          <w:color w:val="000000"/>
        </w:rPr>
        <w:t>In South Korea, setback regulations are especially detrimental due to i) the country's heavy reliance on photovoltaic (PV) energy and ii) the country's limited land area. As previously mentioned, 56.6% of South Korea's renewable energy generation comes from solar power, and because of the country’s small size, there are limited locations that can meet all the necessary conditions for siting solar power plants.</w:t>
      </w:r>
    </w:p>
    <w:p w14:paraId="7D793CD0" w14:textId="77777777" w:rsidR="000F1452" w:rsidRPr="000F1452" w:rsidRDefault="000F1452" w:rsidP="000F1452">
      <w:pPr>
        <w:ind w:firstLine="320"/>
        <w:rPr>
          <w:rFonts w:eastAsia="맑은 고딕"/>
          <w:color w:val="000000"/>
        </w:rPr>
      </w:pPr>
    </w:p>
    <w:p w14:paraId="2F1EF3A5" w14:textId="77777777" w:rsidR="000F1452" w:rsidRPr="000F1452" w:rsidRDefault="000F1452" w:rsidP="000F1452">
      <w:pPr>
        <w:ind w:firstLine="320"/>
        <w:rPr>
          <w:rFonts w:eastAsia="맑은 고딕"/>
          <w:color w:val="000000"/>
        </w:rPr>
      </w:pPr>
      <w:r w:rsidRPr="000F1452">
        <w:rPr>
          <w:rFonts w:eastAsia="맑은 고딕"/>
          <w:color w:val="000000"/>
        </w:rPr>
        <w:t>This study aims to examine the impact of setback regulations on solar potential in Gyeonggi Province, a region in South Korea. Gyeonggi Province accounts for X% of South Korea's land area and X% of its population. It is also the region where the introduction of renewable energy is most urgently needed among the 17 provinces in South Korea.</w:t>
      </w:r>
    </w:p>
    <w:p w14:paraId="5175D2FD" w14:textId="77777777" w:rsidR="000F1452" w:rsidRPr="000F1452" w:rsidRDefault="000F1452" w:rsidP="000F1452">
      <w:pPr>
        <w:ind w:firstLine="320"/>
        <w:rPr>
          <w:rFonts w:eastAsia="맑은 고딕"/>
          <w:color w:val="000000"/>
        </w:rPr>
      </w:pPr>
    </w:p>
    <w:p w14:paraId="302C09C7" w14:textId="77777777" w:rsidR="000F1452" w:rsidRPr="000F1452" w:rsidRDefault="000F1452" w:rsidP="000F1452">
      <w:pPr>
        <w:ind w:firstLine="320"/>
        <w:rPr>
          <w:rFonts w:eastAsia="맑은 고딕"/>
          <w:color w:val="000000"/>
        </w:rPr>
      </w:pPr>
      <w:r w:rsidRPr="000F1452">
        <w:rPr>
          <w:rFonts w:eastAsia="맑은 고딕"/>
          <w:color w:val="000000"/>
        </w:rPr>
        <w:t xml:space="preserve">First, a regional differential electricity pricing system is currently being discussed in South Korea, and it is expected that a </w:t>
      </w:r>
      <w:r w:rsidRPr="000F1452">
        <w:rPr>
          <w:rFonts w:eastAsia="맑은 고딕"/>
          <w:color w:val="000000"/>
        </w:rPr>
        <w:lastRenderedPageBreak/>
        <w:t>region's electricity self-sufficiency rate will determine retail electricity prices. Therefore, Gyeonggi Province needs to increase its power supply to avoid economic losses caused by rising electricity prices.</w:t>
      </w:r>
    </w:p>
    <w:p w14:paraId="247FF747" w14:textId="77777777" w:rsidR="000F1452" w:rsidRPr="000F1452" w:rsidRDefault="000F1452" w:rsidP="000F1452">
      <w:pPr>
        <w:ind w:firstLine="320"/>
        <w:rPr>
          <w:rFonts w:eastAsia="맑은 고딕"/>
          <w:color w:val="000000"/>
        </w:rPr>
      </w:pPr>
    </w:p>
    <w:p w14:paraId="5C3E2C6B" w14:textId="77777777" w:rsidR="000F1452" w:rsidRPr="000F1452" w:rsidRDefault="000F1452" w:rsidP="000F1452">
      <w:pPr>
        <w:ind w:firstLine="320"/>
        <w:rPr>
          <w:rFonts w:eastAsia="맑은 고딕"/>
          <w:color w:val="000000"/>
        </w:rPr>
      </w:pPr>
      <w:r w:rsidRPr="000F1452">
        <w:rPr>
          <w:rFonts w:eastAsia="맑은 고딕"/>
          <w:color w:val="000000"/>
        </w:rPr>
        <w:t>Second, South Korea has XX RE100 companies, and XX of them are headquartered in Gyeonggi Province. Supplying these companies with locally produced renewable energy (e.g., through PPAs) will help them achieve their RE100 goals, preventing economic losses.</w:t>
      </w:r>
    </w:p>
    <w:p w14:paraId="583AE59A" w14:textId="77777777" w:rsidR="000F1452" w:rsidRPr="000F1452" w:rsidRDefault="000F1452" w:rsidP="000F1452">
      <w:pPr>
        <w:ind w:firstLine="320"/>
        <w:rPr>
          <w:rFonts w:eastAsia="맑은 고딕"/>
          <w:color w:val="000000"/>
        </w:rPr>
      </w:pPr>
    </w:p>
    <w:p w14:paraId="19B46C8B" w14:textId="41013FB0" w:rsidR="000F1452" w:rsidRDefault="000F1452" w:rsidP="000F1452">
      <w:pPr>
        <w:ind w:firstLine="320"/>
        <w:rPr>
          <w:rFonts w:eastAsia="맑은 고딕" w:hint="eastAsia"/>
          <w:color w:val="000000"/>
        </w:rPr>
      </w:pPr>
      <w:r w:rsidRPr="000F1452">
        <w:rPr>
          <w:rFonts w:eastAsia="맑은 고딕"/>
          <w:color w:val="000000"/>
        </w:rPr>
        <w:t>Third, the governor of Gyeonggi Province is strongly committed to expanding solar power. Despite the national renewable energy supply target being lowered in the 10th Basic Plan for Electricity Supply and Demand, the governor has declared a goal to install 9 GW of solar power during their term. In this context, the expansion of solar power in Gyeonggi Province is crucial.</w:t>
      </w:r>
    </w:p>
    <w:p w14:paraId="36F02AC8" w14:textId="77777777" w:rsidR="00861A5C" w:rsidRDefault="00861A5C" w:rsidP="00C253C3">
      <w:pPr>
        <w:ind w:firstLine="320"/>
        <w:rPr>
          <w:rFonts w:eastAsia="맑은 고딕"/>
          <w:color w:val="000000"/>
        </w:rPr>
      </w:pPr>
    </w:p>
    <w:p w14:paraId="1CDCAD6D" w14:textId="77777777" w:rsidR="003B7548" w:rsidRDefault="003B7548" w:rsidP="00C253C3">
      <w:pPr>
        <w:ind w:firstLine="320"/>
        <w:rPr>
          <w:rFonts w:eastAsia="맑은 고딕"/>
          <w:color w:val="000000"/>
        </w:rPr>
      </w:pPr>
    </w:p>
    <w:p w14:paraId="6DAC5087" w14:textId="77777777" w:rsidR="003B7548" w:rsidRDefault="003B7548" w:rsidP="00C253C3">
      <w:pPr>
        <w:ind w:firstLine="320"/>
        <w:rPr>
          <w:rFonts w:eastAsia="맑은 고딕"/>
          <w:color w:val="000000"/>
        </w:rPr>
      </w:pPr>
    </w:p>
    <w:p w14:paraId="64770D66" w14:textId="77777777" w:rsidR="003B7548" w:rsidRDefault="003B7548" w:rsidP="00C253C3">
      <w:pPr>
        <w:ind w:firstLine="320"/>
        <w:rPr>
          <w:rFonts w:eastAsia="맑은 고딕"/>
          <w:color w:val="000000"/>
        </w:rPr>
      </w:pPr>
    </w:p>
    <w:p w14:paraId="1CD8B718" w14:textId="77777777" w:rsidR="003B7548" w:rsidRDefault="003B7548" w:rsidP="00C253C3">
      <w:pPr>
        <w:ind w:firstLine="320"/>
        <w:rPr>
          <w:rFonts w:eastAsia="맑은 고딕"/>
          <w:color w:val="000000"/>
        </w:rPr>
      </w:pPr>
    </w:p>
    <w:p w14:paraId="0DDD490D" w14:textId="2B351C0A" w:rsidR="003B7548" w:rsidRDefault="003B7548" w:rsidP="00C253C3">
      <w:pPr>
        <w:ind w:firstLine="320"/>
        <w:rPr>
          <w:rFonts w:eastAsia="맑은 고딕" w:hint="eastAsia"/>
          <w:color w:val="000000"/>
        </w:rPr>
      </w:pPr>
      <w:r w:rsidRPr="003B7548">
        <w:rPr>
          <w:rFonts w:eastAsia="맑은 고딕"/>
          <w:color w:val="000000"/>
        </w:rPr>
        <w:t>Miyake</w:t>
      </w:r>
      <w:r>
        <w:rPr>
          <w:rFonts w:eastAsia="맑은 고딕" w:hint="eastAsia"/>
          <w:color w:val="000000"/>
        </w:rPr>
        <w:t xml:space="preserve"> et al. (2024) Solar and W</w:t>
      </w:r>
      <w:r>
        <w:rPr>
          <w:rFonts w:eastAsia="맑은 고딕"/>
          <w:color w:val="000000"/>
        </w:rPr>
        <w:t>i</w:t>
      </w:r>
      <w:r>
        <w:rPr>
          <w:rFonts w:eastAsia="맑은 고딕" w:hint="eastAsia"/>
          <w:color w:val="000000"/>
        </w:rPr>
        <w:t xml:space="preserve">nd energy potential ~ : </w:t>
      </w:r>
      <w:r>
        <w:rPr>
          <w:rFonts w:eastAsia="맑은 고딕" w:hint="eastAsia"/>
          <w:color w:val="000000"/>
        </w:rPr>
        <w:t>이</w:t>
      </w:r>
      <w:r>
        <w:rPr>
          <w:rFonts w:eastAsia="맑은 고딕" w:hint="eastAsia"/>
          <w:color w:val="000000"/>
        </w:rPr>
        <w:t xml:space="preserve"> </w:t>
      </w:r>
      <w:r>
        <w:rPr>
          <w:rFonts w:eastAsia="맑은 고딕" w:hint="eastAsia"/>
          <w:color w:val="000000"/>
        </w:rPr>
        <w:t>논문이</w:t>
      </w:r>
      <w:r>
        <w:rPr>
          <w:rFonts w:eastAsia="맑은 고딕" w:hint="eastAsia"/>
          <w:color w:val="000000"/>
        </w:rPr>
        <w:t xml:space="preserve"> potential </w:t>
      </w:r>
      <w:r>
        <w:rPr>
          <w:rFonts w:eastAsia="맑은 고딕" w:hint="eastAsia"/>
          <w:color w:val="000000"/>
        </w:rPr>
        <w:t>논문에</w:t>
      </w:r>
      <w:r>
        <w:rPr>
          <w:rFonts w:eastAsia="맑은 고딕" w:hint="eastAsia"/>
          <w:color w:val="000000"/>
        </w:rPr>
        <w:t xml:space="preserve"> </w:t>
      </w:r>
      <w:r>
        <w:rPr>
          <w:rFonts w:eastAsia="맑은 고딕" w:hint="eastAsia"/>
          <w:color w:val="000000"/>
        </w:rPr>
        <w:t>대한</w:t>
      </w:r>
      <w:r>
        <w:rPr>
          <w:rFonts w:eastAsia="맑은 고딕" w:hint="eastAsia"/>
          <w:color w:val="000000"/>
        </w:rPr>
        <w:t xml:space="preserve"> </w:t>
      </w:r>
      <w:r>
        <w:rPr>
          <w:rFonts w:eastAsia="맑은 고딕" w:hint="eastAsia"/>
          <w:color w:val="000000"/>
        </w:rPr>
        <w:t>선행연구</w:t>
      </w:r>
      <w:r>
        <w:rPr>
          <w:rFonts w:eastAsia="맑은 고딕" w:hint="eastAsia"/>
          <w:color w:val="000000"/>
        </w:rPr>
        <w:t xml:space="preserve"> </w:t>
      </w:r>
      <w:r>
        <w:rPr>
          <w:rFonts w:eastAsia="맑은 고딕" w:hint="eastAsia"/>
          <w:color w:val="000000"/>
        </w:rPr>
        <w:t>정리가</w:t>
      </w:r>
      <w:r>
        <w:rPr>
          <w:rFonts w:eastAsia="맑은 고딕" w:hint="eastAsia"/>
          <w:color w:val="000000"/>
        </w:rPr>
        <w:t xml:space="preserve"> </w:t>
      </w:r>
      <w:r>
        <w:rPr>
          <w:rFonts w:eastAsia="맑은 고딕" w:hint="eastAsia"/>
          <w:color w:val="000000"/>
        </w:rPr>
        <w:t>잘</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있음</w:t>
      </w:r>
      <w:r>
        <w:rPr>
          <w:rFonts w:eastAsia="맑은 고딕" w:hint="eastAsia"/>
          <w:color w:val="000000"/>
        </w:rPr>
        <w:t>.</w:t>
      </w:r>
    </w:p>
    <w:p w14:paraId="528ECDA4" w14:textId="77777777" w:rsidR="003B7548" w:rsidRDefault="003B7548" w:rsidP="00C253C3">
      <w:pPr>
        <w:ind w:firstLine="320"/>
        <w:rPr>
          <w:rFonts w:eastAsia="맑은 고딕"/>
          <w:color w:val="000000"/>
        </w:rPr>
      </w:pPr>
    </w:p>
    <w:p w14:paraId="3A0A9525" w14:textId="77777777" w:rsidR="003B7548" w:rsidRDefault="003B7548" w:rsidP="00C253C3">
      <w:pPr>
        <w:ind w:firstLine="320"/>
        <w:rPr>
          <w:rFonts w:eastAsia="맑은 고딕" w:hint="eastAsia"/>
          <w:color w:val="000000"/>
        </w:rPr>
      </w:pPr>
    </w:p>
    <w:p w14:paraId="00A610AE" w14:textId="514D95B2" w:rsidR="00D6052F" w:rsidRDefault="00D6052F" w:rsidP="00C253C3">
      <w:pPr>
        <w:ind w:firstLine="320"/>
        <w:rPr>
          <w:rFonts w:eastAsia="맑은 고딕"/>
          <w:color w:val="000000"/>
        </w:rPr>
      </w:pPr>
      <w:r>
        <w:rPr>
          <w:rFonts w:eastAsia="맑은 고딕" w:hint="eastAsia"/>
          <w:color w:val="000000"/>
        </w:rPr>
        <w:t>녹녹갈등</w:t>
      </w:r>
      <w:r>
        <w:rPr>
          <w:rFonts w:eastAsia="맑은 고딕" w:hint="eastAsia"/>
          <w:color w:val="000000"/>
        </w:rPr>
        <w:t>.</w:t>
      </w:r>
    </w:p>
    <w:p w14:paraId="2AA2F685" w14:textId="551F4676" w:rsidR="00D128F6" w:rsidRPr="00D128F6" w:rsidRDefault="00282562" w:rsidP="00C253C3">
      <w:pPr>
        <w:ind w:firstLine="320"/>
        <w:rPr>
          <w:rFonts w:eastAsia="맑은 고딕"/>
          <w:color w:val="000000"/>
        </w:rPr>
      </w:pPr>
      <w:r>
        <w:rPr>
          <w:rFonts w:eastAsia="맑은 고딕" w:hint="eastAsia"/>
          <w:color w:val="000000"/>
        </w:rPr>
        <w:t>김광구</w:t>
      </w:r>
      <w:r>
        <w:rPr>
          <w:rFonts w:eastAsia="맑은 고딕" w:hint="eastAsia"/>
          <w:color w:val="000000"/>
        </w:rPr>
        <w:t xml:space="preserve">, </w:t>
      </w:r>
      <w:r>
        <w:rPr>
          <w:rFonts w:eastAsia="맑은 고딕" w:hint="eastAsia"/>
          <w:color w:val="000000"/>
        </w:rPr>
        <w:t>김하정</w:t>
      </w:r>
      <w:r>
        <w:rPr>
          <w:rFonts w:eastAsia="맑은 고딕" w:hint="eastAsia"/>
          <w:color w:val="000000"/>
        </w:rPr>
        <w:t xml:space="preserve"> (2024) </w:t>
      </w:r>
      <w:r>
        <w:rPr>
          <w:rFonts w:eastAsia="맑은 고딕" w:hint="eastAsia"/>
          <w:color w:val="000000"/>
        </w:rPr>
        <w:t>해상풍력</w:t>
      </w:r>
      <w:r>
        <w:rPr>
          <w:rFonts w:eastAsia="맑은 고딕" w:hint="eastAsia"/>
          <w:color w:val="000000"/>
        </w:rPr>
        <w:t xml:space="preserve"> </w:t>
      </w:r>
      <w:r>
        <w:rPr>
          <w:rFonts w:eastAsia="맑은 고딕" w:hint="eastAsia"/>
          <w:color w:val="000000"/>
        </w:rPr>
        <w:t>발전사업</w:t>
      </w:r>
      <w:r>
        <w:rPr>
          <w:rFonts w:eastAsia="맑은 고딕" w:hint="eastAsia"/>
          <w:color w:val="000000"/>
        </w:rPr>
        <w:t xml:space="preserve"> </w:t>
      </w:r>
      <w:r>
        <w:rPr>
          <w:rFonts w:eastAsia="맑은 고딕" w:hint="eastAsia"/>
          <w:color w:val="000000"/>
        </w:rPr>
        <w:t>갈등</w:t>
      </w:r>
      <w:r>
        <w:rPr>
          <w:rFonts w:eastAsia="맑은 고딕" w:hint="eastAsia"/>
          <w:color w:val="000000"/>
        </w:rPr>
        <w:t xml:space="preserve"> </w:t>
      </w:r>
      <w:r>
        <w:rPr>
          <w:rFonts w:eastAsia="맑은 고딕" w:hint="eastAsia"/>
          <w:color w:val="000000"/>
        </w:rPr>
        <w:t>연구</w:t>
      </w:r>
      <w:r>
        <w:rPr>
          <w:rFonts w:eastAsia="맑은 고딕" w:hint="eastAsia"/>
          <w:color w:val="000000"/>
        </w:rPr>
        <w:t xml:space="preserve">: </w:t>
      </w:r>
      <w:r>
        <w:rPr>
          <w:rFonts w:eastAsia="맑은 고딕" w:hint="eastAsia"/>
          <w:color w:val="000000"/>
        </w:rPr>
        <w:t>인허가</w:t>
      </w:r>
      <w:r>
        <w:rPr>
          <w:rFonts w:eastAsia="맑은 고딕" w:hint="eastAsia"/>
          <w:color w:val="000000"/>
        </w:rPr>
        <w:t xml:space="preserve"> </w:t>
      </w:r>
      <w:r>
        <w:rPr>
          <w:rFonts w:eastAsia="맑은 고딕" w:hint="eastAsia"/>
          <w:color w:val="000000"/>
        </w:rPr>
        <w:t>절차를</w:t>
      </w:r>
      <w:r>
        <w:rPr>
          <w:rFonts w:eastAsia="맑은 고딕" w:hint="eastAsia"/>
          <w:color w:val="000000"/>
        </w:rPr>
        <w:t xml:space="preserve"> </w:t>
      </w:r>
      <w:r>
        <w:rPr>
          <w:rFonts w:eastAsia="맑은 고딕" w:hint="eastAsia"/>
          <w:color w:val="000000"/>
        </w:rPr>
        <w:t>중심으로</w:t>
      </w:r>
    </w:p>
    <w:p w14:paraId="299B7F93" w14:textId="77777777" w:rsidR="00105D3C" w:rsidRDefault="00105D3C" w:rsidP="00105D3C">
      <w:pPr>
        <w:ind w:firstLine="320"/>
        <w:rPr>
          <w:rFonts w:eastAsia="맑은 고딕"/>
        </w:rPr>
      </w:pPr>
    </w:p>
    <w:p w14:paraId="604631FE" w14:textId="1EFB4B35" w:rsidR="007577B1" w:rsidRDefault="000F1452" w:rsidP="00036D41">
      <w:pPr>
        <w:ind w:firstLine="320"/>
        <w:rPr>
          <w:rFonts w:eastAsia="맑은 고딕" w:hint="eastAsia"/>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3CD460BE" w14:textId="456D90E5" w:rsidR="00B81D47" w:rsidRDefault="00AD6C1A" w:rsidP="00AD6C1A">
      <w:pPr>
        <w:ind w:firstLine="320"/>
        <w:rPr>
          <w:rFonts w:eastAsia="맑은 고딕"/>
        </w:rPr>
      </w:pPr>
      <w:r w:rsidRPr="00AD6C1A">
        <w:rPr>
          <w:rFonts w:eastAsia="맑은 고딕"/>
        </w:rPr>
        <w:t xml:space="preserve">South Korea has three-tier local governance systems: Tier 1 (province-level or state-level) includes 8 provinces and 7 metropolitan cities, including Seoul. Tier 2 (county-level) includes 226 counties and cities affiliated with the Tier 1 governments, and 2 autonomous jurisdictions (Sejong city and Jeju Island) excluded from the analysis. Lastly, Tier 3 (town-level) governments are affiliated with the Tier 2 governments. The unit of analysis of this study is a county-level (Tier 2) government. I will generally refer to these tier 2 governments as “counties,” even though some county-level governments are titled “cities.” Ulleung county is also </w:t>
      </w:r>
      <w:r w:rsidRPr="00AD6C1A">
        <w:rPr>
          <w:rFonts w:eastAsia="맑은 고딕"/>
        </w:rPr>
        <w:t>excluded in the event history analysis to follow since it is an island and therefore cannot account for spatial frailties (N = 225).</w:t>
      </w:r>
    </w:p>
    <w:p w14:paraId="47F3A5DB" w14:textId="77777777" w:rsidR="00B81D47" w:rsidRDefault="00B81D47" w:rsidP="004653A0">
      <w:pPr>
        <w:ind w:firstLine="320"/>
        <w:rPr>
          <w:rFonts w:eastAsia="맑은 고딕"/>
        </w:rPr>
      </w:pPr>
    </w:p>
    <w:p w14:paraId="3B750F43" w14:textId="4991AD1D" w:rsidR="00B81D47" w:rsidRDefault="00B81D47" w:rsidP="004653A0">
      <w:pPr>
        <w:ind w:firstLine="320"/>
        <w:rPr>
          <w:rFonts w:eastAsia="맑은 고딕"/>
        </w:rPr>
      </w:pPr>
      <w:r>
        <w:rPr>
          <w:rFonts w:eastAsia="맑은 고딕" w:hint="eastAsia"/>
        </w:rPr>
        <w:t>우리나라는</w:t>
      </w:r>
      <w:r>
        <w:rPr>
          <w:rFonts w:eastAsia="맑은 고딕" w:hint="eastAsia"/>
        </w:rPr>
        <w:t xml:space="preserve"> </w:t>
      </w:r>
      <w:r>
        <w:rPr>
          <w:rFonts w:eastAsia="맑은 고딕" w:hint="eastAsia"/>
        </w:rPr>
        <w:t>다른</w:t>
      </w:r>
      <w:r>
        <w:rPr>
          <w:rFonts w:eastAsia="맑은 고딕" w:hint="eastAsia"/>
        </w:rPr>
        <w:t xml:space="preserve"> </w:t>
      </w:r>
      <w:r>
        <w:rPr>
          <w:rFonts w:eastAsia="맑은 고딕" w:hint="eastAsia"/>
        </w:rPr>
        <w:t>나라</w:t>
      </w:r>
      <w:r>
        <w:rPr>
          <w:rFonts w:eastAsia="맑은 고딕" w:hint="eastAsia"/>
        </w:rPr>
        <w:t xml:space="preserve"> </w:t>
      </w:r>
      <w:r>
        <w:rPr>
          <w:rFonts w:eastAsia="맑은 고딕" w:hint="eastAsia"/>
        </w:rPr>
        <w:t>대비</w:t>
      </w:r>
      <w:r>
        <w:rPr>
          <w:rFonts w:eastAsia="맑은 고딕" w:hint="eastAsia"/>
        </w:rPr>
        <w:t xml:space="preserve"> </w:t>
      </w:r>
      <w:r>
        <w:rPr>
          <w:rFonts w:eastAsia="맑은 고딕" w:hint="eastAsia"/>
        </w:rPr>
        <w:t>태양광의</w:t>
      </w:r>
      <w:r>
        <w:rPr>
          <w:rFonts w:eastAsia="맑은 고딕" w:hint="eastAsia"/>
        </w:rPr>
        <w:t xml:space="preserve"> </w:t>
      </w:r>
      <w:r>
        <w:rPr>
          <w:rFonts w:eastAsia="맑은 고딕" w:hint="eastAsia"/>
        </w:rPr>
        <w:t>비중이</w:t>
      </w:r>
      <w:r>
        <w:rPr>
          <w:rFonts w:eastAsia="맑은 고딕" w:hint="eastAsia"/>
        </w:rPr>
        <w:t xml:space="preserve"> </w:t>
      </w:r>
      <w:r>
        <w:rPr>
          <w:rFonts w:eastAsia="맑은 고딕" w:hint="eastAsia"/>
        </w:rPr>
        <w:t>높은</w:t>
      </w:r>
      <w:r>
        <w:rPr>
          <w:rFonts w:eastAsia="맑은 고딕" w:hint="eastAsia"/>
        </w:rPr>
        <w:t xml:space="preserve"> </w:t>
      </w:r>
      <w:r>
        <w:rPr>
          <w:rFonts w:eastAsia="맑은 고딕" w:hint="eastAsia"/>
        </w:rPr>
        <w:t>편</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대비</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발전량의</w:t>
      </w:r>
      <w:r>
        <w:rPr>
          <w:rFonts w:eastAsia="맑은 고딕" w:hint="eastAsia"/>
        </w:rPr>
        <w:t xml:space="preserve"> </w:t>
      </w:r>
      <w:r>
        <w:rPr>
          <w:rFonts w:eastAsia="맑은 고딕" w:hint="eastAsia"/>
        </w:rPr>
        <w:t>비중이</w:t>
      </w:r>
      <w:r>
        <w:rPr>
          <w:rFonts w:eastAsia="맑은 고딕" w:hint="eastAsia"/>
        </w:rPr>
        <w:t xml:space="preserve"> 62%</w:t>
      </w:r>
    </w:p>
    <w:p w14:paraId="6349CE88" w14:textId="692E9773"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53FAA7F9" w14:textId="77777777" w:rsidR="00B45C4C" w:rsidRDefault="00B45C4C" w:rsidP="004653A0">
      <w:pPr>
        <w:ind w:firstLine="320"/>
        <w:rPr>
          <w:rFonts w:eastAsia="맑은 고딕"/>
        </w:rPr>
      </w:pPr>
    </w:p>
    <w:p w14:paraId="08CA4690" w14:textId="02399EF2" w:rsidR="00B45C4C" w:rsidRDefault="00B45C4C" w:rsidP="004653A0">
      <w:pPr>
        <w:ind w:firstLine="320"/>
        <w:rPr>
          <w:rFonts w:eastAsia="맑은 고딕"/>
        </w:rPr>
      </w:pPr>
      <w:r>
        <w:rPr>
          <w:rFonts w:eastAsia="맑은 고딕" w:hint="eastAsia"/>
        </w:rPr>
        <w:t>한국은</w:t>
      </w:r>
      <w:r>
        <w:rPr>
          <w:rFonts w:eastAsia="맑은 고딕" w:hint="eastAsia"/>
        </w:rPr>
        <w:t xml:space="preserve"> </w:t>
      </w:r>
      <w:r>
        <w:rPr>
          <w:rFonts w:eastAsia="맑은 고딕" w:hint="eastAsia"/>
        </w:rPr>
        <w:t>왜</w:t>
      </w:r>
      <w:r>
        <w:rPr>
          <w:rFonts w:eastAsia="맑은 고딕" w:hint="eastAsia"/>
        </w:rPr>
        <w:t xml:space="preserve"> </w:t>
      </w:r>
      <w:r>
        <w:rPr>
          <w:rFonts w:eastAsia="맑은 고딕" w:hint="eastAsia"/>
        </w:rPr>
        <w:t>풍력을</w:t>
      </w:r>
      <w:r>
        <w:rPr>
          <w:rFonts w:eastAsia="맑은 고딕" w:hint="eastAsia"/>
        </w:rPr>
        <w:t xml:space="preserve"> </w:t>
      </w:r>
      <w:r>
        <w:rPr>
          <w:rFonts w:eastAsia="맑은 고딕" w:hint="eastAsia"/>
        </w:rPr>
        <w:t>못하나</w:t>
      </w:r>
      <w:r>
        <w:rPr>
          <w:rFonts w:eastAsia="맑은 고딕" w:hint="eastAsia"/>
        </w:rPr>
        <w:t>?</w:t>
      </w:r>
    </w:p>
    <w:p w14:paraId="237A4DF1" w14:textId="73347BC8" w:rsidR="00B45C4C" w:rsidRPr="00B45C4C" w:rsidRDefault="00B45C4C" w:rsidP="00B45C4C">
      <w:pPr>
        <w:ind w:firstLine="320"/>
        <w:rPr>
          <w:rFonts w:eastAsia="맑은 고딕"/>
        </w:rPr>
      </w:pPr>
      <w:r>
        <w:rPr>
          <w:rFonts w:eastAsia="맑은 고딕" w:hint="eastAsia"/>
        </w:rPr>
        <w:t>해상풍력</w:t>
      </w:r>
      <w:r>
        <w:rPr>
          <w:rFonts w:eastAsia="맑은 고딕" w:hint="eastAsia"/>
        </w:rPr>
        <w:t xml:space="preserve">: </w:t>
      </w:r>
      <w:hyperlink r:id="rId17" w:history="1">
        <w:r w:rsidRPr="000C5480">
          <w:rPr>
            <w:rStyle w:val="aa"/>
            <w:rFonts w:eastAsia="맑은 고딕"/>
          </w:rPr>
          <w:t>https://news.kbs.co.kr/news/pc/view/view.do?ncd=7956867</w:t>
        </w:r>
      </w:hyperlink>
    </w:p>
    <w:p w14:paraId="05AA60E9" w14:textId="3ECDAB61" w:rsidR="00B45C4C" w:rsidRPr="00B45C4C" w:rsidRDefault="00000000" w:rsidP="004653A0">
      <w:pPr>
        <w:ind w:firstLine="320"/>
        <w:rPr>
          <w:rFonts w:eastAsia="맑은 고딕"/>
        </w:rPr>
      </w:pPr>
      <w:hyperlink r:id="rId18" w:history="1">
        <w:r w:rsidR="00B45C4C" w:rsidRPr="000C5480">
          <w:rPr>
            <w:rStyle w:val="aa"/>
            <w:rFonts w:eastAsia="맑은 고딕"/>
          </w:rPr>
          <w:t>https://tbs.seoul.kr/news/newsView.do?typ_800=2&amp;idx_800=3506163&amp;seq_800=20498842</w:t>
        </w:r>
      </w:hyperlink>
      <w:r w:rsidR="00B45C4C">
        <w:rPr>
          <w:rFonts w:eastAsia="맑은 고딕" w:hint="eastAsia"/>
        </w:rPr>
        <w:t xml:space="preserve"> </w:t>
      </w:r>
    </w:p>
    <w:p w14:paraId="4FE8B3E9" w14:textId="77777777" w:rsidR="00B45C4C" w:rsidRDefault="00B45C4C" w:rsidP="004653A0">
      <w:pPr>
        <w:ind w:firstLine="320"/>
        <w:rPr>
          <w:rFonts w:eastAsia="맑은 고딕"/>
        </w:rPr>
      </w:pPr>
    </w:p>
    <w:p w14:paraId="2ACEB5D0" w14:textId="77777777" w:rsidR="00B45C4C" w:rsidRDefault="00B45C4C" w:rsidP="004653A0">
      <w:pPr>
        <w:ind w:firstLine="320"/>
        <w:rPr>
          <w:rFonts w:eastAsia="맑은 고딕"/>
        </w:rPr>
      </w:pPr>
    </w:p>
    <w:p w14:paraId="447A9DF6" w14:textId="08335569" w:rsidR="00B45C4C" w:rsidRDefault="00577DE0" w:rsidP="004653A0">
      <w:pPr>
        <w:ind w:firstLine="320"/>
        <w:rPr>
          <w:rFonts w:eastAsia="맑은 고딕"/>
        </w:rPr>
      </w:pPr>
      <w:r>
        <w:rPr>
          <w:rFonts w:eastAsia="맑은 고딕" w:hint="eastAsia"/>
        </w:rPr>
        <w:t>지열</w:t>
      </w:r>
      <w:r>
        <w:rPr>
          <w:rFonts w:eastAsia="맑은 고딕" w:hint="eastAsia"/>
        </w:rPr>
        <w:t>:</w:t>
      </w:r>
    </w:p>
    <w:p w14:paraId="6C8086C3" w14:textId="2CCACDD9" w:rsidR="00577DE0" w:rsidRPr="00577DE0" w:rsidRDefault="00000000" w:rsidP="004653A0">
      <w:pPr>
        <w:ind w:firstLine="320"/>
        <w:rPr>
          <w:rFonts w:eastAsia="맑은 고딕"/>
        </w:rPr>
      </w:pPr>
      <w:hyperlink r:id="rId19" w:history="1">
        <w:r w:rsidR="00577DE0" w:rsidRPr="000C5480">
          <w:rPr>
            <w:rStyle w:val="aa"/>
            <w:rFonts w:eastAsia="맑은 고딕"/>
          </w:rPr>
          <w:t>https://www.kharn.kr/news/article.html?no=23099</w:t>
        </w:r>
      </w:hyperlink>
      <w:r w:rsidR="00577DE0">
        <w:rPr>
          <w:rFonts w:eastAsia="맑은 고딕" w:hint="eastAsia"/>
        </w:rPr>
        <w:t xml:space="preserve"> </w:t>
      </w:r>
    </w:p>
    <w:p w14:paraId="4C738C4B" w14:textId="77777777" w:rsidR="00B45C4C" w:rsidRDefault="00B45C4C" w:rsidP="004653A0">
      <w:pPr>
        <w:ind w:firstLine="320"/>
        <w:rPr>
          <w:rFonts w:eastAsia="맑은 고딕"/>
        </w:rPr>
      </w:pPr>
    </w:p>
    <w:p w14:paraId="5066381E" w14:textId="77777777" w:rsidR="00B45C4C" w:rsidRDefault="00B45C4C"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20"/>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19437CC9"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E14oCTMjB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F10C43" w:rsidRPr="00F10C43">
            <w:rPr>
              <w:rFonts w:eastAsia="맑은 고딕"/>
              <w:color w:val="000000"/>
            </w:rPr>
            <w:t>[15–20]</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67EE84B4"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IxLDI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F10C43" w:rsidRPr="00F10C43">
            <w:rPr>
              <w:rFonts w:eastAsia="맑은 고딕"/>
              <w:color w:val="000000"/>
            </w:rPr>
            <w:t>[21,22]</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2206E36D"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E1LDIzLDI0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F10C43" w:rsidRPr="00F10C43">
            <w:rPr>
              <w:rFonts w:eastAsia="맑은 고딕"/>
              <w:color w:val="000000"/>
            </w:rPr>
            <w:t>[15,23,24]</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254A70E7"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I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F10C43" w:rsidRPr="00F10C43">
            <w:rPr>
              <w:rFonts w:eastAsia="맑은 고딕"/>
              <w:color w:val="000000"/>
            </w:rPr>
            <w:t>[25]</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I2LDI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F10C43" w:rsidRPr="00F10C43">
            <w:rPr>
              <w:rFonts w:eastAsia="맑은 고딕"/>
              <w:color w:val="000000"/>
            </w:rPr>
            <w:t>[26,27]</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I24oCTMj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F10C43" w:rsidRPr="00F10C43">
            <w:rPr>
              <w:rFonts w:eastAsia="맑은 고딕"/>
              <w:color w:val="000000"/>
            </w:rPr>
            <w:t>[26–28]</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I54oCTMz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F10C43" w:rsidRPr="00F10C43">
            <w:rPr>
              <w:rFonts w:eastAsia="맑은 고딕"/>
              <w:color w:val="000000"/>
            </w:rPr>
            <w:t>[29–31]</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22"/>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Elkadeem et al. (2022) :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3"/>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4"/>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5"/>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6"/>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7"/>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579133A7" w14:textId="77777777" w:rsidR="00F10C43" w:rsidRDefault="00F10C43">
          <w:pPr>
            <w:widowControl/>
            <w:wordWrap/>
            <w:ind w:firstLine="260"/>
            <w:divId w:val="1765416147"/>
            <w:rPr>
              <w:kern w:val="0"/>
              <w:sz w:val="24"/>
              <w:szCs w:val="24"/>
            </w:rPr>
          </w:pPr>
          <w:r>
            <w:t>[1]</w:t>
          </w:r>
          <w:r>
            <w:tab/>
            <w:t xml:space="preserve">Crippa M, Guizzardi M, Pagani F, Banja M, Muntean M, Schaaf E, et al. GHG emissions of all </w:t>
          </w:r>
          <w:r>
            <w:t>world countries. European Union; 2023. https://doi.org/10.2760/235266.</w:t>
          </w:r>
        </w:p>
        <w:p w14:paraId="78776841" w14:textId="77777777" w:rsidR="00F10C43" w:rsidRDefault="00F10C43">
          <w:pPr>
            <w:ind w:firstLine="320"/>
            <w:divId w:val="1807359590"/>
          </w:pPr>
          <w:r>
            <w:t>[2]</w:t>
          </w:r>
          <w:r>
            <w:tab/>
            <w:t>The Government of the Republic of Korea. The Republic of Korea’s enhanced update of its first NDC. 2021.</w:t>
          </w:r>
        </w:p>
        <w:p w14:paraId="17E7769C" w14:textId="77777777" w:rsidR="00F10C43" w:rsidRDefault="00F10C43">
          <w:pPr>
            <w:ind w:firstLine="320"/>
            <w:divId w:val="470950140"/>
          </w:pPr>
          <w:r>
            <w:t>[3]</w:t>
          </w:r>
          <w:r>
            <w:tab/>
            <w:t>The Government of the Republic of Korea. 2050 carbon neutral strategy of the Republic of Korea. 2020.</w:t>
          </w:r>
        </w:p>
        <w:p w14:paraId="25BDEEDA" w14:textId="77777777" w:rsidR="00F10C43" w:rsidRDefault="00F10C43">
          <w:pPr>
            <w:ind w:firstLine="320"/>
            <w:divId w:val="2026782579"/>
          </w:pPr>
          <w:r>
            <w:t>[4]</w:t>
          </w:r>
          <w:r>
            <w:tab/>
            <w:t>IRENA. Renewable energy statistics 2023. International Renewable Energy Agency; 2023.</w:t>
          </w:r>
        </w:p>
        <w:p w14:paraId="0280F32C" w14:textId="77777777" w:rsidR="00F10C43" w:rsidRDefault="00F10C43">
          <w:pPr>
            <w:ind w:firstLine="320"/>
            <w:divId w:val="1130900210"/>
          </w:pPr>
          <w:r>
            <w:t>[5]</w:t>
          </w:r>
          <w:r>
            <w:tab/>
            <w:t>The Government of the Republic of Korea. The 10th basic plan for electricity supply and demand. 2023.</w:t>
          </w:r>
        </w:p>
        <w:p w14:paraId="27FD8786" w14:textId="77777777" w:rsidR="00F10C43" w:rsidRDefault="00F10C43">
          <w:pPr>
            <w:ind w:firstLine="320"/>
            <w:divId w:val="1982271683"/>
          </w:pPr>
          <w:r>
            <w:t>[6]</w:t>
          </w:r>
          <w:r>
            <w:tab/>
            <w:t>KEA. New &amp; Renewable Energy Statistics 2022. 2023.</w:t>
          </w:r>
        </w:p>
        <w:p w14:paraId="4444DD6C" w14:textId="77777777" w:rsidR="00F10C43" w:rsidRDefault="00F10C43">
          <w:pPr>
            <w:ind w:firstLine="320"/>
            <w:divId w:val="2039235626"/>
          </w:pPr>
          <w:r>
            <w:t>[7]</w:t>
          </w:r>
          <w:r>
            <w:tab/>
            <w:t>Papież M, Śmiech S, Frodyma K. Determinants of renewable energy development in the EU countries. A 20-year perspective. Renewable and Sustainable Energy Reviews 2018;91:918–34. https://doi.org/10.1016/j.rser.2018.04.075.</w:t>
          </w:r>
        </w:p>
        <w:p w14:paraId="20EF5C7E" w14:textId="77777777" w:rsidR="00F10C43" w:rsidRDefault="00F10C43">
          <w:pPr>
            <w:ind w:firstLine="320"/>
            <w:divId w:val="839082606"/>
          </w:pPr>
          <w:r>
            <w:t>[8]</w:t>
          </w:r>
          <w:r>
            <w:tab/>
            <w:t>Abdmouleh Z, Alammari RAM, Gastli A. Review of policies encouraging renewable energy integration &amp; best practices. Renewable and Sustainable Energy Reviews 2015;45:249–62. https://doi.org/10.1016/j.rser.2015.01.035.</w:t>
          </w:r>
        </w:p>
        <w:p w14:paraId="19BC029A" w14:textId="77777777" w:rsidR="00F10C43" w:rsidRDefault="00F10C43">
          <w:pPr>
            <w:ind w:firstLine="320"/>
            <w:divId w:val="1370567560"/>
          </w:pPr>
          <w:r>
            <w:t>[9]</w:t>
          </w:r>
          <w:r>
            <w:tab/>
            <w:t xml:space="preserve">Thapar S, Sharma S, Verma A. Economic and environmental effectiveness of renewable energy policy instruments: Best practices from India. Renewable </w:t>
          </w:r>
          <w:r>
            <w:lastRenderedPageBreak/>
            <w:t>and Sustainable Energy Reviews 2016;66:487–98. https://doi.org/10.1016/j.rser.2016.08.025.</w:t>
          </w:r>
        </w:p>
        <w:p w14:paraId="5CBC8398" w14:textId="77777777" w:rsidR="00F10C43" w:rsidRDefault="00F10C43">
          <w:pPr>
            <w:ind w:firstLine="320"/>
            <w:divId w:val="1381904406"/>
          </w:pPr>
          <w:r>
            <w:t>[10]</w:t>
          </w:r>
          <w:r>
            <w:tab/>
            <w:t>Vasconcelos RM de, Silva LLC, González MOA, Santiso AM, de Melo DC. Environmental licensing for offshore wind farms: Guidelines and policy implications for new markets. Energy Policy 2022;171. https://doi.org/10.1016/j.enpol.2022.113248.</w:t>
          </w:r>
        </w:p>
        <w:p w14:paraId="47113A28" w14:textId="77777777" w:rsidR="00F10C43" w:rsidRDefault="00F10C43">
          <w:pPr>
            <w:ind w:firstLine="320"/>
            <w:divId w:val="1462764455"/>
          </w:pPr>
          <w:r>
            <w:t>[11]</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7AF0E57F" w14:textId="77777777" w:rsidR="00F10C43" w:rsidRDefault="00F10C43">
          <w:pPr>
            <w:ind w:firstLine="320"/>
            <w:divId w:val="308751807"/>
          </w:pPr>
          <w:r>
            <w:t>[12]</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06A13898" w14:textId="77777777" w:rsidR="00F10C43" w:rsidRDefault="00F10C43">
          <w:pPr>
            <w:ind w:firstLine="320"/>
            <w:divId w:val="133643107"/>
          </w:pPr>
          <w:r>
            <w:t>[13]</w:t>
          </w:r>
          <w:r>
            <w:tab/>
            <w:t>Hoffmann AS, Carvalho GH de, Cardoso RAF. Environmental licensing challenges for the implementation of photovoltaic solar energy projects in Brazil. Energy Policy 2019;132:1143–54. https://doi.org/10.1016/j.enpol.2019.07.002.</w:t>
          </w:r>
        </w:p>
        <w:p w14:paraId="7204D1A5" w14:textId="77777777" w:rsidR="00F10C43" w:rsidRDefault="00F10C43">
          <w:pPr>
            <w:ind w:firstLine="320"/>
            <w:divId w:val="2061439331"/>
          </w:pPr>
          <w:r>
            <w:t>[14]</w:t>
          </w:r>
          <w:r>
            <w:tab/>
            <w:t>Snyder B, Kaiser MJ. Offshore wind power in the US: Regulatory issues and models for regulation. Energy Policy 2009;37:4442–53. https://doi.org/10.1016/j.enpol.2009.05.064.</w:t>
          </w:r>
        </w:p>
        <w:p w14:paraId="3DEB8A26" w14:textId="77777777" w:rsidR="00F10C43" w:rsidRDefault="00F10C43">
          <w:pPr>
            <w:ind w:firstLine="320"/>
            <w:divId w:val="876820823"/>
          </w:pPr>
          <w:r>
            <w:t>[15]</w:t>
          </w:r>
          <w:r>
            <w:tab/>
            <w:t>Martín-Chivelet N. Photovoltaic potential and land-use estimation methodology. Energy 2016;94:233–42. https://doi.org/10.1016/j.energy.2015.10.108.</w:t>
          </w:r>
        </w:p>
        <w:p w14:paraId="101F9A2A" w14:textId="77777777" w:rsidR="00F10C43" w:rsidRDefault="00F10C43">
          <w:pPr>
            <w:ind w:firstLine="320"/>
            <w:divId w:val="965430499"/>
          </w:pPr>
          <w:r>
            <w:t>[16]</w:t>
          </w:r>
          <w:r>
            <w:tab/>
            <w:t>Wang P, Yu P, Huang L, Zhang Y. An integrated technical, economic, and environmental framework for evaluating the rooftop photovoltaic potential of old residential buildings. J Environ Manage 2022;317. https://doi.org/10.1016/j.jenvman.2022.115296.</w:t>
          </w:r>
        </w:p>
        <w:p w14:paraId="276A063D" w14:textId="77777777" w:rsidR="00F10C43" w:rsidRDefault="00F10C43">
          <w:pPr>
            <w:ind w:firstLine="320"/>
            <w:divId w:val="187108577"/>
          </w:pPr>
          <w:r>
            <w:t>[17]</w:t>
          </w:r>
          <w:r>
            <w:tab/>
            <w:t>Martín-Chivelet N. Photovoltaic potential and land-use estimation methodology. Energy 2016;94:233–42. https://doi.org/10.1016/j.energy.2015.10.108.</w:t>
          </w:r>
        </w:p>
        <w:p w14:paraId="297E28DB" w14:textId="77777777" w:rsidR="00F10C43" w:rsidRDefault="00F10C43">
          <w:pPr>
            <w:ind w:firstLine="320"/>
            <w:divId w:val="1438285102"/>
          </w:pPr>
          <w:r>
            <w:t>[18]</w:t>
          </w:r>
          <w:r>
            <w:tab/>
            <w:t>Yang Q, Huang T, Wang S, Li J, Dai S, Wright S, et al. A GIS-based high spatial resolution assessment of large-scale PV generation potential in China. Appl Energy 2019;247:254–69. https://doi.org/10.1016/j.apenergy.2019.04.005.</w:t>
          </w:r>
        </w:p>
        <w:p w14:paraId="67F2131A" w14:textId="77777777" w:rsidR="00F10C43" w:rsidRDefault="00F10C43">
          <w:pPr>
            <w:ind w:firstLine="320"/>
            <w:divId w:val="740760855"/>
          </w:pPr>
          <w:r>
            <w:t>[19]</w:t>
          </w:r>
          <w:r>
            <w:tab/>
            <w:t>Bennett C, Blanchet J, Trowell K, Bergthorson J. Decarbonizing Canada’s energy supply and exports with solar PV and e-fuels. Renew Energy 2023;217. https://doi.org/10.1016/j.renene.2023.119178.</w:t>
          </w:r>
        </w:p>
        <w:p w14:paraId="4CD3B977" w14:textId="77777777" w:rsidR="00F10C43" w:rsidRDefault="00F10C43">
          <w:pPr>
            <w:ind w:firstLine="320"/>
            <w:divId w:val="419715283"/>
          </w:pPr>
          <w:r>
            <w:t>[20]</w:t>
          </w:r>
          <w:r>
            <w:tab/>
            <w:t>Wang P, Zhang S, Pu Y, Cao S, Zhang Y. Estimation of photovoltaic power generation potential in 2020 and 2030 using land resource changes: An empirical study from China. Energy 2021;219. https://doi.org/10.1016/j.energy.2020.119611.</w:t>
          </w:r>
        </w:p>
        <w:p w14:paraId="717EEF15" w14:textId="77777777" w:rsidR="00F10C43" w:rsidRDefault="00F10C43">
          <w:pPr>
            <w:ind w:firstLine="320"/>
            <w:divId w:val="1376078794"/>
          </w:pPr>
          <w:r>
            <w:t>[21]</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2DA6E534" w14:textId="77777777" w:rsidR="00F10C43" w:rsidRDefault="00F10C43">
          <w:pPr>
            <w:ind w:firstLine="320"/>
            <w:divId w:val="684598958"/>
          </w:pPr>
          <w:r>
            <w:t>[22]</w:t>
          </w:r>
          <w:r>
            <w:tab/>
            <w:t>Mussard M, Amara M. Performance of solar photovoltaic modules under arid climatic conditions: A review. Solar Energy 2018;174:409–21. https://doi.org/10.1016/j.solener.2018.08.071.</w:t>
          </w:r>
        </w:p>
        <w:p w14:paraId="76B3B702" w14:textId="77777777" w:rsidR="00F10C43" w:rsidRDefault="00F10C43">
          <w:pPr>
            <w:ind w:firstLine="320"/>
            <w:divId w:val="2071532757"/>
          </w:pPr>
          <w:r>
            <w:t>[23]</w:t>
          </w:r>
          <w:r>
            <w:tab/>
            <w:t xml:space="preserve">Dhunny AZ, Doorga JRS, Allam Z, Lollchund MR, Boojhawon R. Identification of optimal </w:t>
          </w:r>
          <w:r>
            <w:t>wind, solar and hybrid wind-solar farming sites using fuzzy logic modelling. Energy 2019;188. https://doi.org/10.1016/j.energy.2019.116056.</w:t>
          </w:r>
        </w:p>
        <w:p w14:paraId="6780ADA0" w14:textId="77777777" w:rsidR="00F10C43" w:rsidRDefault="00F10C43">
          <w:pPr>
            <w:ind w:firstLine="320"/>
            <w:divId w:val="1837572015"/>
          </w:pPr>
          <w:r>
            <w:t>[24]</w:t>
          </w:r>
          <w:r>
            <w:tab/>
            <w:t>Saraswat SK, Digalwar AK, Yadav SS, Kumar G. MCDM and GIS based modelling technique for assessment of solar and wind farm locations in India. Renew Energy 2021;169:865–84. https://doi.org/10.1016/j.renene.2021.01.056.</w:t>
          </w:r>
        </w:p>
        <w:p w14:paraId="4E91D487" w14:textId="77777777" w:rsidR="00F10C43" w:rsidRDefault="00F10C43">
          <w:pPr>
            <w:ind w:firstLine="320"/>
            <w:divId w:val="147015619"/>
          </w:pPr>
          <w:r>
            <w:t>[25]</w:t>
          </w:r>
          <w:r>
            <w:tab/>
            <w:t>D’Agostino D, Parker D, Melià P, Dotelli G. Optimizing photovoltaic electric generation and roof insulation in existing residential buildings. Energy Build 2022;255. https://doi.org/10.1016/j.enbuild.2021.111652.</w:t>
          </w:r>
        </w:p>
        <w:p w14:paraId="4B930D1E" w14:textId="77777777" w:rsidR="00F10C43" w:rsidRDefault="00F10C43">
          <w:pPr>
            <w:ind w:firstLine="320"/>
            <w:divId w:val="1597591260"/>
          </w:pPr>
          <w:r>
            <w:t>[26]</w:t>
          </w:r>
          <w:r>
            <w:tab/>
            <w:t>Vyas M, Chowdhury S, Verma A, Jain VK. Solar Photovoltaic Tree: Urban PV power plants to increase power to land occupancy ratio. Renew Energy 2022;190:283–93. https://doi.org/10.1016/j.renene.2022.03.129.</w:t>
          </w:r>
        </w:p>
        <w:p w14:paraId="636B1C13" w14:textId="77777777" w:rsidR="00F10C43" w:rsidRDefault="00F10C43">
          <w:pPr>
            <w:ind w:firstLine="320"/>
            <w:divId w:val="1981184937"/>
          </w:pPr>
          <w:r>
            <w:t>[27]</w:t>
          </w:r>
          <w:r>
            <w:tab/>
            <w:t>Almadhhachi M, Seres I, Farkas I. Sunflower solar tree vs. flat PV module: A comprehensive analysis of performance, efficiency, and land savings in urban solar integration. Results in Engineering 2024;21. https://doi.org/10.1016/j.rineng.2023.101742.</w:t>
          </w:r>
        </w:p>
        <w:p w14:paraId="1F20FF7D" w14:textId="77777777" w:rsidR="00F10C43" w:rsidRDefault="00F10C43">
          <w:pPr>
            <w:ind w:firstLine="320"/>
            <w:divId w:val="1471634707"/>
          </w:pPr>
          <w:r>
            <w:t>[28]</w:t>
          </w:r>
          <w:r>
            <w:tab/>
            <w:t>Ibrahim MM, Ashor K. NEW generation of solar energy: Investigation and implementation of artificial solar tree application in Egypt. Solar Energy 2024;278. https://doi.org/10.1016/j.solener.2024.112787.</w:t>
          </w:r>
        </w:p>
        <w:p w14:paraId="4FF6182E" w14:textId="77777777" w:rsidR="00F10C43" w:rsidRDefault="00F10C43">
          <w:pPr>
            <w:ind w:firstLine="320"/>
            <w:divId w:val="20669001"/>
          </w:pPr>
          <w:r>
            <w:t>[29]</w:t>
          </w:r>
          <w:r>
            <w:tab/>
            <w:t>Anusuya K, Vijayakumar K, Leenus Jesu Martin M, Manikandan S. Agrophotovoltaics: enhancing solar land use efficiency for energy food water nexus. Renewable Energy Focus 2024;50. https://doi.org/10.1016/j.ref.2024.100600.</w:t>
          </w:r>
        </w:p>
        <w:p w14:paraId="2F0A7846" w14:textId="77777777" w:rsidR="00F10C43" w:rsidRDefault="00F10C43">
          <w:pPr>
            <w:ind w:firstLine="320"/>
            <w:divId w:val="2107573328"/>
          </w:pPr>
          <w:r>
            <w:t>[30]</w:t>
          </w:r>
          <w:r>
            <w:tab/>
            <w:t>Safat Dipta S, Schoenlaub J, Habibur Rahaman M, Uddin A. Estimating the potential for semitransparent organic solar cells in agrophotovoltaic greenhouses. Appl Energy 2022;328. https://doi.org/10.1016/j.apenergy.2022.120208.</w:t>
          </w:r>
        </w:p>
        <w:p w14:paraId="3FB4EDEC" w14:textId="77777777" w:rsidR="00F10C43" w:rsidRDefault="00F10C43">
          <w:pPr>
            <w:ind w:firstLine="320"/>
            <w:divId w:val="659309904"/>
          </w:pPr>
          <w:r>
            <w:t>[31]</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1B183E12" w:rsidR="006723D7" w:rsidRPr="00D76B1C" w:rsidRDefault="00F10C4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27C79" w14:textId="77777777" w:rsidR="00C27986" w:rsidRDefault="00C27986" w:rsidP="00D05499">
      <w:pPr>
        <w:spacing w:after="360"/>
        <w:ind w:firstLine="320"/>
      </w:pPr>
      <w:r>
        <w:separator/>
      </w:r>
    </w:p>
  </w:endnote>
  <w:endnote w:type="continuationSeparator" w:id="0">
    <w:p w14:paraId="10B3789D" w14:textId="77777777" w:rsidR="00C27986" w:rsidRDefault="00C27986" w:rsidP="00D05499">
      <w:pPr>
        <w:spacing w:after="360"/>
        <w:ind w:firstLine="320"/>
      </w:pPr>
      <w:r>
        <w:continuationSeparator/>
      </w:r>
    </w:p>
  </w:endnote>
  <w:endnote w:type="continuationNotice" w:id="1">
    <w:p w14:paraId="7D46F32C" w14:textId="77777777" w:rsidR="00C27986" w:rsidRDefault="00C27986"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B5721" w14:textId="77777777" w:rsidR="00C27986" w:rsidRPr="0093799D" w:rsidRDefault="00C27986" w:rsidP="0093799D">
      <w:pPr>
        <w:pStyle w:val="ad"/>
        <w:ind w:firstLine="320"/>
      </w:pPr>
      <w:r>
        <w:separator/>
      </w:r>
    </w:p>
  </w:footnote>
  <w:footnote w:type="continuationSeparator" w:id="0">
    <w:p w14:paraId="33737F71" w14:textId="77777777" w:rsidR="00C27986" w:rsidRDefault="00C27986" w:rsidP="00D05499">
      <w:pPr>
        <w:spacing w:after="360"/>
        <w:ind w:firstLine="320"/>
      </w:pPr>
      <w:r>
        <w:continuationSeparator/>
      </w:r>
    </w:p>
  </w:footnote>
  <w:footnote w:type="continuationNotice" w:id="1">
    <w:p w14:paraId="4C72D7E1" w14:textId="77777777" w:rsidR="00C27986" w:rsidRDefault="00C27986"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C4"/>
    <w:rsid w:val="00A937EE"/>
    <w:rsid w:val="00A93972"/>
    <w:rsid w:val="00A93A5E"/>
    <w:rsid w:val="00A93B65"/>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3E6D"/>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2F"/>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tbs.seoul.kr/news/newsView.do?typ_800=2&amp;idx_800=3506163&amp;seq_800=20498842"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news.kbs.co.kr/news/pc/view/view.do?ncd=7956867"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kharn.kr/news/article.html?no=230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A0682"/>
    <w:rsid w:val="002C15B7"/>
    <w:rsid w:val="00387E40"/>
    <w:rsid w:val="00393A34"/>
    <w:rsid w:val="00453CC4"/>
    <w:rsid w:val="004B7DC2"/>
    <w:rsid w:val="004F0585"/>
    <w:rsid w:val="00645A35"/>
    <w:rsid w:val="0069393B"/>
    <w:rsid w:val="006D7A3E"/>
    <w:rsid w:val="00725E32"/>
    <w:rsid w:val="007A08E5"/>
    <w:rsid w:val="00906DAE"/>
    <w:rsid w:val="00967385"/>
    <w:rsid w:val="009D695D"/>
    <w:rsid w:val="009F155E"/>
    <w:rsid w:val="00A123A5"/>
    <w:rsid w:val="00AA7D9B"/>
    <w:rsid w:val="00AB12F9"/>
    <w:rsid w:val="00AB19B6"/>
    <w:rsid w:val="00AE082B"/>
    <w:rsid w:val="00AE0BCE"/>
    <w:rsid w:val="00B52D92"/>
    <w:rsid w:val="00B63B5B"/>
    <w:rsid w:val="00BB2828"/>
    <w:rsid w:val="00BB3E6D"/>
    <w:rsid w:val="00C764D5"/>
    <w:rsid w:val="00C84BAF"/>
    <w:rsid w:val="00CA2A8B"/>
    <w:rsid w:val="00CA3F0D"/>
    <w:rsid w:val="00CE4FD6"/>
    <w:rsid w:val="00D56A10"/>
    <w:rsid w:val="00DB1268"/>
    <w:rsid w:val="00DC7992"/>
    <w:rsid w:val="00DD4581"/>
    <w:rsid w:val="00DE7516"/>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06DAE"/>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D&quot;:&quot;MENDELEY_CITATION_f997645e-87ee-4d49-9980-3c6604511867&quot;,&quot;properties&quot;:{&quot;noteIndex&quot;:0},&quot;isEdited&quot;:false,&quot;manualOverride&quot;:{&quot;isManuallyOverridden&quot;:false,&quot;citeprocText&quot;:&quot;[5]&quot;,&quot;manualOverrideText&quot;:&quot;&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D&quot;:&quot;MENDELEY_CITATION_3a945a99-778c-4276-b7e2-89c8539d3f25&quot;,&quot;properties&quot;:{&quot;noteIndex&quot;:0},&quot;isEdited&quot;:false,&quot;manualOverride&quot;:{&quot;isManuallyOverridden&quot;:false,&quot;citeprocText&quot;:&quot;[6]&quot;,&quot;manualOverrideText&quot;:&quot;&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isTemporary&quot;:false}],&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X0sImlzVGVtcG9yYXJ5IjpmYWxzZX1dfQ==&quot;},{&quot;citationID&quot;:&quot;MENDELEY_CITATION_7b07f78c-e291-4a83-bc49-ab6805f1521a&quot;,&quot;properties&quot;:{&quot;noteIndex&quot;:0},&quot;isEdited&quot;:false,&quot;manualOverride&quot;:{&quot;isManuallyOverridden&quot;:false,&quot;citeprocText&quot;:&quot;[7]&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isTemporary&quot;:false}]},{&quot;citationID&quot;:&quot;MENDELEY_CITATION_f91845f7-1008-483c-a3f4-3feb5d1967ae&quot;,&quot;properties&quot;:{&quot;noteIndex&quot;:0},&quot;isEdited&quot;:false,&quot;manualOverride&quot;:{&quot;isManuallyOverridden&quot;:false,&quot;citeprocText&quot;:&quot;[8,9]&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0–14]&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87194041-703a-4c3a-ad3c-061ae812420d&quot;,&quot;properties&quot;:{&quot;noteIndex&quot;:0},&quot;isEdited&quot;:false,&quot;manualOverride&quot;:{&quot;isManuallyOverridden&quot;:false,&quot;citeprocText&quot;:&quot;[15–20]&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E14oCTMjB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21,22]&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IxLDI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15,23,24]&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E1LDIzLDI0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25]&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I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26,27]&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I2LDI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26–28]&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I24oCTMj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29–31]&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I54oCTMz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6470</TotalTime>
  <Pages>10</Pages>
  <Words>3719</Words>
  <Characters>21203</Characters>
  <Application>Microsoft Office Word</Application>
  <DocSecurity>0</DocSecurity>
  <Lines>176</Lines>
  <Paragraphs>49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24873</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420</cp:revision>
  <cp:lastPrinted>2024-03-13T06:55:00Z</cp:lastPrinted>
  <dcterms:created xsi:type="dcterms:W3CDTF">2024-02-22T08:26:00Z</dcterms:created>
  <dcterms:modified xsi:type="dcterms:W3CDTF">2024-09-11T02:06:00Z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