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F5F" w:rsidRDefault="00F60F5F" w:rsidP="00B60FDE">
      <w:pPr>
        <w:pStyle w:val="Heading1"/>
        <w:rPr>
          <w:lang w:val="en-US"/>
        </w:rPr>
      </w:pPr>
      <w:r>
        <w:rPr>
          <w:lang w:val="en-US"/>
        </w:rPr>
        <w:t xml:space="preserve">Service oriented </w:t>
      </w:r>
      <w:r w:rsidR="008559DB">
        <w:rPr>
          <w:lang w:val="en-US"/>
        </w:rPr>
        <w:t>architecture for A1</w:t>
      </w:r>
      <w:r w:rsidR="00066ECC">
        <w:rPr>
          <w:lang w:val="en-US"/>
        </w:rPr>
        <w:t xml:space="preserve"> </w:t>
      </w:r>
      <w:r>
        <w:rPr>
          <w:lang w:val="en-US"/>
        </w:rPr>
        <w:t xml:space="preserve">production </w:t>
      </w:r>
    </w:p>
    <w:p w:rsidR="00CA0645" w:rsidRDefault="00CA0645" w:rsidP="00CA0645">
      <w:pPr>
        <w:rPr>
          <w:lang w:val="en-US"/>
        </w:rPr>
      </w:pPr>
      <w:r>
        <w:rPr>
          <w:lang w:val="en-US"/>
        </w:rPr>
        <w:t xml:space="preserve">The vision for the new production environment is to adopt a Service Oriented Architecture (SOA) and specifically the Micro-Service based one. </w:t>
      </w:r>
    </w:p>
    <w:p w:rsidR="00321371" w:rsidRDefault="00321371" w:rsidP="00CA0645">
      <w:pPr>
        <w:rPr>
          <w:lang w:val="en-US"/>
        </w:rPr>
      </w:pPr>
      <w:r>
        <w:rPr>
          <w:lang w:val="en-US"/>
        </w:rPr>
        <w:t xml:space="preserve">This approach will increase flexibility in compositionality, orchestration of core technical and business activities. Moreover it will permit workflow design and management combining the business and technical activities in transparent and easy to monitor manner. </w:t>
      </w:r>
    </w:p>
    <w:p w:rsidR="00CA0645" w:rsidRDefault="00321371" w:rsidP="00CA0645">
      <w:pPr>
        <w:rPr>
          <w:lang w:val="en-US"/>
        </w:rPr>
      </w:pPr>
      <w:r>
        <w:rPr>
          <w:lang w:val="en-US"/>
        </w:rPr>
        <w:t xml:space="preserve">The compositionality and orchestration principle is reflected in </w:t>
      </w:r>
      <w:r>
        <w:rPr>
          <w:lang w:val="en-US"/>
        </w:rPr>
        <w:fldChar w:fldCharType="begin"/>
      </w:r>
      <w:r>
        <w:rPr>
          <w:lang w:val="en-US"/>
        </w:rPr>
        <w:instrText xml:space="preserve"> REF _Ref31891160 \h </w:instrText>
      </w:r>
      <w:r>
        <w:rPr>
          <w:lang w:val="en-US"/>
        </w:rPr>
      </w:r>
      <w:r>
        <w:rPr>
          <w:lang w:val="en-US"/>
        </w:rPr>
        <w:fldChar w:fldCharType="separate"/>
      </w:r>
      <w:r>
        <w:t xml:space="preserve">Figure </w:t>
      </w:r>
      <w:r>
        <w:rPr>
          <w:noProof/>
        </w:rPr>
        <w:t>1</w:t>
      </w:r>
      <w:r>
        <w:rPr>
          <w:lang w:val="en-US"/>
        </w:rPr>
        <w:fldChar w:fldCharType="end"/>
      </w:r>
      <w:r w:rsidR="00F51F01">
        <w:rPr>
          <w:lang w:val="en-US"/>
        </w:rPr>
        <w:t xml:space="preserve"> and </w:t>
      </w:r>
      <w:r w:rsidR="00F51F01">
        <w:rPr>
          <w:lang w:val="en-US"/>
        </w:rPr>
        <w:fldChar w:fldCharType="begin"/>
      </w:r>
      <w:r w:rsidR="00F51F01">
        <w:rPr>
          <w:lang w:val="en-US"/>
        </w:rPr>
        <w:instrText xml:space="preserve"> REF _Ref31891809 \h </w:instrText>
      </w:r>
      <w:r w:rsidR="00F51F01">
        <w:rPr>
          <w:lang w:val="en-US"/>
        </w:rPr>
      </w:r>
      <w:r w:rsidR="00F51F01">
        <w:rPr>
          <w:lang w:val="en-US"/>
        </w:rPr>
        <w:fldChar w:fldCharType="separate"/>
      </w:r>
      <w:r w:rsidR="00F51F01">
        <w:t xml:space="preserve">Figure </w:t>
      </w:r>
      <w:r w:rsidR="00F51F01">
        <w:rPr>
          <w:noProof/>
        </w:rPr>
        <w:t>2</w:t>
      </w:r>
      <w:r w:rsidR="00F51F01">
        <w:rPr>
          <w:lang w:val="en-US"/>
        </w:rPr>
        <w:fldChar w:fldCharType="end"/>
      </w:r>
      <w:r>
        <w:rPr>
          <w:lang w:val="en-US"/>
        </w:rPr>
        <w:t xml:space="preserve">. The top service plays the function of orchestrator. Typically this role is plaid by a BPMN process executed in a workflow engine. It also provides an intimate representation of the business processes in the organisation. </w:t>
      </w:r>
      <w:r w:rsidR="00247B3B">
        <w:rPr>
          <w:lang w:val="en-US"/>
        </w:rPr>
        <w:t>A</w:t>
      </w:r>
      <w:r>
        <w:rPr>
          <w:lang w:val="en-US"/>
        </w:rPr>
        <w:t xml:space="preserve">ctivities composing the business are either manually performed by a user or </w:t>
      </w:r>
      <w:r w:rsidR="00247B3B">
        <w:rPr>
          <w:lang w:val="en-US"/>
        </w:rPr>
        <w:t xml:space="preserve">automatic </w:t>
      </w:r>
      <w:r>
        <w:rPr>
          <w:lang w:val="en-US"/>
        </w:rPr>
        <w:t>execution</w:t>
      </w:r>
      <w:r w:rsidR="00247B3B">
        <w:rPr>
          <w:lang w:val="en-US"/>
        </w:rPr>
        <w:t xml:space="preserve"> of procedures in/by available information systems. </w:t>
      </w:r>
      <w:r w:rsidR="00F51F01">
        <w:rPr>
          <w:lang w:val="en-US"/>
        </w:rPr>
        <w:t xml:space="preserve">Each process activity aims at fulfilling a role or provide a functionality which in turn in supported by a micro-service running outside of the workflow engine. This way the micro-services are consumed on demand by business-process activities. </w:t>
      </w:r>
    </w:p>
    <w:p w:rsidR="00321371" w:rsidRDefault="009D2D4E" w:rsidP="008559DB">
      <w:pPr>
        <w:keepNext/>
        <w:jc w:val="center"/>
      </w:pPr>
      <w:r>
        <w:rPr>
          <w:noProof/>
          <w:lang w:eastAsia="en-GB"/>
        </w:rPr>
        <w:drawing>
          <wp:inline distT="0" distB="0" distL="0" distR="0" wp14:anchorId="6B86DEA5" wp14:editId="3018598D">
            <wp:extent cx="3595030" cy="223361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97573" cy="2235192"/>
                    </a:xfrm>
                    <a:prstGeom prst="rect">
                      <a:avLst/>
                    </a:prstGeom>
                  </pic:spPr>
                </pic:pic>
              </a:graphicData>
            </a:graphic>
          </wp:inline>
        </w:drawing>
      </w:r>
    </w:p>
    <w:p w:rsidR="009D2D4E" w:rsidRDefault="00321371" w:rsidP="008559DB">
      <w:pPr>
        <w:pStyle w:val="Caption"/>
        <w:jc w:val="center"/>
      </w:pPr>
      <w:bookmarkStart w:id="0" w:name="_Ref31891160"/>
      <w:r>
        <w:t xml:space="preserve">Figure </w:t>
      </w:r>
      <w:r w:rsidR="00AF2DAD">
        <w:fldChar w:fldCharType="begin"/>
      </w:r>
      <w:r w:rsidR="00AF2DAD">
        <w:instrText xml:space="preserve"> SEQ Figure \* ARABIC </w:instrText>
      </w:r>
      <w:r w:rsidR="00AF2DAD">
        <w:fldChar w:fldCharType="separate"/>
      </w:r>
      <w:r w:rsidR="00F51F01">
        <w:rPr>
          <w:noProof/>
        </w:rPr>
        <w:t>1</w:t>
      </w:r>
      <w:r w:rsidR="00AF2DAD">
        <w:rPr>
          <w:noProof/>
        </w:rPr>
        <w:fldChar w:fldCharType="end"/>
      </w:r>
      <w:bookmarkEnd w:id="0"/>
      <w:r>
        <w:t xml:space="preserve"> Compositionality and orchestration of services</w:t>
      </w:r>
    </w:p>
    <w:p w:rsidR="00F51F01" w:rsidRPr="00F51F01" w:rsidRDefault="00F51F01" w:rsidP="008559DB">
      <w:pPr>
        <w:jc w:val="center"/>
      </w:pPr>
    </w:p>
    <w:p w:rsidR="00F51F01" w:rsidRDefault="00F60F5F" w:rsidP="008559DB">
      <w:pPr>
        <w:keepNext/>
        <w:jc w:val="center"/>
      </w:pPr>
      <w:r>
        <w:rPr>
          <w:noProof/>
          <w:lang w:eastAsia="en-GB"/>
        </w:rPr>
        <w:lastRenderedPageBreak/>
        <w:drawing>
          <wp:inline distT="0" distB="0" distL="0" distR="0" wp14:anchorId="502D1F89" wp14:editId="6E1FBBE9">
            <wp:extent cx="3638550" cy="2325262"/>
            <wp:effectExtent l="0" t="0" r="0" b="0"/>
            <wp:docPr id="1" name="Picture 1" descr="Service Orchestration, 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Orchestration, defi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597" cy="2325292"/>
                    </a:xfrm>
                    <a:prstGeom prst="rect">
                      <a:avLst/>
                    </a:prstGeom>
                    <a:noFill/>
                    <a:ln>
                      <a:noFill/>
                    </a:ln>
                  </pic:spPr>
                </pic:pic>
              </a:graphicData>
            </a:graphic>
          </wp:inline>
        </w:drawing>
      </w:r>
    </w:p>
    <w:p w:rsidR="00B60FDE" w:rsidRDefault="00F51F01" w:rsidP="008559DB">
      <w:pPr>
        <w:pStyle w:val="Caption"/>
        <w:jc w:val="center"/>
        <w:rPr>
          <w:lang w:val="en-US"/>
        </w:rPr>
      </w:pPr>
      <w:bookmarkStart w:id="1" w:name="_Ref31891809"/>
      <w:r>
        <w:t xml:space="preserve">Figure </w:t>
      </w:r>
      <w:r w:rsidR="00AF2DAD">
        <w:fldChar w:fldCharType="begin"/>
      </w:r>
      <w:r w:rsidR="00AF2DAD">
        <w:instrText xml:space="preserve"> SEQ Figure \* ARABIC </w:instrText>
      </w:r>
      <w:r w:rsidR="00AF2DAD">
        <w:fldChar w:fldCharType="separate"/>
      </w:r>
      <w:r>
        <w:rPr>
          <w:noProof/>
        </w:rPr>
        <w:t>2</w:t>
      </w:r>
      <w:r w:rsidR="00AF2DAD">
        <w:rPr>
          <w:noProof/>
        </w:rPr>
        <w:fldChar w:fldCharType="end"/>
      </w:r>
      <w:bookmarkEnd w:id="1"/>
      <w:r>
        <w:t xml:space="preserve"> Layers of business </w:t>
      </w:r>
      <w:r>
        <w:rPr>
          <w:noProof/>
        </w:rPr>
        <w:t>process abstraction</w:t>
      </w:r>
    </w:p>
    <w:p w:rsidR="00F60F5F" w:rsidRDefault="00F60F5F" w:rsidP="008559DB">
      <w:pPr>
        <w:jc w:val="center"/>
        <w:rPr>
          <w:lang w:val="en-US"/>
        </w:rPr>
      </w:pPr>
      <w:r>
        <w:rPr>
          <w:noProof/>
          <w:lang w:eastAsia="en-GB"/>
        </w:rPr>
        <w:drawing>
          <wp:inline distT="0" distB="0" distL="0" distR="0">
            <wp:extent cx="3548062" cy="5217010"/>
            <wp:effectExtent l="0" t="0" r="0" b="3175"/>
            <wp:docPr id="2" name="Picture 2" descr="System Orchestratio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Orchestration: Con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982" cy="5216893"/>
                    </a:xfrm>
                    <a:prstGeom prst="rect">
                      <a:avLst/>
                    </a:prstGeom>
                    <a:noFill/>
                    <a:ln>
                      <a:noFill/>
                    </a:ln>
                  </pic:spPr>
                </pic:pic>
              </a:graphicData>
            </a:graphic>
          </wp:inline>
        </w:drawing>
      </w:r>
    </w:p>
    <w:p w:rsidR="009D2D4E" w:rsidRDefault="00F86710" w:rsidP="00F86710">
      <w:pPr>
        <w:pStyle w:val="Heading1"/>
        <w:rPr>
          <w:lang w:val="en-US"/>
        </w:rPr>
      </w:pPr>
      <w:r>
        <w:rPr>
          <w:lang w:val="en-US"/>
        </w:rPr>
        <w:lastRenderedPageBreak/>
        <w:t>DEV server exercise</w:t>
      </w:r>
    </w:p>
    <w:p w:rsidR="00F86710" w:rsidRDefault="00F86710" w:rsidP="00F86710">
      <w:pPr>
        <w:rPr>
          <w:lang w:val="en-US"/>
        </w:rPr>
      </w:pPr>
      <w:r>
        <w:rPr>
          <w:lang w:val="en-US"/>
        </w:rPr>
        <w:t>The development server is the environment to experiment with containerizing, launching, inter-connecting and automating deployment process for various components needed in the A1 sector.</w:t>
      </w:r>
    </w:p>
    <w:p w:rsidR="00900319" w:rsidRDefault="00665359" w:rsidP="00F86710">
      <w:pPr>
        <w:rPr>
          <w:lang w:val="en-US"/>
        </w:rPr>
      </w:pPr>
      <w:r>
        <w:rPr>
          <w:lang w:val="en-US"/>
        </w:rPr>
        <w:t>Containerized services and applications</w:t>
      </w:r>
      <w:r w:rsidR="00900319">
        <w:rPr>
          <w:lang w:val="en-US"/>
        </w:rPr>
        <w:t xml:space="preserve"> is one of the </w:t>
      </w:r>
      <w:r>
        <w:rPr>
          <w:lang w:val="en-US"/>
        </w:rPr>
        <w:t xml:space="preserve">de facto </w:t>
      </w:r>
      <w:r w:rsidR="00900319">
        <w:rPr>
          <w:lang w:val="en-US"/>
        </w:rPr>
        <w:t xml:space="preserve">approaches for deploying and maintaining micro-service conglomerates. Docker is </w:t>
      </w:r>
      <w:r>
        <w:rPr>
          <w:lang w:val="en-US"/>
        </w:rPr>
        <w:t xml:space="preserve">the state of the art system that enables containerization applications. It becomes </w:t>
      </w:r>
      <w:r w:rsidR="00900319">
        <w:rPr>
          <w:lang w:val="en-US"/>
        </w:rPr>
        <w:t>especially powerful when combined with</w:t>
      </w:r>
      <w:r>
        <w:rPr>
          <w:lang w:val="en-US"/>
        </w:rPr>
        <w:t xml:space="preserve"> Docker Compose, </w:t>
      </w:r>
      <w:r w:rsidRPr="00665359">
        <w:rPr>
          <w:lang w:val="en-US"/>
        </w:rPr>
        <w:t>Kubernetes</w:t>
      </w:r>
      <w:r>
        <w:rPr>
          <w:lang w:val="en-US"/>
        </w:rPr>
        <w:t xml:space="preserve"> or OpenShift. We assume here that the reader is familiar with benefits of containerization</w:t>
      </w:r>
      <w:r>
        <w:rPr>
          <w:rStyle w:val="FootnoteReference"/>
          <w:lang w:val="en-US"/>
        </w:rPr>
        <w:footnoteReference w:id="1"/>
      </w:r>
      <w:r>
        <w:rPr>
          <w:lang w:val="en-US"/>
        </w:rPr>
        <w:t>, container-orchestration systems</w:t>
      </w:r>
      <w:r>
        <w:rPr>
          <w:rStyle w:val="FootnoteReference"/>
          <w:lang w:val="en-US"/>
        </w:rPr>
        <w:footnoteReference w:id="2"/>
      </w:r>
      <w:r>
        <w:rPr>
          <w:lang w:val="en-US"/>
        </w:rPr>
        <w:t xml:space="preserve"> and automatic application deployment</w:t>
      </w:r>
      <w:r>
        <w:rPr>
          <w:rStyle w:val="FootnoteReference"/>
          <w:lang w:val="en-US"/>
        </w:rPr>
        <w:footnoteReference w:id="3"/>
      </w:r>
      <w:r>
        <w:rPr>
          <w:lang w:val="en-US"/>
        </w:rPr>
        <w:t xml:space="preserve">. </w:t>
      </w:r>
    </w:p>
    <w:p w:rsidR="00F86710" w:rsidRDefault="00900319" w:rsidP="00F86710">
      <w:pPr>
        <w:rPr>
          <w:lang w:val="en-US"/>
        </w:rPr>
      </w:pPr>
      <w:r>
        <w:rPr>
          <w:lang w:val="en-US"/>
        </w:rPr>
        <w:t xml:space="preserve">Ideally each service needs to run in a separate Docker container. </w:t>
      </w:r>
    </w:p>
    <w:p w:rsidR="006452B0" w:rsidRDefault="006452B0" w:rsidP="00F86710">
      <w:pPr>
        <w:rPr>
          <w:lang w:val="en-US"/>
        </w:rPr>
      </w:pPr>
    </w:p>
    <w:p w:rsidR="006452B0" w:rsidRDefault="006452B0" w:rsidP="00F86710">
      <w:pPr>
        <w:rPr>
          <w:lang w:val="en-US"/>
        </w:rPr>
      </w:pPr>
      <w:r>
        <w:rPr>
          <w:lang w:val="en-US"/>
        </w:rPr>
        <w:t>…</w:t>
      </w:r>
    </w:p>
    <w:p w:rsidR="006452B0" w:rsidRDefault="006452B0" w:rsidP="00F86710">
      <w:pPr>
        <w:rPr>
          <w:lang w:val="en-US"/>
        </w:rPr>
      </w:pPr>
      <w:r>
        <w:rPr>
          <w:lang w:val="en-US"/>
        </w:rPr>
        <w:t>TBD</w:t>
      </w:r>
      <w:bookmarkStart w:id="2" w:name="_GoBack"/>
      <w:bookmarkEnd w:id="2"/>
    </w:p>
    <w:p w:rsidR="00F86710" w:rsidRPr="00F86710" w:rsidRDefault="00F86710" w:rsidP="00F86710">
      <w:pPr>
        <w:rPr>
          <w:lang w:val="en-US"/>
        </w:rPr>
      </w:pPr>
      <w:r>
        <w:rPr>
          <w:lang w:val="en-US"/>
        </w:rPr>
        <w:t xml:space="preserve"> </w:t>
      </w:r>
    </w:p>
    <w:p w:rsidR="00C723AE" w:rsidRDefault="00C723AE" w:rsidP="00C723AE">
      <w:pPr>
        <w:rPr>
          <w:lang w:val="en-US"/>
        </w:rPr>
      </w:pPr>
    </w:p>
    <w:p w:rsidR="00F60F5F" w:rsidRDefault="00F60F5F" w:rsidP="00C723AE">
      <w:pPr>
        <w:rPr>
          <w:lang w:val="en-US"/>
        </w:rPr>
      </w:pPr>
    </w:p>
    <w:p w:rsidR="00C723AE" w:rsidRDefault="00F86710" w:rsidP="00F86710">
      <w:pPr>
        <w:pStyle w:val="Heading1"/>
        <w:rPr>
          <w:lang w:val="en-US"/>
        </w:rPr>
      </w:pPr>
      <w:r>
        <w:rPr>
          <w:lang w:val="en-US"/>
        </w:rPr>
        <w:t>References</w:t>
      </w:r>
    </w:p>
    <w:p w:rsidR="00C723AE" w:rsidRDefault="00AF2DAD" w:rsidP="00C723AE">
      <w:pPr>
        <w:pStyle w:val="ListParagraph"/>
        <w:numPr>
          <w:ilvl w:val="0"/>
          <w:numId w:val="1"/>
        </w:numPr>
        <w:rPr>
          <w:lang w:val="en-US"/>
        </w:rPr>
      </w:pPr>
      <w:hyperlink r:id="rId12" w:history="1">
        <w:r w:rsidR="00C723AE" w:rsidRPr="00BD06DC">
          <w:rPr>
            <w:rStyle w:val="Hyperlink"/>
            <w:lang w:val="en-US"/>
          </w:rPr>
          <w:t>https://martinfowler.com/articles/microservices.html</w:t>
        </w:r>
      </w:hyperlink>
    </w:p>
    <w:p w:rsidR="009D2D4E" w:rsidRDefault="00AF2DAD" w:rsidP="009D2D4E">
      <w:pPr>
        <w:pStyle w:val="ListParagraph"/>
        <w:numPr>
          <w:ilvl w:val="0"/>
          <w:numId w:val="1"/>
        </w:numPr>
        <w:rPr>
          <w:lang w:val="en-US"/>
        </w:rPr>
      </w:pPr>
      <w:hyperlink r:id="rId13" w:history="1">
        <w:r w:rsidR="009D2D4E" w:rsidRPr="00BD06DC">
          <w:rPr>
            <w:rStyle w:val="Hyperlink"/>
            <w:lang w:val="en-US"/>
          </w:rPr>
          <w:t>https://www.slideshare.net/alanmcsweeney/orchestration-and-provisioning-architecture-for-effective-service-management</w:t>
        </w:r>
      </w:hyperlink>
    </w:p>
    <w:p w:rsidR="00C723AE" w:rsidRDefault="00AF2DAD" w:rsidP="00C723AE">
      <w:pPr>
        <w:pStyle w:val="ListParagraph"/>
        <w:numPr>
          <w:ilvl w:val="0"/>
          <w:numId w:val="1"/>
        </w:numPr>
        <w:rPr>
          <w:lang w:val="en-US"/>
        </w:rPr>
      </w:pPr>
      <w:hyperlink r:id="rId14" w:history="1">
        <w:r w:rsidR="00C723AE" w:rsidRPr="00BD06DC">
          <w:rPr>
            <w:rStyle w:val="Hyperlink"/>
            <w:lang w:val="en-US"/>
          </w:rPr>
          <w:t>https://zeebe.io/blog/2018/08/bpmn-for-microservices-orchestration-a-primer-part-1/</w:t>
        </w:r>
      </w:hyperlink>
    </w:p>
    <w:p w:rsidR="00C723AE" w:rsidRDefault="00AF2DAD" w:rsidP="007C725B">
      <w:pPr>
        <w:pStyle w:val="ListParagraph"/>
        <w:numPr>
          <w:ilvl w:val="0"/>
          <w:numId w:val="1"/>
        </w:numPr>
        <w:rPr>
          <w:lang w:val="en-US"/>
        </w:rPr>
      </w:pPr>
      <w:hyperlink r:id="rId15" w:history="1">
        <w:r w:rsidR="007C725B" w:rsidRPr="00BD06DC">
          <w:rPr>
            <w:rStyle w:val="Hyperlink"/>
            <w:lang w:val="en-US"/>
          </w:rPr>
          <w:t>http://smileit.at/blog/system-versus-service-orchestration/</w:t>
        </w:r>
      </w:hyperlink>
    </w:p>
    <w:p w:rsidR="007C725B" w:rsidRDefault="00AF2DAD" w:rsidP="00AC5686">
      <w:pPr>
        <w:pStyle w:val="ListParagraph"/>
        <w:numPr>
          <w:ilvl w:val="0"/>
          <w:numId w:val="1"/>
        </w:numPr>
        <w:rPr>
          <w:lang w:val="en-US"/>
        </w:rPr>
      </w:pPr>
      <w:hyperlink r:id="rId16" w:history="1">
        <w:r w:rsidR="00AC5686" w:rsidRPr="00BD06DC">
          <w:rPr>
            <w:rStyle w:val="Hyperlink"/>
            <w:lang w:val="en-US"/>
          </w:rPr>
          <w:t>https://sparxsystems.com/press/articles/pdf/EAforADP.pdf</w:t>
        </w:r>
      </w:hyperlink>
    </w:p>
    <w:p w:rsidR="00AC5686" w:rsidRPr="00F86710" w:rsidRDefault="00AC5686" w:rsidP="00F86710">
      <w:pPr>
        <w:ind w:left="360"/>
        <w:rPr>
          <w:lang w:val="en-US"/>
        </w:rPr>
      </w:pPr>
    </w:p>
    <w:sectPr w:rsidR="00AC5686" w:rsidRPr="00F867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DAD" w:rsidRDefault="00AF2DAD" w:rsidP="00665359">
      <w:pPr>
        <w:spacing w:after="0" w:line="240" w:lineRule="auto"/>
      </w:pPr>
      <w:r>
        <w:separator/>
      </w:r>
    </w:p>
  </w:endnote>
  <w:endnote w:type="continuationSeparator" w:id="0">
    <w:p w:rsidR="00AF2DAD" w:rsidRDefault="00AF2DAD" w:rsidP="0066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DAD" w:rsidRDefault="00AF2DAD" w:rsidP="00665359">
      <w:pPr>
        <w:spacing w:after="0" w:line="240" w:lineRule="auto"/>
      </w:pPr>
      <w:r>
        <w:separator/>
      </w:r>
    </w:p>
  </w:footnote>
  <w:footnote w:type="continuationSeparator" w:id="0">
    <w:p w:rsidR="00AF2DAD" w:rsidRDefault="00AF2DAD" w:rsidP="00665359">
      <w:pPr>
        <w:spacing w:after="0" w:line="240" w:lineRule="auto"/>
      </w:pPr>
      <w:r>
        <w:continuationSeparator/>
      </w:r>
    </w:p>
  </w:footnote>
  <w:footnote w:id="1">
    <w:p w:rsidR="00665359" w:rsidRDefault="00665359">
      <w:pPr>
        <w:pStyle w:val="FootnoteText"/>
      </w:pPr>
      <w:r>
        <w:rPr>
          <w:rStyle w:val="FootnoteReference"/>
        </w:rPr>
        <w:footnoteRef/>
      </w:r>
      <w:r>
        <w:t xml:space="preserve"> </w:t>
      </w:r>
      <w:hyperlink r:id="rId1" w:history="1">
        <w:r w:rsidRPr="00110D8B">
          <w:rPr>
            <w:rStyle w:val="Hyperlink"/>
          </w:rPr>
          <w:t>https://dzone.com/articles/top-10-benefits-of-using-docker</w:t>
        </w:r>
      </w:hyperlink>
    </w:p>
    <w:p w:rsidR="00665359" w:rsidRPr="00665359" w:rsidRDefault="00665359">
      <w:pPr>
        <w:pStyle w:val="FootnoteText"/>
        <w:rPr>
          <w:lang w:val="en-US"/>
        </w:rPr>
      </w:pPr>
    </w:p>
  </w:footnote>
  <w:footnote w:id="2">
    <w:p w:rsidR="00665359" w:rsidRDefault="00665359">
      <w:pPr>
        <w:pStyle w:val="FootnoteText"/>
      </w:pPr>
      <w:r>
        <w:rPr>
          <w:rStyle w:val="FootnoteReference"/>
        </w:rPr>
        <w:footnoteRef/>
      </w:r>
      <w:r>
        <w:t xml:space="preserve"> </w:t>
      </w:r>
      <w:hyperlink r:id="rId2" w:history="1">
        <w:r w:rsidRPr="00110D8B">
          <w:rPr>
            <w:rStyle w:val="Hyperlink"/>
          </w:rPr>
          <w:t>https://www.redhat.com/en/topics/containers/what-is-container-orchestration</w:t>
        </w:r>
      </w:hyperlink>
    </w:p>
    <w:p w:rsidR="00665359" w:rsidRPr="00665359" w:rsidRDefault="00665359">
      <w:pPr>
        <w:pStyle w:val="FootnoteText"/>
        <w:rPr>
          <w:lang w:val="en-US"/>
        </w:rPr>
      </w:pPr>
    </w:p>
  </w:footnote>
  <w:footnote w:id="3">
    <w:p w:rsidR="00665359" w:rsidRDefault="00665359">
      <w:pPr>
        <w:pStyle w:val="FootnoteText"/>
      </w:pPr>
      <w:r>
        <w:rPr>
          <w:rStyle w:val="FootnoteReference"/>
        </w:rPr>
        <w:footnoteRef/>
      </w:r>
      <w:r>
        <w:t xml:space="preserve"> </w:t>
      </w:r>
      <w:hyperlink r:id="rId3" w:history="1">
        <w:r w:rsidRPr="00110D8B">
          <w:rPr>
            <w:rStyle w:val="Hyperlink"/>
          </w:rPr>
          <w:t>https://www.red-gate.com/blog/software-development/5-big-benefits-automated-deployment</w:t>
        </w:r>
      </w:hyperlink>
    </w:p>
    <w:p w:rsidR="00665359" w:rsidRPr="00665359" w:rsidRDefault="00665359">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346D4"/>
    <w:multiLevelType w:val="hybridMultilevel"/>
    <w:tmpl w:val="22F6AF1A"/>
    <w:lvl w:ilvl="0" w:tplc="C1B615C2">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398"/>
    <w:rsid w:val="00066ECC"/>
    <w:rsid w:val="00247B3B"/>
    <w:rsid w:val="002F3344"/>
    <w:rsid w:val="00321371"/>
    <w:rsid w:val="006452B0"/>
    <w:rsid w:val="00665359"/>
    <w:rsid w:val="007C725B"/>
    <w:rsid w:val="008559DB"/>
    <w:rsid w:val="00900319"/>
    <w:rsid w:val="009B1770"/>
    <w:rsid w:val="009D2D4E"/>
    <w:rsid w:val="00AC5686"/>
    <w:rsid w:val="00AF2DAD"/>
    <w:rsid w:val="00B60FDE"/>
    <w:rsid w:val="00C723AE"/>
    <w:rsid w:val="00CA0645"/>
    <w:rsid w:val="00D53F8A"/>
    <w:rsid w:val="00F25398"/>
    <w:rsid w:val="00F51F01"/>
    <w:rsid w:val="00F60F5F"/>
    <w:rsid w:val="00F867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344"/>
    <w:rPr>
      <w:rFonts w:ascii="Calibri" w:hAnsi="Calibri" w:cs="Times New Roman"/>
    </w:rPr>
  </w:style>
  <w:style w:type="paragraph" w:styleId="Heading1">
    <w:name w:val="heading 1"/>
    <w:basedOn w:val="Normal"/>
    <w:next w:val="Normal"/>
    <w:link w:val="Heading1Char"/>
    <w:uiPriority w:val="9"/>
    <w:qFormat/>
    <w:rsid w:val="00B60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F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0FDE"/>
    <w:pPr>
      <w:ind w:left="720"/>
      <w:contextualSpacing/>
    </w:pPr>
  </w:style>
  <w:style w:type="character" w:styleId="Hyperlink">
    <w:name w:val="Hyperlink"/>
    <w:basedOn w:val="DefaultParagraphFont"/>
    <w:uiPriority w:val="99"/>
    <w:unhideWhenUsed/>
    <w:rsid w:val="00C723AE"/>
    <w:rPr>
      <w:color w:val="0000FF" w:themeColor="hyperlink"/>
      <w:u w:val="single"/>
    </w:rPr>
  </w:style>
  <w:style w:type="paragraph" w:styleId="BalloonText">
    <w:name w:val="Balloon Text"/>
    <w:basedOn w:val="Normal"/>
    <w:link w:val="BalloonTextChar"/>
    <w:uiPriority w:val="99"/>
    <w:semiHidden/>
    <w:unhideWhenUsed/>
    <w:rsid w:val="00F60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F5F"/>
    <w:rPr>
      <w:rFonts w:ascii="Tahoma" w:hAnsi="Tahoma" w:cs="Tahoma"/>
      <w:sz w:val="16"/>
      <w:szCs w:val="16"/>
    </w:rPr>
  </w:style>
  <w:style w:type="character" w:styleId="FollowedHyperlink">
    <w:name w:val="FollowedHyperlink"/>
    <w:basedOn w:val="DefaultParagraphFont"/>
    <w:uiPriority w:val="99"/>
    <w:semiHidden/>
    <w:unhideWhenUsed/>
    <w:rsid w:val="00CA0645"/>
    <w:rPr>
      <w:color w:val="800080" w:themeColor="followedHyperlink"/>
      <w:u w:val="single"/>
    </w:rPr>
  </w:style>
  <w:style w:type="paragraph" w:styleId="Caption">
    <w:name w:val="caption"/>
    <w:basedOn w:val="Normal"/>
    <w:next w:val="Normal"/>
    <w:uiPriority w:val="35"/>
    <w:unhideWhenUsed/>
    <w:qFormat/>
    <w:rsid w:val="00321371"/>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6653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359"/>
    <w:rPr>
      <w:rFonts w:ascii="Calibri" w:hAnsi="Calibri" w:cs="Times New Roman"/>
      <w:sz w:val="20"/>
      <w:szCs w:val="20"/>
    </w:rPr>
  </w:style>
  <w:style w:type="character" w:styleId="FootnoteReference">
    <w:name w:val="footnote reference"/>
    <w:basedOn w:val="DefaultParagraphFont"/>
    <w:uiPriority w:val="99"/>
    <w:semiHidden/>
    <w:unhideWhenUsed/>
    <w:rsid w:val="0066535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344"/>
    <w:rPr>
      <w:rFonts w:ascii="Calibri" w:hAnsi="Calibri" w:cs="Times New Roman"/>
    </w:rPr>
  </w:style>
  <w:style w:type="paragraph" w:styleId="Heading1">
    <w:name w:val="heading 1"/>
    <w:basedOn w:val="Normal"/>
    <w:next w:val="Normal"/>
    <w:link w:val="Heading1Char"/>
    <w:uiPriority w:val="9"/>
    <w:qFormat/>
    <w:rsid w:val="00B60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F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0FDE"/>
    <w:pPr>
      <w:ind w:left="720"/>
      <w:contextualSpacing/>
    </w:pPr>
  </w:style>
  <w:style w:type="character" w:styleId="Hyperlink">
    <w:name w:val="Hyperlink"/>
    <w:basedOn w:val="DefaultParagraphFont"/>
    <w:uiPriority w:val="99"/>
    <w:unhideWhenUsed/>
    <w:rsid w:val="00C723AE"/>
    <w:rPr>
      <w:color w:val="0000FF" w:themeColor="hyperlink"/>
      <w:u w:val="single"/>
    </w:rPr>
  </w:style>
  <w:style w:type="paragraph" w:styleId="BalloonText">
    <w:name w:val="Balloon Text"/>
    <w:basedOn w:val="Normal"/>
    <w:link w:val="BalloonTextChar"/>
    <w:uiPriority w:val="99"/>
    <w:semiHidden/>
    <w:unhideWhenUsed/>
    <w:rsid w:val="00F60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F5F"/>
    <w:rPr>
      <w:rFonts w:ascii="Tahoma" w:hAnsi="Tahoma" w:cs="Tahoma"/>
      <w:sz w:val="16"/>
      <w:szCs w:val="16"/>
    </w:rPr>
  </w:style>
  <w:style w:type="character" w:styleId="FollowedHyperlink">
    <w:name w:val="FollowedHyperlink"/>
    <w:basedOn w:val="DefaultParagraphFont"/>
    <w:uiPriority w:val="99"/>
    <w:semiHidden/>
    <w:unhideWhenUsed/>
    <w:rsid w:val="00CA0645"/>
    <w:rPr>
      <w:color w:val="800080" w:themeColor="followedHyperlink"/>
      <w:u w:val="single"/>
    </w:rPr>
  </w:style>
  <w:style w:type="paragraph" w:styleId="Caption">
    <w:name w:val="caption"/>
    <w:basedOn w:val="Normal"/>
    <w:next w:val="Normal"/>
    <w:uiPriority w:val="35"/>
    <w:unhideWhenUsed/>
    <w:qFormat/>
    <w:rsid w:val="00321371"/>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6653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359"/>
    <w:rPr>
      <w:rFonts w:ascii="Calibri" w:hAnsi="Calibri" w:cs="Times New Roman"/>
      <w:sz w:val="20"/>
      <w:szCs w:val="20"/>
    </w:rPr>
  </w:style>
  <w:style w:type="character" w:styleId="FootnoteReference">
    <w:name w:val="footnote reference"/>
    <w:basedOn w:val="DefaultParagraphFont"/>
    <w:uiPriority w:val="99"/>
    <w:semiHidden/>
    <w:unhideWhenUsed/>
    <w:rsid w:val="006653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lideshare.net/alanmcsweeney/orchestration-and-provisioning-architecture-for-effective-service-managemen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martinfowler.com/articles/microservices.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arxsystems.com/press/articles/pdf/EAforADP.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mileit.at/blog/system-versus-service-orchestration/"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zeebe.io/blog/2018/08/bpmn-for-microservices-orchestration-a-primer-part-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red-gate.com/blog/software-development/5-big-benefits-automated-deployment" TargetMode="External"/><Relationship Id="rId2" Type="http://schemas.openxmlformats.org/officeDocument/2006/relationships/hyperlink" Target="https://www.redhat.com/en/topics/containers/what-is-container-orchestration" TargetMode="External"/><Relationship Id="rId1" Type="http://schemas.openxmlformats.org/officeDocument/2006/relationships/hyperlink" Target="https://dzone.com/articles/top-10-benefits-of-using-do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D9A24C0-DD15-4695-8150-264AEA58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Eugeniu Costetchi</dc:creator>
  <cp:keywords/>
  <dc:description/>
  <cp:lastModifiedBy>Eugeniu Costetchi</cp:lastModifiedBy>
  <cp:revision>16</cp:revision>
  <dcterms:created xsi:type="dcterms:W3CDTF">2020-02-05T09:00:00Z</dcterms:created>
  <dcterms:modified xsi:type="dcterms:W3CDTF">2020-02-19T16:59:00Z</dcterms:modified>
</cp:coreProperties>
</file>