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F5D62"/>
          <w:sz w:val="34"/>
        </w:rPr>
        <w:t>Shelf-Life Clock</w:t>
      </w:r>
    </w:p>
    <w:p>
      <w:pPr>
        <w:spacing w:after="60" w:before="0"/>
      </w:pPr>
      <w:r>
        <w:rPr>
          <w:rFonts w:ascii="Calibri" w:hAnsi="Calibri"/>
          <w:b w:val="0"/>
          <w:color w:val="5B6770"/>
          <w:sz w:val="17"/>
        </w:rPr>
        <w:t>Expiry-risk agent for a distributor: what it is, why it exists, what it does, and the maths behind it. Training prototype for a fictional company (Larkfield Distribution). All data and policy are made up. All dates are calculated as of 2026-09-21.</w:t>
      </w:r>
    </w:p>
    <w:p>
      <w:pPr>
        <w:keepNext/>
        <w:spacing w:before="90" w:after="40"/>
        <w:pBdr>
          <w:bottom w:val="single" w:sz="6" w:space="1" w:color="2F5D62"/>
        </w:pBdr>
      </w:pPr>
      <w:r>
        <w:rPr>
          <w:rFonts w:ascii="Calibri" w:hAnsi="Calibri"/>
          <w:b/>
          <w:color w:val="2F5D62"/>
          <w:sz w:val="18"/>
          <w:spacing w:val="20"/>
        </w:rPr>
        <w:t>THE NEED</w:t>
      </w:r>
    </w:p>
    <w:p>
      <w:pPr>
        <w:spacing w:after="40" w:before="0"/>
      </w:pPr>
      <w:r>
        <w:rPr>
          <w:rFonts w:ascii="Calibri" w:hAnsi="Calibri"/>
          <w:b w:val="0"/>
          <w:color w:val="1F2933"/>
          <w:sz w:val="19"/>
        </w:rPr>
        <w:t xml:space="preserve">Larkfield writes off about </w:t>
      </w:r>
      <w:r>
        <w:rPr>
          <w:rFonts w:ascii="Calibri" w:hAnsi="Calibri"/>
          <w:b/>
          <w:color w:val="1F2933"/>
          <w:sz w:val="19"/>
        </w:rPr>
        <w:t>$185,000 a year</w:t>
      </w:r>
      <w:r>
        <w:rPr>
          <w:rFonts w:ascii="Calibri" w:hAnsi="Calibri"/>
          <w:b w:val="0"/>
          <w:color w:val="1F2933"/>
          <w:sz w:val="19"/>
        </w:rPr>
        <w:t xml:space="preserve"> to expired stock across 38 locations, 1,100 SKUs and roughly 78,800 units. Nobody can track every batch's shelf life, sell-through and policy limits by hand. The business needs something that spots at-risk batches early, ranks them by money exposed, recommends only actions the policy allows, and never lets a risky or untrustworthy call go out without a person.</w:t>
      </w:r>
    </w:p>
    <w:p>
      <w:pPr>
        <w:keepNext/>
        <w:spacing w:before="90" w:after="40"/>
        <w:pBdr>
          <w:bottom w:val="single" w:sz="6" w:space="1" w:color="2F5D62"/>
        </w:pBdr>
      </w:pPr>
      <w:r>
        <w:rPr>
          <w:rFonts w:ascii="Calibri" w:hAnsi="Calibri"/>
          <w:b/>
          <w:color w:val="2F5D62"/>
          <w:sz w:val="18"/>
          <w:spacing w:val="20"/>
        </w:rPr>
        <w:t>WHAT WAS BUILT</w:t>
      </w:r>
    </w:p>
    <w:p>
      <w:pPr>
        <w:pStyle w:val="ListBullet"/>
        <w:spacing w:after="20"/>
        <w:ind w:left="260" w:hanging="200"/>
      </w:pPr>
      <w:r>
        <w:rPr>
          <w:rFonts w:ascii="Calibri" w:hAnsi="Calibri"/>
          <w:b/>
          <w:color w:val="1F2933"/>
          <w:sz w:val="19"/>
        </w:rPr>
        <w:t xml:space="preserve">A rulebook the agent must cite. </w:t>
      </w:r>
      <w:r>
        <w:rPr>
          <w:rFonts w:ascii="Calibri" w:hAnsi="Calibri"/>
          <w:b w:val="0"/>
          <w:color w:val="1F2933"/>
          <w:sz w:val="19"/>
        </w:rPr>
        <w:t>Eight policy documents in docs/, every clause with an ID (for example REF-ACT-03). No ID means no claim; if docs/ is silent the answer is "Not in docs/".</w:t>
      </w:r>
    </w:p>
    <w:p>
      <w:pPr>
        <w:pStyle w:val="ListBullet"/>
        <w:spacing w:after="20"/>
        <w:ind w:left="260" w:hanging="200"/>
      </w:pPr>
      <w:r>
        <w:rPr>
          <w:rFonts w:ascii="Calibri" w:hAnsi="Calibri"/>
          <w:b/>
          <w:color w:val="1F2933"/>
          <w:sz w:val="19"/>
        </w:rPr>
        <w:t xml:space="preserve">Scripts do all the arithmetic. </w:t>
      </w:r>
      <w:r>
        <w:rPr>
          <w:rFonts w:ascii="Calibri" w:hAnsi="Calibri"/>
          <w:b w:val="0"/>
          <w:color w:val="1F2933"/>
          <w:sz w:val="19"/>
        </w:rPr>
        <w:t>clean.py (dedupes, repairs dates, sets a data check flag), score.py (days, value, score, band) and roi.py. The model never counts or estimates.</w:t>
      </w:r>
    </w:p>
    <w:p>
      <w:pPr>
        <w:pStyle w:val="ListBullet"/>
        <w:spacing w:after="20"/>
        <w:ind w:left="260" w:hanging="200"/>
      </w:pPr>
      <w:r>
        <w:rPr>
          <w:rFonts w:ascii="Calibri" w:hAnsi="Calibri"/>
          <w:b/>
          <w:color w:val="1F2933"/>
          <w:sz w:val="19"/>
        </w:rPr>
        <w:t xml:space="preserve">A decision step, two ways. </w:t>
      </w:r>
      <w:r>
        <w:rPr>
          <w:rFonts w:ascii="Calibri" w:hAnsi="Calibri"/>
          <w:b w:val="0"/>
          <w:color w:val="1F2933"/>
          <w:sz w:val="19"/>
        </w:rPr>
        <w:t>The /shelflife skill in Claude Code, or tools/run_agent.py through the Anthropic API. The model picks the action and cites clauses; a helper agent drafts each request from only three inputs (batch facts, product class, clause text).</w:t>
      </w:r>
    </w:p>
    <w:p>
      <w:pPr>
        <w:pStyle w:val="ListBullet"/>
        <w:spacing w:after="20"/>
        <w:ind w:left="260" w:hanging="200"/>
      </w:pPr>
      <w:r>
        <w:rPr>
          <w:rFonts w:ascii="Calibri" w:hAnsi="Calibri"/>
          <w:b/>
          <w:color w:val="1F2933"/>
          <w:sz w:val="19"/>
        </w:rPr>
        <w:t xml:space="preserve">Controls kept out of the model. </w:t>
      </w:r>
      <w:r>
        <w:rPr>
          <w:rFonts w:ascii="Calibri" w:hAnsi="Calibri"/>
          <w:b w:val="0"/>
          <w:color w:val="1F2933"/>
          <w:sz w:val="19"/>
        </w:rPr>
        <w:t>A data-trust gate runs first; approver roles are applied in code; a separate send check (hooks/pre_send_check.py) lets only READY items out, only to the owner's address. HOLD items go to hold_queue.md and are never emailed.</w:t>
      </w:r>
    </w:p>
    <w:p>
      <w:pPr>
        <w:pStyle w:val="ListBullet"/>
        <w:spacing w:after="20"/>
        <w:ind w:left="260" w:hanging="200"/>
      </w:pPr>
      <w:r>
        <w:rPr>
          <w:rFonts w:ascii="Calibri" w:hAnsi="Calibri"/>
          <w:b/>
          <w:color w:val="1F2933"/>
          <w:sz w:val="19"/>
        </w:rPr>
        <w:t xml:space="preserve">Views. </w:t>
      </w:r>
      <w:r>
        <w:rPr>
          <w:rFonts w:ascii="Calibri" w:hAnsi="Calibri"/>
          <w:b w:val="0"/>
          <w:color w:val="1F2933"/>
          <w:sz w:val="19"/>
        </w:rPr>
        <w:t>dashboard.html is sortable and shows the API run's queue, an ROI panel, a by-location breakdown, and an approval audit trail for HOLD batches (signing off never changes status or the real send check). tools/serve.py is a local live version that runs batches, and accepts approvals, from the page.</w:t>
      </w:r>
    </w:p>
    <w:p>
      <w:pPr>
        <w:keepNext/>
        <w:spacing w:before="90" w:after="40"/>
        <w:pBdr>
          <w:bottom w:val="single" w:sz="6" w:space="1" w:color="2F5D62"/>
        </w:pBdr>
      </w:pPr>
      <w:r>
        <w:rPr>
          <w:rFonts w:ascii="Calibri" w:hAnsi="Calibri"/>
          <w:b/>
          <w:color w:val="2F5D62"/>
          <w:sz w:val="18"/>
          <w:spacing w:val="20"/>
        </w:rPr>
        <w:t>HOW A BATCH IS DECIDED (IN THIS ORDER)</w:t>
      </w:r>
    </w:p>
    <w:p>
      <w:pPr>
        <w:spacing w:after="40" w:before="0"/>
      </w:pPr>
      <w:r>
        <w:rPr>
          <w:rFonts w:ascii="Calibri" w:hAnsi="Calibri"/>
          <w:b/>
          <w:color w:val="1F2933"/>
          <w:sz w:val="19"/>
        </w:rPr>
        <w:t xml:space="preserve">1 Gate. </w:t>
      </w:r>
      <w:r>
        <w:rPr>
          <w:rFonts w:ascii="Calibri" w:hAnsi="Calibri"/>
          <w:b w:val="0"/>
          <w:color w:val="1F2933"/>
          <w:sz w:val="19"/>
        </w:rPr>
        <w:t xml:space="preserve">If the trust flag is not OK (for example MISSING_EXPIRY, or a count older than 45 days), status is HOLD, approver Inventory Control [REF-APR-04]; no action is considered. </w:t>
      </w:r>
      <w:r>
        <w:rPr>
          <w:rFonts w:ascii="Calibri" w:hAnsi="Calibri"/>
          <w:b/>
          <w:color w:val="1F2933"/>
          <w:sz w:val="19"/>
        </w:rPr>
        <w:t xml:space="preserve">2 Class </w:t>
      </w:r>
      <w:r>
        <w:rPr>
          <w:rFonts w:ascii="Calibri" w:hAnsi="Calibri"/>
          <w:b w:val="0"/>
          <w:color w:val="1F2933"/>
          <w:sz w:val="19"/>
        </w:rPr>
        <w:t xml:space="preserve">comes from sku_master.csv, never the row label. </w:t>
      </w:r>
      <w:r>
        <w:rPr>
          <w:rFonts w:ascii="Calibri" w:hAnsi="Calibri"/>
          <w:b/>
          <w:color w:val="1F2933"/>
          <w:sz w:val="19"/>
        </w:rPr>
        <w:t xml:space="preserve">3 Scope: </w:t>
      </w:r>
      <w:r>
        <w:rPr>
          <w:rFonts w:ascii="Calibri" w:hAnsi="Calibri"/>
          <w:b w:val="0"/>
          <w:color w:val="1F2933"/>
          <w:sz w:val="19"/>
        </w:rPr>
        <w:t xml:space="preserve">more than 60 days to expiry is monitor-only. </w:t>
      </w:r>
      <w:r>
        <w:rPr>
          <w:rFonts w:ascii="Calibri" w:hAnsi="Calibri"/>
          <w:b/>
          <w:color w:val="1F2933"/>
          <w:sz w:val="19"/>
        </w:rPr>
        <w:t xml:space="preserve">4 Action: </w:t>
      </w:r>
      <w:r>
        <w:rPr>
          <w:rFonts w:ascii="Calibri" w:hAnsi="Calibri"/>
          <w:b w:val="0"/>
          <w:color w:val="1F2933"/>
          <w:sz w:val="19"/>
        </w:rPr>
        <w:t xml:space="preserve">the highest-preference eligible action. </w:t>
      </w:r>
      <w:r>
        <w:rPr>
          <w:rFonts w:ascii="Calibri" w:hAnsi="Calibri"/>
          <w:b/>
          <w:color w:val="1F2933"/>
          <w:sz w:val="19"/>
        </w:rPr>
        <w:t xml:space="preserve">5 Approval: </w:t>
      </w:r>
      <w:r>
        <w:rPr>
          <w:rFonts w:ascii="Calibri" w:hAnsi="Calibri"/>
          <w:b w:val="0"/>
          <w:color w:val="1F2933"/>
          <w:sz w:val="19"/>
        </w:rPr>
        <w:t>a person must approve any non-MONITOR action that is healthcare, above $2,000 or a disposal; otherwise it is READY.</w:t>
      </w:r>
    </w:p>
    <w:p>
      <w:pPr>
        <w:keepNext/>
        <w:spacing w:before="90" w:after="40"/>
        <w:pBdr>
          <w:bottom w:val="single" w:sz="6" w:space="1" w:color="2F5D62"/>
        </w:pBdr>
      </w:pPr>
      <w:r>
        <w:rPr>
          <w:rFonts w:ascii="Calibri" w:hAnsi="Calibri"/>
          <w:b/>
          <w:color w:val="2F5D62"/>
          <w:sz w:val="18"/>
          <w:spacing w:val="20"/>
        </w:rPr>
        <w:t>THE MATHS</w:t>
      </w:r>
    </w:p>
    <w:tbl>
      <w:tblPr>
        <w:tblW w:type="auto" w:w="0"/>
        <w:jc w:val="center"/>
        <w:tblLayout w:type="fixed"/>
        <w:tblLook w:firstColumn="1" w:firstRow="1" w:lastColumn="0" w:lastRow="0" w:noHBand="0" w:noVBand="1" w:val="04A0"/>
        <w:tblBorders>
          <w:top w:val="single" w:sz="4" w:space="0" w:color="C9D3D6"/>
          <w:left w:val="single" w:sz="4" w:space="0" w:color="C9D3D6"/>
          <w:bottom w:val="single" w:sz="4" w:space="0" w:color="C9D3D6"/>
          <w:right w:val="single" w:sz="4" w:space="0" w:color="C9D3D6"/>
          <w:insideH w:val="single" w:sz="4" w:space="0" w:color="C9D3D6"/>
          <w:insideV w:val="single" w:sz="4" w:space="0" w:color="C9D3D6"/>
        </w:tblBorders>
        <w:tblCellMar>
          <w:top w:w="25" w:type="dxa"/>
          <w:left w:w="80" w:type="dxa"/>
          <w:bottom w:w="25" w:type="dxa"/>
          <w:right w:w="80" w:type="dxa"/>
        </w:tblCellMar>
      </w:tblPr>
      <w:tblGrid>
        <w:gridCol w:w="3600"/>
        <w:gridCol w:w="3600"/>
        <w:gridCol w:w="3600"/>
      </w:tblGrid>
      <w:tr>
        <w:trPr>
          <w:cantSplit/>
        </w:trPr>
        <w:tc>
          <w:tcPr>
            <w:tcW w:type="dxa" w:w="1900"/>
            <w:shd w:val="clear" w:color="auto" w:fill="EAF1F1"/>
          </w:tcPr>
          <w:p>
            <w:pPr>
              <w:spacing w:after="0"/>
            </w:pPr>
            <w:r>
              <w:rPr>
                <w:rFonts w:ascii="Calibri" w:hAnsi="Calibri"/>
                <w:b/>
                <w:color w:val="1F2933"/>
                <w:sz w:val="18"/>
              </w:rPr>
              <w:t>Quantity</w:t>
            </w:r>
          </w:p>
        </w:tc>
        <w:tc>
          <w:tcPr>
            <w:tcW w:type="dxa" w:w="5900"/>
            <w:shd w:val="clear" w:color="auto" w:fill="EAF1F1"/>
          </w:tcPr>
          <w:p>
            <w:pPr>
              <w:spacing w:after="0"/>
            </w:pPr>
            <w:r>
              <w:rPr>
                <w:rFonts w:ascii="Calibri" w:hAnsi="Calibri"/>
                <w:b/>
                <w:color w:val="1F2933"/>
                <w:sz w:val="18"/>
              </w:rPr>
              <w:t>Formula</w:t>
            </w:r>
          </w:p>
        </w:tc>
        <w:tc>
          <w:tcPr>
            <w:tcW w:type="dxa" w:w="3000"/>
            <w:shd w:val="clear" w:color="auto" w:fill="EAF1F1"/>
          </w:tcPr>
          <w:p>
            <w:pPr>
              <w:spacing w:after="0"/>
            </w:pPr>
            <w:r>
              <w:rPr>
                <w:rFonts w:ascii="Calibri" w:hAnsi="Calibri"/>
                <w:b/>
                <w:color w:val="1F2933"/>
                <w:sz w:val="18"/>
              </w:rPr>
              <w:t>Source</w:t>
            </w:r>
          </w:p>
        </w:tc>
      </w:tr>
      <w:tr>
        <w:trPr>
          <w:cantSplit/>
        </w:trPr>
        <w:tc>
          <w:tcPr>
            <w:tcW w:type="dxa" w:w="1900"/>
          </w:tcPr>
          <w:p>
            <w:pPr>
              <w:spacing w:after="0"/>
            </w:pPr>
            <w:r>
              <w:rPr>
                <w:rFonts w:ascii="Calibri" w:hAnsi="Calibri"/>
                <w:b/>
                <w:color w:val="1F2933"/>
                <w:sz w:val="18"/>
              </w:rPr>
              <w:t>Days to expiry, d</w:t>
            </w:r>
          </w:p>
        </w:tc>
        <w:tc>
          <w:tcPr>
            <w:tcW w:type="dxa" w:w="5900"/>
          </w:tcPr>
          <w:p>
            <w:pPr>
              <w:spacing w:after="0"/>
            </w:pPr>
            <w:r>
              <w:rPr>
                <w:rFonts w:ascii="Calibri" w:hAnsi="Calibri"/>
                <w:b w:val="0"/>
                <w:color w:val="1F2933"/>
                <w:sz w:val="18"/>
              </w:rPr>
              <w:t>expiry date minus 2026-09-21 (negative means expired). In scope if d ≤ 60.</w:t>
            </w:r>
          </w:p>
        </w:tc>
        <w:tc>
          <w:tcPr>
            <w:tcW w:type="dxa" w:w="3000"/>
          </w:tcPr>
          <w:p>
            <w:pPr>
              <w:spacing w:after="0"/>
            </w:pPr>
            <w:r>
              <w:rPr>
                <w:rFonts w:ascii="Calibri" w:hAnsi="Calibri"/>
                <w:b w:val="0"/>
                <w:color w:val="5B6770"/>
                <w:sz w:val="18"/>
              </w:rPr>
              <w:t>REF-SCORE-01</w:t>
            </w:r>
          </w:p>
        </w:tc>
      </w:tr>
      <w:tr>
        <w:trPr>
          <w:cantSplit/>
        </w:trPr>
        <w:tc>
          <w:tcPr>
            <w:tcW w:type="dxa" w:w="1900"/>
          </w:tcPr>
          <w:p>
            <w:pPr>
              <w:spacing w:after="0"/>
            </w:pPr>
            <w:r>
              <w:rPr>
                <w:rFonts w:ascii="Calibri" w:hAnsi="Calibri"/>
                <w:b/>
                <w:color w:val="1F2933"/>
                <w:sz w:val="18"/>
              </w:rPr>
              <w:t>Days weight, w</w:t>
            </w:r>
          </w:p>
        </w:tc>
        <w:tc>
          <w:tcPr>
            <w:tcW w:type="dxa" w:w="5900"/>
          </w:tcPr>
          <w:p>
            <w:pPr>
              <w:spacing w:after="0"/>
            </w:pPr>
            <w:r>
              <w:rPr>
                <w:rFonts w:ascii="Calibri" w:hAnsi="Calibri"/>
                <w:b w:val="0"/>
                <w:color w:val="1F2933"/>
                <w:sz w:val="18"/>
              </w:rPr>
              <w:t>1.0 if expired or d ≤ 7;  0.8 if 8 to 14;  0.5 if 15 to 30;  0.2 if 31 to 60</w:t>
            </w:r>
          </w:p>
        </w:tc>
        <w:tc>
          <w:tcPr>
            <w:tcW w:type="dxa" w:w="3000"/>
          </w:tcPr>
          <w:p>
            <w:pPr>
              <w:spacing w:after="0"/>
            </w:pPr>
            <w:r>
              <w:rPr>
                <w:rFonts w:ascii="Calibri" w:hAnsi="Calibri"/>
                <w:b w:val="0"/>
                <w:color w:val="5B6770"/>
                <w:sz w:val="18"/>
              </w:rPr>
              <w:t>REF-SCORE-02</w:t>
            </w:r>
          </w:p>
        </w:tc>
      </w:tr>
      <w:tr>
        <w:trPr>
          <w:cantSplit/>
        </w:trPr>
        <w:tc>
          <w:tcPr>
            <w:tcW w:type="dxa" w:w="1900"/>
          </w:tcPr>
          <w:p>
            <w:pPr>
              <w:spacing w:after="0"/>
            </w:pPr>
            <w:r>
              <w:rPr>
                <w:rFonts w:ascii="Calibri" w:hAnsi="Calibri"/>
                <w:b/>
                <w:color w:val="1F2933"/>
                <w:sz w:val="18"/>
              </w:rPr>
              <w:t>Unsold share, u</w:t>
            </w:r>
          </w:p>
        </w:tc>
        <w:tc>
          <w:tcPr>
            <w:tcW w:type="dxa" w:w="5900"/>
          </w:tcPr>
          <w:p>
            <w:pPr>
              <w:spacing w:after="0"/>
            </w:pPr>
            <w:r>
              <w:rPr>
                <w:rFonts w:ascii="Calibri" w:hAnsi="Calibri"/>
                <w:b w:val="0"/>
                <w:color w:val="1F2933"/>
                <w:sz w:val="18"/>
              </w:rPr>
              <w:t>1 if expired, else max(0, 1 − ((s ÷ 30) × d) ÷ n).  s = units sold in last 30 days, n = units on hand</w:t>
            </w:r>
          </w:p>
        </w:tc>
        <w:tc>
          <w:tcPr>
            <w:tcW w:type="dxa" w:w="3000"/>
          </w:tcPr>
          <w:p>
            <w:pPr>
              <w:spacing w:after="0"/>
            </w:pPr>
            <w:r>
              <w:rPr>
                <w:rFonts w:ascii="Calibri" w:hAnsi="Calibri"/>
                <w:b w:val="0"/>
                <w:color w:val="5B6770"/>
                <w:sz w:val="18"/>
              </w:rPr>
              <w:t>REF-SCORE-03</w:t>
            </w:r>
          </w:p>
        </w:tc>
      </w:tr>
      <w:tr>
        <w:trPr>
          <w:cantSplit/>
        </w:trPr>
        <w:tc>
          <w:tcPr>
            <w:tcW w:type="dxa" w:w="1900"/>
          </w:tcPr>
          <w:p>
            <w:pPr>
              <w:spacing w:after="0"/>
            </w:pPr>
            <w:r>
              <w:rPr>
                <w:rFonts w:ascii="Calibri" w:hAnsi="Calibri"/>
                <w:b/>
                <w:color w:val="1F2933"/>
                <w:sz w:val="18"/>
              </w:rPr>
              <w:t>Batch value, V</w:t>
            </w:r>
          </w:p>
        </w:tc>
        <w:tc>
          <w:tcPr>
            <w:tcW w:type="dxa" w:w="5900"/>
          </w:tcPr>
          <w:p>
            <w:pPr>
              <w:spacing w:after="0"/>
            </w:pPr>
            <w:r>
              <w:rPr>
                <w:rFonts w:ascii="Calibri" w:hAnsi="Calibri"/>
                <w:b w:val="0"/>
                <w:color w:val="1F2933"/>
                <w:sz w:val="18"/>
              </w:rPr>
              <w:t>V = n × unit cost.   Score = V × w × u.   Band: P1 if ≥ 5,000; P2 if 1,000 to 4,999.99; P3 if &lt; 1,000</w:t>
            </w:r>
          </w:p>
        </w:tc>
        <w:tc>
          <w:tcPr>
            <w:tcW w:type="dxa" w:w="3000"/>
          </w:tcPr>
          <w:p>
            <w:pPr>
              <w:spacing w:after="0"/>
            </w:pPr>
            <w:r>
              <w:rPr>
                <w:rFonts w:ascii="Calibri" w:hAnsi="Calibri"/>
                <w:b w:val="0"/>
                <w:color w:val="5B6770"/>
                <w:sz w:val="18"/>
              </w:rPr>
              <w:t>REF-SCORE-04</w:t>
            </w:r>
          </w:p>
        </w:tc>
      </w:tr>
      <w:tr>
        <w:trPr>
          <w:cantSplit/>
        </w:trPr>
        <w:tc>
          <w:tcPr>
            <w:tcW w:type="dxa" w:w="1900"/>
          </w:tcPr>
          <w:p>
            <w:pPr>
              <w:spacing w:after="0"/>
            </w:pPr>
            <w:r>
              <w:rPr>
                <w:rFonts w:ascii="Calibri" w:hAnsi="Calibri"/>
                <w:b/>
                <w:color w:val="1F2933"/>
                <w:sz w:val="18"/>
              </w:rPr>
              <w:t>Action eligibility</w:t>
            </w:r>
          </w:p>
        </w:tc>
        <w:tc>
          <w:tcPr>
            <w:tcW w:type="dxa" w:w="5900"/>
          </w:tcPr>
          <w:p>
            <w:pPr>
              <w:spacing w:after="0"/>
            </w:pPr>
            <w:r>
              <w:rPr>
                <w:rFonts w:ascii="Calibri" w:hAnsi="Calibri"/>
                <w:b w:val="0"/>
                <w:color w:val="1F2933"/>
                <w:sz w:val="18"/>
              </w:rPr>
              <w:t>TRANSFER: d ≥ 21 and a location stocks the SKU with higher s (cold chain / healthcare licence checked).  RETURN: supplier accepts and d ≥ 30.  MARKDOWN: food only; d 15 to 30 up to 30% off, d ≤ 14 up to 50% off.  DISPOSE: donation (food, d 3 to 14) or destruction (expired).  Preference: TRANSFER &gt; RETURN &gt; MARKDOWN &gt; DISPOSE.  MONITOR if out of scope, u &lt; 0.10, or nothing is eligible.</w:t>
            </w:r>
          </w:p>
        </w:tc>
        <w:tc>
          <w:tcPr>
            <w:tcW w:type="dxa" w:w="3000"/>
          </w:tcPr>
          <w:p>
            <w:pPr>
              <w:spacing w:after="0"/>
            </w:pPr>
            <w:r>
              <w:rPr>
                <w:rFonts w:ascii="Calibri" w:hAnsi="Calibri"/>
                <w:b w:val="0"/>
                <w:color w:val="5B6770"/>
                <w:sz w:val="18"/>
              </w:rPr>
              <w:t>REF-ACT-01 to 06, REF-CC, REF-HC</w:t>
            </w:r>
          </w:p>
        </w:tc>
      </w:tr>
      <w:tr>
        <w:trPr>
          <w:cantSplit/>
        </w:trPr>
        <w:tc>
          <w:tcPr>
            <w:tcW w:type="dxa" w:w="1900"/>
          </w:tcPr>
          <w:p>
            <w:pPr>
              <w:spacing w:after="0"/>
            </w:pPr>
            <w:r>
              <w:rPr>
                <w:rFonts w:ascii="Calibri" w:hAnsi="Calibri"/>
                <w:b/>
                <w:color w:val="1F2933"/>
                <w:sz w:val="18"/>
              </w:rPr>
              <w:t>Approvals</w:t>
            </w:r>
          </w:p>
        </w:tc>
        <w:tc>
          <w:tcPr>
            <w:tcW w:type="dxa" w:w="5900"/>
          </w:tcPr>
          <w:p>
            <w:pPr>
              <w:spacing w:after="0"/>
            </w:pPr>
            <w:r>
              <w:rPr>
                <w:rFonts w:ascii="Calibri" w:hAnsi="Calibri"/>
                <w:b w:val="0"/>
                <w:color w:val="1F2933"/>
                <w:sz w:val="18"/>
              </w:rPr>
              <w:t>Healthcare: QA Lead.  V &gt; 2,000: Regional Manager (V &gt; 10,000: Finance Director).  DISPOSE: Finance.  Bad trust flag: Inventory Control.</w:t>
            </w:r>
          </w:p>
        </w:tc>
        <w:tc>
          <w:tcPr>
            <w:tcW w:type="dxa" w:w="3000"/>
          </w:tcPr>
          <w:p>
            <w:pPr>
              <w:spacing w:after="0"/>
            </w:pPr>
            <w:r>
              <w:rPr>
                <w:rFonts w:ascii="Calibri" w:hAnsi="Calibri"/>
                <w:b w:val="0"/>
                <w:color w:val="5B6770"/>
                <w:sz w:val="18"/>
              </w:rPr>
              <w:t>REF-APR-01 to 04</w:t>
            </w:r>
          </w:p>
        </w:tc>
      </w:tr>
      <w:tr>
        <w:trPr>
          <w:cantSplit/>
        </w:trPr>
        <w:tc>
          <w:tcPr>
            <w:tcW w:type="dxa" w:w="1900"/>
          </w:tcPr>
          <w:p>
            <w:pPr>
              <w:spacing w:after="0"/>
            </w:pPr>
            <w:r>
              <w:rPr>
                <w:rFonts w:ascii="Calibri" w:hAnsi="Calibri"/>
                <w:b/>
                <w:color w:val="1F2933"/>
                <w:sz w:val="18"/>
              </w:rPr>
              <w:t>Worked example</w:t>
            </w:r>
          </w:p>
        </w:tc>
        <w:tc>
          <w:tcPr>
            <w:tcW w:type="dxa" w:w="5900"/>
          </w:tcPr>
          <w:p>
            <w:pPr>
              <w:spacing w:after="0"/>
            </w:pPr>
            <w:r>
              <w:rPr>
                <w:rFonts w:ascii="Calibri" w:hAnsi="Calibri"/>
                <w:b w:val="0"/>
                <w:color w:val="1F2933"/>
                <w:sz w:val="18"/>
              </w:rPr>
              <w:t>LF-70001: V = 1,500 × $8.00 = $12,000;  d = 6 so w = 1.0;  u = 1 − ((150 ÷ 30) × 6) ÷ 1,500 = 0.98;  score = 12,000 × 1.0 × 0.98 = 11,760 (P1).  d ≤ 14 so MARKDOWN; V &gt; 10,000 so HOLD for the Finance Director.</w:t>
            </w:r>
          </w:p>
        </w:tc>
        <w:tc>
          <w:tcPr>
            <w:tcW w:type="dxa" w:w="3000"/>
          </w:tcPr>
          <w:p>
            <w:pPr>
              <w:spacing w:after="0"/>
            </w:pPr>
            <w:r>
              <w:rPr>
                <w:rFonts w:ascii="Calibri" w:hAnsi="Calibri"/>
                <w:b w:val="0"/>
                <w:color w:val="5B6770"/>
                <w:sz w:val="18"/>
              </w:rPr>
              <w:t>Matches the run</w:t>
            </w:r>
          </w:p>
        </w:tc>
      </w:tr>
    </w:tbl>
    <w:p>
      <w:pPr>
        <w:keepNext/>
        <w:spacing w:before="90" w:after="40"/>
        <w:pBdr>
          <w:bottom w:val="single" w:sz="6" w:space="1" w:color="2F5D62"/>
        </w:pBdr>
      </w:pPr>
      <w:r>
        <w:rPr>
          <w:rFonts w:ascii="Calibri" w:hAnsi="Calibri"/>
          <w:b/>
          <w:color w:val="2F5D62"/>
          <w:sz w:val="18"/>
          <w:spacing w:val="20"/>
        </w:rPr>
        <w:t>RESULTS AND ROI (ESTIMATES ON MADE-UP DATA)</w:t>
      </w:r>
    </w:p>
    <w:p>
      <w:pPr>
        <w:pStyle w:val="ListBullet"/>
        <w:spacing w:after="20"/>
        <w:ind w:left="260" w:hanging="200"/>
      </w:pPr>
      <w:r>
        <w:rPr>
          <w:rFonts w:ascii="Calibri" w:hAnsi="Calibri"/>
          <w:b/>
          <w:color w:val="1F2933"/>
          <w:sz w:val="19"/>
        </w:rPr>
        <w:t xml:space="preserve">Testing. </w:t>
      </w:r>
      <w:r>
        <w:rPr>
          <w:rFonts w:ascii="Calibri" w:hAnsi="Calibri"/>
          <w:b w:val="0"/>
          <w:color w:val="1F2933"/>
          <w:sz w:val="19"/>
        </w:rPr>
        <w:t>10 designed edge-case batches: 10 of 10 matched the answer key. The send test passed: the READY brief went out and the "everything" brief was blocked by the safety check. On an initial 60-batch check the API run matched the Claude Code run on action, status and approver for 60 of 60, and on clause IDs for 13 of 60 (the rest differ by extra context clauses). Since run over the full in-scope inventory: 380 batches, 269 READY, 43 HOLD, 68 MONITOR.</w:t>
      </w:r>
    </w:p>
    <w:p>
      <w:pPr>
        <w:pStyle w:val="ListBullet"/>
        <w:spacing w:after="20"/>
        <w:ind w:left="260" w:hanging="200"/>
      </w:pPr>
      <w:r>
        <w:rPr>
          <w:rFonts w:ascii="Calibri" w:hAnsi="Calibri"/>
          <w:b/>
          <w:color w:val="1F2933"/>
          <w:sz w:val="19"/>
        </w:rPr>
        <w:t xml:space="preserve">Value at risk and recovery. </w:t>
      </w:r>
      <w:r>
        <w:rPr>
          <w:rFonts w:ascii="Calibri" w:hAnsi="Calibri"/>
          <w:b w:val="0"/>
          <w:color w:val="1F2933"/>
          <w:sz w:val="19"/>
        </w:rPr>
        <w:t xml:space="preserve">Value at risk = V × u. Recovery rates (REF-FIN-02): transfer 90%, return 80% (food) or 90% (healthcare), markdown 60%, dispose and monitor 0%. Computed over the full 370-batch in-scope population (all in-scope batches except the ten designed test ones, excluded the same way the original sample excluded them): </w:t>
      </w:r>
      <w:r>
        <w:rPr>
          <w:rFonts w:ascii="Calibri" w:hAnsi="Calibri"/>
          <w:b/>
          <w:color w:val="1F2933"/>
          <w:sz w:val="19"/>
        </w:rPr>
        <w:t>R = Σ(recovered) ÷ Σ(value at risk) = $41,514.17 ÷ $88,741.19 = 46.78%.</w:t>
      </w:r>
      <w:r>
        <w:rPr>
          <w:rFonts w:ascii="Calibri" w:hAnsi="Calibri"/>
          <w:b w:val="0"/>
          <w:color w:val="1F2933"/>
          <w:sz w:val="19"/>
        </w:rPr>
        <w:t xml:space="preserve"> This replaces an earlier 50-batch sample estimate of 55.09%; the fuller number is lower, not higher.</w:t>
      </w:r>
    </w:p>
    <w:p>
      <w:pPr>
        <w:pStyle w:val="ListBullet"/>
        <w:spacing w:after="20"/>
        <w:ind w:left="260" w:hanging="200"/>
      </w:pPr>
      <w:r>
        <w:rPr>
          <w:rFonts w:ascii="Calibri" w:hAnsi="Calibri"/>
          <w:b/>
          <w:color w:val="1F2933"/>
          <w:sz w:val="19"/>
        </w:rPr>
        <w:t xml:space="preserve">Saving = $185,000 × R × E, </w:t>
      </w:r>
      <w:r>
        <w:rPr>
          <w:rFonts w:ascii="Calibri" w:hAnsi="Calibri"/>
          <w:b w:val="0"/>
          <w:color w:val="1F2933"/>
          <w:sz w:val="19"/>
        </w:rPr>
        <w:t xml:space="preserve">where E is the share of recommendations people act on in time. At E = 60%: </w:t>
      </w:r>
      <w:r>
        <w:rPr>
          <w:rFonts w:ascii="Calibri" w:hAnsi="Calibri"/>
          <w:b/>
          <w:color w:val="1F2933"/>
          <w:sz w:val="19"/>
        </w:rPr>
        <w:t>about $51,927 a year</w:t>
      </w:r>
      <w:r>
        <w:rPr>
          <w:rFonts w:ascii="Calibri" w:hAnsi="Calibri"/>
          <w:b w:val="0"/>
          <w:color w:val="1F2933"/>
          <w:sz w:val="19"/>
        </w:rPr>
        <w:t xml:space="preserve"> (E = 40%: $34,618; E = 80%: $69,236). Break-even needs R × E above cost ÷ $185,000: 27.03% at $50,000 a year (base case 28.07% clears it, but by only about one point, not the six-point margin the sample suggested) and 54.05% at $100,000 (no case tested clears it). One wrong action on the $12,000 batch (LF-70001) now erases 2.77 months of base-case savings.</w:t>
      </w:r>
    </w:p>
    <w:p>
      <w:pPr>
        <w:keepNext/>
        <w:spacing w:before="90" w:after="40"/>
        <w:pBdr>
          <w:bottom w:val="single" w:sz="6" w:space="1" w:color="2F5D62"/>
        </w:pBdr>
      </w:pPr>
      <w:r>
        <w:rPr>
          <w:rFonts w:ascii="Calibri" w:hAnsi="Calibri"/>
          <w:b/>
          <w:color w:val="2F5D62"/>
          <w:sz w:val="18"/>
          <w:spacing w:val="20"/>
        </w:rPr>
        <w:t>KNOWN LIMITS</w:t>
      </w:r>
    </w:p>
    <w:p>
      <w:pPr>
        <w:spacing w:after="40" w:before="0"/>
      </w:pPr>
      <w:r>
        <w:rPr>
          <w:rFonts w:ascii="Calibri" w:hAnsi="Calibri"/>
          <w:b w:val="0"/>
          <w:color w:val="5B6770"/>
          <w:sz w:val="19"/>
        </w:rPr>
        <w:t>Recovery rates and the $185,000 baseline come from made-up policy, not measurement; E is the assumption most likely to break the result. R now rests on the full in-scope population, but its recovery rates are still fictional planning figures. Reading REF-ACT-01 so that u &lt; 0.10 overrides other eligible actions is a judgement call. The approver match checks the rule code, not the model; the send hook only watches the Bash tool; and the approval workflow's name field is typed, not authenticated.</w:t>
      </w:r>
    </w:p>
    <w:sectPr w:rsidR="00FC693F" w:rsidRPr="0006063C" w:rsidSect="00034616">
      <w:pgSz w:w="11906" w:h="16838"/>
      <w:pgMar w:top="500" w:right="553" w:bottom="440" w:left="5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Shelf-Life Clock one-pager</dc:title>
  <dc:subject/>
  <dc:creator>Anubhav Mishra</dc:creator>
  <cp:keywords/>
  <dc:description>generated by python-docx</dc:description>
  <cp:lastModifiedBy/>
  <cp:revision>1</cp:revision>
  <dcterms:created xsi:type="dcterms:W3CDTF">2013-12-23T23:15:00Z</dcterms:created>
  <dcterms:modified xsi:type="dcterms:W3CDTF">2013-12-23T23:15:00Z</dcterms:modified>
  <cp:category/>
</cp:coreProperties>
</file>