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Meanwhile - Evidence Discovery Specification</w:t>
      </w:r>
    </w:p>
    <w:p>
      <w:pPr>
        <w:jc w:val="center"/>
      </w:pPr>
      <w:r>
        <w:rPr>
          <w:i/>
          <w:sz w:val="22"/>
        </w:rPr>
        <w:t>v1.2 controlled re-issue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</w:tcPr>
          <w:p>
            <w:r>
              <w:t>v1.2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Controlled internal artefact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25 May 2026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Controlled update</w:t>
            </w:r>
          </w:p>
        </w:tc>
        <w:tc>
          <w:tcPr>
            <w:tcW w:type="dxa" w:w="5112"/>
          </w:tcPr>
          <w:p>
            <w:r>
              <w:t>Adds door handing evidence requirements, including schedule handing key, tag leader-line/callout-vector visibility, and adaptive crop requirements for GA plan interpretation.</w:t>
            </w:r>
          </w:p>
        </w:tc>
      </w:tr>
    </w:tbl>
    <w:p/>
    <w:p>
      <w:pPr>
        <w:pStyle w:val="Heading1"/>
      </w:pPr>
      <w:r>
        <w:t>1. Purpose and Scope</w:t>
      </w:r>
    </w:p>
    <w:p>
      <w:pPr>
        <w:pStyle w:val="ListBullet"/>
      </w:pPr>
      <w:r>
        <w:t>This specification determines which documents are selected for each audit before audit reasoning is performed.</w:t>
      </w:r>
    </w:p>
    <w:p>
      <w:pPr>
        <w:pStyle w:val="ListBullet"/>
      </w:pPr>
      <w:r>
        <w:t>It prioritises completeness, currency and traceability, while avoiding irrelevant or superseded information.</w:t>
      </w:r>
    </w:p>
    <w:p>
      <w:pPr>
        <w:pStyle w:val="ListBullet"/>
      </w:pPr>
      <w:r>
        <w:t>It does not assess compliance, correctness or quality.</w:t>
      </w:r>
    </w:p>
    <w:p>
      <w:pPr>
        <w:pStyle w:val="ListBullet"/>
      </w:pPr>
      <w:r>
        <w:t>It now explicitly supports evidence discovery for diagram-governed door handing audits.</w:t>
      </w:r>
    </w:p>
    <w:p>
      <w:pPr>
        <w:pStyle w:val="Heading1"/>
      </w:pPr>
      <w:r>
        <w:t>2. System Position</w:t>
      </w:r>
    </w:p>
    <w:p>
      <w:r>
        <w:t>Audit Library -&gt; Evidence Discovery Spec -&gt; Evidence Discovery Prompt -&gt; Semantic Reconstruction Layer -&gt; Audit Prompt Skeleton -&gt; Audit-Type Modifier -&gt; Audit Output + Scoring.</w:t>
      </w:r>
    </w:p>
    <w:p>
      <w:pPr>
        <w:pStyle w:val="Heading1"/>
      </w:pPr>
      <w:r>
        <w:t>3. Audit Category to Expected Document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Audit category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Expected document types</w:t>
            </w:r>
          </w:p>
        </w:tc>
      </w:tr>
      <w:tr>
        <w:tc>
          <w:tcPr>
            <w:tcW w:type="dxa" w:w="5112"/>
            <w:vAlign w:val="top"/>
          </w:tcPr>
          <w:p>
            <w:r>
              <w:t>Fire Strategy</w:t>
            </w:r>
          </w:p>
        </w:tc>
        <w:tc>
          <w:tcPr>
            <w:tcW w:type="dxa" w:w="5112"/>
            <w:vAlign w:val="top"/>
          </w:tcPr>
          <w:p>
            <w:r>
              <w:t>Fire Strategy Reports, Fire Plans, GA Plans</w:t>
            </w:r>
          </w:p>
        </w:tc>
      </w:tr>
      <w:tr>
        <w:tc>
          <w:tcPr>
            <w:tcW w:type="dxa" w:w="5112"/>
            <w:vAlign w:val="top"/>
          </w:tcPr>
          <w:p>
            <w:r>
              <w:t>Spatial Compliance</w:t>
            </w:r>
          </w:p>
        </w:tc>
        <w:tc>
          <w:tcPr>
            <w:tcW w:type="dxa" w:w="5112"/>
            <w:vAlign w:val="top"/>
          </w:tcPr>
          <w:p>
            <w:r>
              <w:t>GA Plans, Flat Layout Plans</w:t>
            </w:r>
          </w:p>
        </w:tc>
      </w:tr>
      <w:tr>
        <w:tc>
          <w:tcPr>
            <w:tcW w:type="dxa" w:w="5112"/>
            <w:vAlign w:val="top"/>
          </w:tcPr>
          <w:p>
            <w:r>
              <w:t>MEP Coordination</w:t>
            </w:r>
          </w:p>
        </w:tc>
        <w:tc>
          <w:tcPr>
            <w:tcW w:type="dxa" w:w="5112"/>
            <w:vAlign w:val="top"/>
          </w:tcPr>
          <w:p>
            <w:r>
              <w:t>MEP Layouts, RCPs, GA Plans</w:t>
            </w:r>
          </w:p>
        </w:tc>
      </w:tr>
      <w:tr>
        <w:tc>
          <w:tcPr>
            <w:tcW w:type="dxa" w:w="5112"/>
            <w:vAlign w:val="top"/>
          </w:tcPr>
          <w:p>
            <w:r>
              <w:t>Spec vs Drawings</w:t>
            </w:r>
          </w:p>
        </w:tc>
        <w:tc>
          <w:tcPr>
            <w:tcW w:type="dxa" w:w="5112"/>
            <w:vAlign w:val="top"/>
          </w:tcPr>
          <w:p>
            <w:r>
              <w:t>Specifications, GA Plans, Schedules, specialist schedules where relevant</w:t>
            </w:r>
          </w:p>
        </w:tc>
      </w:tr>
      <w:tr>
        <w:tc>
          <w:tcPr>
            <w:tcW w:type="dxa" w:w="5112"/>
            <w:vAlign w:val="top"/>
          </w:tcPr>
          <w:p>
            <w:r>
              <w:t>Internal Door Reconciliation</w:t>
            </w:r>
          </w:p>
        </w:tc>
        <w:tc>
          <w:tcPr>
            <w:tcW w:type="dxa" w:w="5112"/>
            <w:vAlign w:val="top"/>
          </w:tcPr>
          <w:p>
            <w:r>
              <w:t>Architect GA Plans, Internal Door Schedule, and any separate door schedules indicated by project convention, including riser, service, access, core, landlord, plant or specialist door schedules.</w:t>
            </w:r>
          </w:p>
        </w:tc>
      </w:tr>
      <w:tr>
        <w:tc>
          <w:tcPr>
            <w:tcW w:type="dxa" w:w="5112"/>
            <w:vAlign w:val="top"/>
          </w:tcPr>
          <w:p>
            <w:r>
              <w:t>Door Handing Reconciliation</w:t>
            </w:r>
          </w:p>
        </w:tc>
        <w:tc>
          <w:tcPr>
            <w:tcW w:type="dxa" w:w="5112"/>
            <w:vAlign w:val="top"/>
          </w:tcPr>
          <w:p>
            <w:r>
              <w:t>Architect GA Plans at readable/vector quality, Internal Door Schedule, Door Handing Key/Legend, schedule notes defining L/R/DBL, and any annotation convention relevant to door tag leader lines/callout vectors.</w:t>
            </w:r>
          </w:p>
        </w:tc>
      </w:tr>
      <w:tr>
        <w:tc>
          <w:tcPr>
            <w:tcW w:type="dxa" w:w="5112"/>
            <w:vAlign w:val="top"/>
          </w:tcPr>
          <w:p>
            <w:r>
              <w:t>Marketing vs Technical</w:t>
            </w:r>
          </w:p>
        </w:tc>
        <w:tc>
          <w:tcPr>
            <w:tcW w:type="dxa" w:w="5112"/>
            <w:vAlign w:val="top"/>
          </w:tcPr>
          <w:p>
            <w:r>
              <w:t>Sales Brochures, GA Plans, Finishes Schedules</w:t>
            </w:r>
          </w:p>
        </w:tc>
      </w:tr>
      <w:tr>
        <w:tc>
          <w:tcPr>
            <w:tcW w:type="dxa" w:w="5112"/>
            <w:vAlign w:val="top"/>
          </w:tcPr>
          <w:p>
            <w:r>
              <w:t>Tender / Contractor</w:t>
            </w:r>
          </w:p>
        </w:tc>
        <w:tc>
          <w:tcPr>
            <w:tcW w:type="dxa" w:w="5112"/>
            <w:vAlign w:val="top"/>
          </w:tcPr>
          <w:p>
            <w:r>
              <w:t>Contractor Drawings, Architect GAs, Specifications</w:t>
            </w:r>
          </w:p>
        </w:tc>
      </w:tr>
      <w:tr>
        <w:tc>
          <w:tcPr>
            <w:tcW w:type="dxa" w:w="5112"/>
            <w:vAlign w:val="top"/>
          </w:tcPr>
          <w:p>
            <w:r>
              <w:t>As-Built / Handover</w:t>
            </w:r>
          </w:p>
        </w:tc>
        <w:tc>
          <w:tcPr>
            <w:tcW w:type="dxa" w:w="5112"/>
            <w:vAlign w:val="top"/>
          </w:tcPr>
          <w:p>
            <w:r>
              <w:t>As-Built Drawings, O&amp;M Manuals, Asset Registers</w:t>
            </w:r>
          </w:p>
        </w:tc>
      </w:tr>
    </w:tbl>
    <w:p/>
    <w:p>
      <w:pPr>
        <w:pStyle w:val="Heading1"/>
      </w:pPr>
      <w:r>
        <w:t>4. Discipline Filtering Rules</w:t>
      </w:r>
    </w:p>
    <w:p>
      <w:pPr>
        <w:pStyle w:val="ListBullet"/>
      </w:pPr>
      <w:r>
        <w:t>Fire Strategy audits -&gt; Fire Engineering and Architecture.</w:t>
      </w:r>
    </w:p>
    <w:p>
      <w:pPr>
        <w:pStyle w:val="ListBullet"/>
      </w:pPr>
      <w:r>
        <w:t>Internal door audits -&gt; Architecture, with associated specialist door schedules where separate scheduling conventions are used.</w:t>
      </w:r>
    </w:p>
    <w:p>
      <w:pPr>
        <w:pStyle w:val="ListBullet"/>
      </w:pPr>
      <w:r>
        <w:t>Door handing audits -&gt; Architecture, with explicit inclusion of door schedule legends/keys and GA drawing information needed to interpret leader lines and swing graphics.</w:t>
      </w:r>
    </w:p>
    <w:p>
      <w:pPr>
        <w:pStyle w:val="ListBullet"/>
      </w:pPr>
      <w:r>
        <w:t>Radiators, MVHR and lighting audits -&gt; MEP, with architecture retained where coordination interfaces are likely.</w:t>
      </w:r>
    </w:p>
    <w:p>
      <w:pPr>
        <w:pStyle w:val="Heading1"/>
      </w:pPr>
      <w:r>
        <w:t>5. Lifecycle Stage to Suitability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Project lifecycle stage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Typical suitability codes / status</w:t>
            </w:r>
          </w:p>
        </w:tc>
      </w:tr>
      <w:tr>
        <w:tc>
          <w:tcPr>
            <w:tcW w:type="dxa" w:w="5112"/>
            <w:vAlign w:val="top"/>
          </w:tcPr>
          <w:p>
            <w:r>
              <w:t>Planning</w:t>
            </w:r>
          </w:p>
        </w:tc>
        <w:tc>
          <w:tcPr>
            <w:tcW w:type="dxa" w:w="5112"/>
            <w:vAlign w:val="top"/>
          </w:tcPr>
          <w:p>
            <w:r>
              <w:t>S0, S2</w:t>
            </w:r>
          </w:p>
        </w:tc>
      </w:tr>
      <w:tr>
        <w:tc>
          <w:tcPr>
            <w:tcW w:type="dxa" w:w="5112"/>
            <w:vAlign w:val="top"/>
          </w:tcPr>
          <w:p>
            <w:r>
              <w:t>Stage 3</w:t>
            </w:r>
          </w:p>
        </w:tc>
        <w:tc>
          <w:tcPr>
            <w:tcW w:type="dxa" w:w="5112"/>
            <w:vAlign w:val="top"/>
          </w:tcPr>
          <w:p>
            <w:r>
              <w:t>S3</w:t>
            </w:r>
          </w:p>
        </w:tc>
      </w:tr>
      <w:tr>
        <w:tc>
          <w:tcPr>
            <w:tcW w:type="dxa" w:w="5112"/>
            <w:vAlign w:val="top"/>
          </w:tcPr>
          <w:p>
            <w:r>
              <w:t>Tender</w:t>
            </w:r>
          </w:p>
        </w:tc>
        <w:tc>
          <w:tcPr>
            <w:tcW w:type="dxa" w:w="5112"/>
            <w:vAlign w:val="top"/>
          </w:tcPr>
          <w:p>
            <w:r>
              <w:t>S4</w:t>
            </w:r>
          </w:p>
        </w:tc>
      </w:tr>
      <w:tr>
        <w:tc>
          <w:tcPr>
            <w:tcW w:type="dxa" w:w="5112"/>
            <w:vAlign w:val="top"/>
          </w:tcPr>
          <w:p>
            <w:r>
              <w:t>Construction</w:t>
            </w:r>
          </w:p>
        </w:tc>
        <w:tc>
          <w:tcPr>
            <w:tcW w:type="dxa" w:w="5112"/>
            <w:vAlign w:val="top"/>
          </w:tcPr>
          <w:p>
            <w:r>
              <w:t>A, B, C</w:t>
            </w:r>
          </w:p>
        </w:tc>
      </w:tr>
      <w:tr>
        <w:tc>
          <w:tcPr>
            <w:tcW w:type="dxa" w:w="5112"/>
            <w:vAlign w:val="top"/>
          </w:tcPr>
          <w:p>
            <w:r>
              <w:t>As-Built</w:t>
            </w:r>
          </w:p>
        </w:tc>
        <w:tc>
          <w:tcPr>
            <w:tcW w:type="dxa" w:w="5112"/>
            <w:vAlign w:val="top"/>
          </w:tcPr>
          <w:p>
            <w:r>
              <w:t>AB</w:t>
            </w:r>
          </w:p>
        </w:tc>
      </w:tr>
    </w:tbl>
    <w:p/>
    <w:p>
      <w:pPr>
        <w:pStyle w:val="Heading1"/>
      </w:pPr>
      <w:r>
        <w:t>6. Inclusion and Exclusion Rules</w:t>
      </w:r>
    </w:p>
    <w:p>
      <w:r>
        <w:t>Inclusion rules:</w:t>
      </w:r>
    </w:p>
    <w:p>
      <w:pPr>
        <w:pStyle w:val="ListBullet"/>
      </w:pPr>
      <w:r>
        <w:t>Latest revision per document number for the relevant lifecycle stage.</w:t>
      </w:r>
    </w:p>
    <w:p>
      <w:pPr>
        <w:pStyle w:val="ListBullet"/>
      </w:pPr>
      <w:r>
        <w:t>Documents covering all relevant blocks, cores and levels.</w:t>
      </w:r>
    </w:p>
    <w:p>
      <w:pPr>
        <w:pStyle w:val="ListBullet"/>
      </w:pPr>
      <w:r>
        <w:t>Shared podium, common, core or landlord levels where applicable.</w:t>
      </w:r>
    </w:p>
    <w:p>
      <w:pPr>
        <w:pStyle w:val="ListBullet"/>
      </w:pPr>
      <w:r>
        <w:t>Separate schedules where naming, legends, project notes, prior audit configuration or unmatched token patterns indicate that certain items are scheduled outside the main schedule.</w:t>
      </w:r>
    </w:p>
    <w:p>
      <w:pPr>
        <w:pStyle w:val="ListBullet"/>
      </w:pPr>
      <w:r>
        <w:t>For door handing audits, GA plans must be selected at a quality that allows door tag, leader line/callout vector, opening, leaf line and swing arc to be inspected.</w:t>
      </w:r>
    </w:p>
    <w:p>
      <w:r>
        <w:t>Exclusion rules:</w:t>
      </w:r>
    </w:p>
    <w:p>
      <w:pPr>
        <w:pStyle w:val="ListBullet"/>
      </w:pPr>
      <w:r>
        <w:t>Superseded revisions.</w:t>
      </w:r>
    </w:p>
    <w:p>
      <w:pPr>
        <w:pStyle w:val="ListBullet"/>
      </w:pPr>
      <w:r>
        <w:t>Sketches, studies or unapproved design options unless no formal issue exists and the audit is explicitly exploratory.</w:t>
      </w:r>
    </w:p>
    <w:p>
      <w:pPr>
        <w:pStyle w:val="ListBullet"/>
      </w:pPr>
      <w:r>
        <w:t>Duplicate documents with identical content.</w:t>
      </w:r>
    </w:p>
    <w:p>
      <w:pPr>
        <w:pStyle w:val="ListBullet"/>
      </w:pPr>
      <w:r>
        <w:t>Documents clearly outside the audit scope.</w:t>
      </w:r>
    </w:p>
    <w:p>
      <w:pPr>
        <w:pStyle w:val="Heading1"/>
      </w:pPr>
      <w:r>
        <w:t>7. Separately Scheduled Door Category Rule</w:t>
      </w:r>
    </w:p>
    <w:p>
      <w:pPr>
        <w:pStyle w:val="ListBullet"/>
      </w:pPr>
      <w:r>
        <w:t>For internal door reconciliation audits, Evidence Discovery must not assume that every door tag shown inside the building envelope belongs to the internal door schedule.</w:t>
      </w:r>
    </w:p>
    <w:p>
      <w:pPr>
        <w:pStyle w:val="ListBullet"/>
      </w:pPr>
      <w:r>
        <w:t>If documentation indicates separately scheduled categories, the relevant schedule must be selected as evidence or the coverage check must flag it as missing.</w:t>
      </w:r>
    </w:p>
    <w:p>
      <w:pPr>
        <w:pStyle w:val="ListBullet"/>
      </w:pPr>
      <w:r>
        <w:t>Examples include riser doors, service riser doors, access doors, landlord/service doors, plant doors, core doors, communal doors and specialist doors.</w:t>
      </w:r>
    </w:p>
    <w:p>
      <w:pPr>
        <w:pStyle w:val="ListBullet"/>
      </w:pPr>
      <w:r>
        <w:t>If a separate schedule is expected but missing, the audit should not convert likely scope exclusions into confirmed mismatches.</w:t>
      </w:r>
    </w:p>
    <w:p>
      <w:pPr>
        <w:pStyle w:val="Heading1"/>
      </w:pPr>
      <w:r>
        <w:t>8. Door Handing Evidence Discovery Rule</w:t>
      </w:r>
    </w:p>
    <w:p>
      <w:pPr>
        <w:pStyle w:val="ListBullet"/>
      </w:pPr>
      <w:r>
        <w:t>For door handing reconciliation audits, the Door Handing Key, legend or schedule note defining L, R and DBL is mandatory evidence unless the project convention is provided as a configured rule.</w:t>
      </w:r>
    </w:p>
    <w:p>
      <w:pPr>
        <w:pStyle w:val="ListBullet"/>
      </w:pPr>
      <w:r>
        <w:t>The discovery process must identify whether the GA plans include visible tag leader lines, callout vectors, pointers or graphic connectors between door IDs and door symbols.</w:t>
      </w:r>
    </w:p>
    <w:p>
      <w:pPr>
        <w:pStyle w:val="ListBullet"/>
      </w:pPr>
      <w:r>
        <w:t>If door tags are remote from their associated openings, the audit must be supplied with plan evidence sufficient to trace the leader line from tag to door symbol.</w:t>
      </w:r>
    </w:p>
    <w:p>
      <w:pPr>
        <w:pStyle w:val="ListBullet"/>
      </w:pPr>
      <w:r>
        <w:t>If the GA plan quality, scale, rasterisation or missing legend prevents reliable leader-line or swing-arc reconstruction, the coverage check must state that the door handing audit is likely to contain UNVERIFIED items or return INCONCLUSIVE.</w:t>
      </w:r>
    </w:p>
    <w:p>
      <w:pPr>
        <w:pStyle w:val="ListBullet"/>
      </w:pPr>
      <w:r>
        <w:t>Discovery must not allow a downstream prompt to use nearest-door proximity as the primary association method where leader lines are present.</w:t>
      </w:r>
    </w:p>
    <w:p>
      <w:pPr>
        <w:pStyle w:val="Heading1"/>
      </w:pPr>
      <w:r>
        <w:t>9. Coverage Validation</w:t>
      </w:r>
    </w:p>
    <w:p>
      <w:pPr>
        <w:pStyle w:val="ListBullet"/>
      </w:pPr>
      <w:r>
        <w:t>Confirm all expected document types are present.</w:t>
      </w:r>
    </w:p>
    <w:p>
      <w:pPr>
        <w:pStyle w:val="ListBullet"/>
      </w:pPr>
      <w:r>
        <w:t>Confirm all relevant levels, blocks and areas are represented.</w:t>
      </w:r>
    </w:p>
    <w:p>
      <w:pPr>
        <w:pStyle w:val="ListBullet"/>
      </w:pPr>
      <w:r>
        <w:t>Confirm whether separate door schedules are present where project convention suggests they exist.</w:t>
      </w:r>
    </w:p>
    <w:p>
      <w:pPr>
        <w:pStyle w:val="ListBullet"/>
      </w:pPr>
      <w:r>
        <w:t>For door handing audits, confirm that a project-specific handing key is present and that GA plan information is sufficient to see door tag, leader line/callout vector, door opening, leaf line and swing arc.</w:t>
      </w:r>
    </w:p>
    <w:p>
      <w:pPr>
        <w:pStyle w:val="ListBullet"/>
      </w:pPr>
      <w:r>
        <w:t>If coverage is insufficient, flag the audit as likely INCONCLUSIVE or request additional evidence.</w:t>
      </w:r>
    </w:p>
    <w:p>
      <w:pPr>
        <w:pStyle w:val="Heading1"/>
      </w:pPr>
      <w:r>
        <w:t>10.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5112"/>
            <w:vAlign w:val="top"/>
          </w:tcPr>
          <w:p>
            <w:r>
              <w:t>v1.0</w:t>
            </w:r>
          </w:p>
        </w:tc>
        <w:tc>
          <w:tcPr>
            <w:tcW w:type="dxa" w:w="5112"/>
            <w:vAlign w:val="top"/>
          </w:tcPr>
          <w:p>
            <w:r>
              <w:t>Initial evidence discovery specification.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v1.1</w:t>
            </w:r>
          </w:p>
        </w:tc>
        <w:tc>
          <w:tcPr>
            <w:tcW w:type="dxa" w:w="5112"/>
            <w:vAlign w:val="top"/>
          </w:tcPr>
          <w:p>
            <w:r>
              <w:t>Added separately scheduled door category rule and explicit discovery requirement for riser/service/core/specialist door schedules.</w:t>
            </w:r>
          </w:p>
        </w:tc>
      </w:tr>
      <w:tr>
        <w:tc>
          <w:tcPr>
            <w:tcW w:type="dxa" w:w="5112"/>
            <w:vAlign w:val="top"/>
          </w:tcPr>
          <w:p>
            <w:r>
              <w:t>v1.2</w:t>
            </w:r>
          </w:p>
        </w:tc>
        <w:tc>
          <w:tcPr>
            <w:tcW w:type="dxa" w:w="5112"/>
            <w:vAlign w:val="top"/>
          </w:tcPr>
          <w:p>
            <w:r>
              <w:t>Added door handing evidence discovery, including handing key, leader-line/callout-vector visibility and adaptive crop suitability requirements.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