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Meanwhile – Audit-Type Modifiers v1.0</w:t>
      </w:r>
    </w:p>
    <w:p>
      <w:r>
        <w:t>This document defines the v1.0 Audit-Type Modifiers used within Meanwhile. Audit-Type Modifiers are internal behavioural control blocks that shape how audit findings are interpreted, without changing what is being checked. They are applied automatically based on the Audit Type defined in the audit library.</w:t>
      </w:r>
    </w:p>
    <w:p>
      <w:pPr>
        <w:pStyle w:val="Heading2"/>
      </w:pPr>
      <w:r>
        <w:t>Modifier 1 — Coordination Audits</w:t>
      </w:r>
    </w:p>
    <w:p>
      <w:r>
        <w:t>Intent:</w:t>
        <w:br/>
        <w:t>Assess whether project information is sufficiently aligned, coordinated, and unambiguous to allow construction to proceed without avoidable RFIs, rework, or clashes.</w:t>
      </w:r>
    </w:p>
    <w:p>
      <w:r>
        <w:t>Coordination interpretation rules:</w:t>
        <w:br/>
        <w:t>- Focus on alignment, completeness, and internal consistency between datasets.</w:t>
        <w:br/>
        <w:t>- Do not flag minor drafting, notation, or graphical differences unless they introduce ambiguity, clashes, or downstream delivery risk.</w:t>
        <w:br/>
        <w:t>- If two datasets clearly convey the same design intent using different representations, this should not be treated as a failure.</w:t>
        <w:br/>
        <w:t>- Flag issues where inconsistencies would reasonably lead to confusion on site, coordination errors, or clarification requests.</w:t>
      </w:r>
    </w:p>
    <w:p>
      <w:pPr>
        <w:pStyle w:val="Heading2"/>
      </w:pPr>
      <w:r>
        <w:t>Modifier 2 — Compliance Audits</w:t>
      </w:r>
    </w:p>
    <w:p>
      <w:r>
        <w:t>Intent:</w:t>
        <w:br/>
        <w:t>Assess whether compliance with regulatory, statutory, or warranty requirements can be clearly demonstrated from the information provided.</w:t>
      </w:r>
    </w:p>
    <w:p>
      <w:r>
        <w:t>Compliance interpretation rules:</w:t>
        <w:br/>
        <w:t>- Interpret requirements conservatively, reflecting how Building Control bodies, warranty providers, or enforcing authorities would assess the information.</w:t>
        <w:br/>
        <w:t>- Absence of evidence must not be treated as evidence of compliance.</w:t>
        <w:br/>
        <w:t>- If compliance cannot be clearly demonstrated from the provided evidence, return FAIL or INCONCLUSIVE as appropriate.</w:t>
        <w:br/>
        <w:t>- Focus on demonstrable compliance rather than design optimisation or best practice.</w:t>
        <w:br/>
        <w:t>- Do not assume that unshown or undocumented measures will be provided later.</w:t>
      </w:r>
    </w:p>
    <w:p>
      <w:pPr>
        <w:pStyle w:val="Heading2"/>
      </w:pPr>
      <w:r>
        <w:t>Modifier 3 — Commercial / Risk Audits</w:t>
      </w:r>
    </w:p>
    <w:p>
      <w:r>
        <w:t>Intent:</w:t>
        <w:br/>
        <w:t>Assess whether discrepancies or inconsistencies could reasonably lead to cost, delay, claims, disputes, or reputational risk for the client or project team.</w:t>
      </w:r>
    </w:p>
    <w:p>
      <w:r>
        <w:t>Commercial risk interpretation rules:</w:t>
        <w:br/>
        <w:t>- Flag discrepancies that could reasonably result in variations, purchaser claims, contractual disputes, or reputational damage.</w:t>
        <w:br/>
        <w:t>- Consider how the information would be interpreted by non-technical stakeholders, including purchasers, funders, or client representatives.</w:t>
        <w:br/>
        <w:t>- Minor technical differences with no realistic commercial consequence should not be flagged.</w:t>
        <w:br/>
        <w:t>- Prioritise issues where ambiguity or misalignment could have financial or programme impact.</w:t>
      </w:r>
    </w:p>
    <w:p>
      <w:pPr>
        <w:pStyle w:val="Heading2"/>
      </w:pPr>
      <w:r>
        <w:t>Governance &amp; Use</w:t>
      </w:r>
    </w:p>
    <w:p>
      <w:r>
        <w:t>- Audit-Type Modifiers are internal system artefacts and are not client-facing.</w:t>
        <w:br/>
        <w:t>- Modifiers are applied automatically based on the Audit Type field in the audit library.</w:t>
        <w:br/>
        <w:t>- Changes to modifier text should be version-controlled and documented, as they affect the behaviour of multiple audits simultaneously.</w:t>
        <w:br/>
        <w:t>- v1.0 modifiers are intentionally limited to three core types to ensure clarity, consistency, and control during early system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