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Meanwhile – Severity &amp; Impact Scoring Spec v1.0</w:t>
      </w:r>
    </w:p>
    <w:p>
      <w:r>
        <w:t>This document defines the v1.0 Severity &amp; Impact Scoring framework for Meanwhile. The purpose of this framework is to prioritise audit findings, support decision-making, and focus attention on issues that present the greatest regulatory, delivery, or commercial risk. Severity and Impact scoring is an internal system layer that augments audit outputs without changing the underlying audit logic.</w:t>
      </w:r>
    </w:p>
    <w:p>
      <w:pPr>
        <w:pStyle w:val="Heading2"/>
      </w:pPr>
      <w:r>
        <w:t>1. Purpose</w:t>
      </w:r>
    </w:p>
    <w:p>
      <w:r>
        <w:t>Severity &amp; Impact scoring is intended to:</w:t>
        <w:br/>
        <w:t>- Help clients and project teams understand which issues matter most</w:t>
        <w:br/>
        <w:t>- Enable prioritisation and triage of audit findings</w:t>
        <w:br/>
        <w:t>- Reflect how experienced design managers and technical leads assess risk</w:t>
        <w:br/>
        <w:t>- Improve the commercial value and usability of audit outputs</w:t>
        <w:br/>
        <w:br/>
        <w:t>Scoring does not replace professional judgement and does not imply certainty.</w:t>
      </w:r>
    </w:p>
    <w:p>
      <w:pPr>
        <w:pStyle w:val="Heading2"/>
      </w:pPr>
      <w:r>
        <w:t>2. Conceptual Model</w:t>
      </w:r>
    </w:p>
    <w:p>
      <w:r>
        <w:t>The v1.0 model uses two independent dimensions:</w:t>
        <w:br/>
        <w:br/>
        <w:t>Severity — the technical, regulatory, or safety seriousness of an issue if it exists.</w:t>
        <w:br/>
        <w:t>Impact — the likely commercial, programme, or reputational effect of the issue.</w:t>
        <w:br/>
        <w:br/>
        <w:t>These dimensions are assessed separately to preserve nuance and avoid over-simplification.</w:t>
      </w:r>
    </w:p>
    <w:p>
      <w:pPr>
        <w:pStyle w:val="Heading2"/>
      </w:pPr>
      <w:r>
        <w:t>3. Severity Scoring</w:t>
      </w:r>
    </w:p>
    <w:p>
      <w:r>
        <w:t>Severity reflects the consequence of an issue from a regulatory, warranty, or technical perspective.</w:t>
      </w:r>
    </w:p>
    <w:tbl>
      <w:tblPr>
        <w:tblW w:type="auto" w:w="0"/>
        <w:tblLook w:firstColumn="1" w:firstRow="1" w:lastColumn="0" w:lastRow="0" w:noHBand="0" w:noVBand="1" w:val="04A0"/>
      </w:tblPr>
      <w:tblGrid>
        <w:gridCol w:w="4320"/>
        <w:gridCol w:w="4320"/>
      </w:tblGrid>
      <w:tr>
        <w:tc>
          <w:tcPr>
            <w:tcW w:type="dxa" w:w="4320"/>
          </w:tcPr>
          <w:p>
            <w:r>
              <w:t>Severity Level</w:t>
            </w:r>
          </w:p>
        </w:tc>
        <w:tc>
          <w:tcPr>
            <w:tcW w:type="dxa" w:w="4320"/>
          </w:tcPr>
          <w:p>
            <w:r>
              <w:t>Definition</w:t>
            </w:r>
          </w:p>
        </w:tc>
      </w:tr>
      <w:tr>
        <w:tc>
          <w:tcPr>
            <w:tcW w:type="dxa" w:w="4320"/>
          </w:tcPr>
          <w:p>
            <w:r>
              <w:t>High</w:t>
            </w:r>
          </w:p>
        </w:tc>
        <w:tc>
          <w:tcPr>
            <w:tcW w:type="dxa" w:w="4320"/>
          </w:tcPr>
          <w:p>
            <w:r>
              <w:t>Could result in regulatory non-compliance, Building Control rejection, warranty refusal, life safety risk, or legal breach.</w:t>
            </w:r>
          </w:p>
        </w:tc>
      </w:tr>
      <w:tr>
        <w:tc>
          <w:tcPr>
            <w:tcW w:type="dxa" w:w="4320"/>
          </w:tcPr>
          <w:p>
            <w:r>
              <w:t>Medium</w:t>
            </w:r>
          </w:p>
        </w:tc>
        <w:tc>
          <w:tcPr>
            <w:tcW w:type="dxa" w:w="4320"/>
          </w:tcPr>
          <w:p>
            <w:r>
              <w:t>Could result in design rework, coordination issues, technical non-compliance, or increased delivery risk.</w:t>
            </w:r>
          </w:p>
        </w:tc>
      </w:tr>
      <w:tr>
        <w:tc>
          <w:tcPr>
            <w:tcW w:type="dxa" w:w="4320"/>
          </w:tcPr>
          <w:p>
            <w:r>
              <w:t>Low</w:t>
            </w:r>
          </w:p>
        </w:tc>
        <w:tc>
          <w:tcPr>
            <w:tcW w:type="dxa" w:w="4320"/>
          </w:tcPr>
          <w:p>
            <w:r>
              <w:t>Minor inconsistency or deviation unlikely to result in material technical or regulatory consequences.</w:t>
            </w:r>
          </w:p>
        </w:tc>
      </w:tr>
    </w:tbl>
    <w:p>
      <w:pPr>
        <w:pStyle w:val="Heading2"/>
      </w:pPr>
      <w:r>
        <w:t>4. Impact Scoring</w:t>
      </w:r>
    </w:p>
    <w:p>
      <w:r>
        <w:t>Impact reflects the potential commercial, programme, or reputational consequences of an issue.</w:t>
      </w:r>
    </w:p>
    <w:tbl>
      <w:tblPr>
        <w:tblW w:type="auto" w:w="0"/>
        <w:tblLook w:firstColumn="1" w:firstRow="1" w:lastColumn="0" w:lastRow="0" w:noHBand="0" w:noVBand="1" w:val="04A0"/>
      </w:tblPr>
      <w:tblGrid>
        <w:gridCol w:w="4320"/>
        <w:gridCol w:w="4320"/>
      </w:tblGrid>
      <w:tr>
        <w:tc>
          <w:tcPr>
            <w:tcW w:type="dxa" w:w="4320"/>
          </w:tcPr>
          <w:p>
            <w:r>
              <w:t>Impact Level</w:t>
            </w:r>
          </w:p>
        </w:tc>
        <w:tc>
          <w:tcPr>
            <w:tcW w:type="dxa" w:w="4320"/>
          </w:tcPr>
          <w:p>
            <w:r>
              <w:t>Definition</w:t>
            </w:r>
          </w:p>
        </w:tc>
      </w:tr>
      <w:tr>
        <w:tc>
          <w:tcPr>
            <w:tcW w:type="dxa" w:w="4320"/>
          </w:tcPr>
          <w:p>
            <w:r>
              <w:t>High</w:t>
            </w:r>
          </w:p>
        </w:tc>
        <w:tc>
          <w:tcPr>
            <w:tcW w:type="dxa" w:w="4320"/>
          </w:tcPr>
          <w:p>
            <w:r>
              <w:t>Likely to result in cost, delay, claims, disputes, or reputational damage.</w:t>
            </w:r>
          </w:p>
        </w:tc>
      </w:tr>
      <w:tr>
        <w:tc>
          <w:tcPr>
            <w:tcW w:type="dxa" w:w="4320"/>
          </w:tcPr>
          <w:p>
            <w:r>
              <w:t>Medium</w:t>
            </w:r>
          </w:p>
        </w:tc>
        <w:tc>
          <w:tcPr>
            <w:tcW w:type="dxa" w:w="4320"/>
          </w:tcPr>
          <w:p>
            <w:r>
              <w:t>Could result in inefficiency, abortive work, localised rework, or minor delays.</w:t>
            </w:r>
          </w:p>
        </w:tc>
      </w:tr>
      <w:tr>
        <w:tc>
          <w:tcPr>
            <w:tcW w:type="dxa" w:w="4320"/>
          </w:tcPr>
          <w:p>
            <w:r>
              <w:t>Low</w:t>
            </w:r>
          </w:p>
        </w:tc>
        <w:tc>
          <w:tcPr>
            <w:tcW w:type="dxa" w:w="4320"/>
          </w:tcPr>
          <w:p>
            <w:r>
              <w:t>Unlikely to have a material effect on cost, programme, or reputation.</w:t>
            </w:r>
          </w:p>
        </w:tc>
      </w:tr>
    </w:tbl>
    <w:p>
      <w:pPr>
        <w:pStyle w:val="Heading2"/>
      </w:pPr>
      <w:r>
        <w:t>5. Baseline Scoring Rules</w:t>
      </w:r>
    </w:p>
    <w:p>
      <w:r>
        <w:t>Baseline Severity and Impact scores should be pre-assigned deterministically using audit metadata, before any AI-assisted adjustment.</w:t>
        <w:br/>
        <w:br/>
        <w:t>Baseline scoring inputs may include:</w:t>
        <w:br/>
        <w:t>- Audit Category</w:t>
        <w:br/>
        <w:t>- Audit Type (Coordination / Compliance / Commercial)</w:t>
        <w:br/>
        <w:t>- Authority / Assurance Layer</w:t>
        <w:br/>
        <w:br/>
        <w:t>Example baseline assumptions:</w:t>
        <w:br/>
        <w:t>- Fire Strategy audits → High Severity</w:t>
        <w:br/>
        <w:t>- Spatial Compliance audits → High Severity</w:t>
        <w:br/>
        <w:t>- MEP Coordination audits → Medium Severity</w:t>
        <w:br/>
        <w:t>- Marketing vs Technical audits → Low to Medium Severity</w:t>
      </w:r>
    </w:p>
    <w:p>
      <w:pPr>
        <w:pStyle w:val="Heading2"/>
      </w:pPr>
      <w:r>
        <w:t>6. AI-Assisted Adjustment Rules</w:t>
      </w:r>
    </w:p>
    <w:p>
      <w:r>
        <w:t>Following baseline assignment, AI-assisted audits may adjust Severity or Impact by a maximum of one level, up or down, where clearly justified by the evidence.</w:t>
        <w:br/>
        <w:br/>
        <w:t>Adjustment rules:</w:t>
        <w:br/>
        <w:t>- Adjustments must be evidence-based and explicitly justified in the reasoning.</w:t>
        <w:br/>
        <w:t>- Adjustments must not exceed one level.</w:t>
        <w:br/>
        <w:t>- If uncertainty exists, baseline scores should be retained.</w:t>
      </w:r>
    </w:p>
    <w:p>
      <w:pPr>
        <w:pStyle w:val="Heading2"/>
      </w:pPr>
      <w:r>
        <w:t>7. Integration with Audit Outputs</w:t>
      </w:r>
    </w:p>
    <w:p>
      <w:r>
        <w:t>Severity and Impact scores should be included as structured fields within audit outputs.</w:t>
        <w:br/>
        <w:br/>
        <w:t>Example output fields:</w:t>
        <w:br/>
        <w:t>Severity: High / Medium / Low</w:t>
        <w:br/>
        <w:t>Impact: High / Medium / Low</w:t>
        <w:br/>
        <w:br/>
        <w:t>These fields support filtering, sorting, and prioritisation across large audit result sets.</w:t>
      </w:r>
    </w:p>
    <w:p>
      <w:pPr>
        <w:pStyle w:val="Heading2"/>
      </w:pPr>
      <w:r>
        <w:t>8. Governance &amp; Versioning</w:t>
      </w:r>
    </w:p>
    <w:p>
      <w:r>
        <w:t>Severity &amp; Impact Scoring is an internal system layer.</w:t>
        <w:br/>
        <w:br/>
        <w:t>- Scoring logic must be version-controlled.</w:t>
        <w:br/>
        <w:t>- Changes to definitions or baseline assumptions should be documented.</w:t>
        <w:br/>
        <w:t>- v1.0 prioritises clarity, conservatism, and credibility over numerical precision.</w:t>
        <w:br/>
        <w:br/>
        <w:t>Future versions may introduce weighting, lifecycle sensitivity, or portfolio-level aggregation once sufficient usage data is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