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Meanwhile - Model Audit</w:t>
      </w:r>
    </w:p>
    <w:p>
      <w:pPr>
        <w:jc w:val="center"/>
      </w:pPr>
      <w:r>
        <w:rPr>
          <w:i/>
          <w:sz w:val="22"/>
        </w:rPr>
        <w:t>v1.2 controlled re-issue</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Version</w:t>
            </w:r>
          </w:p>
        </w:tc>
        <w:tc>
          <w:tcPr>
            <w:tcW w:type="dxa" w:w="5112"/>
          </w:tcPr>
          <w:p>
            <w:r>
              <w:t>v1.2</w:t>
            </w:r>
          </w:p>
        </w:tc>
      </w:tr>
      <w:tr>
        <w:tc>
          <w:tcPr>
            <w:tcW w:type="dxa" w:w="5112"/>
            <w:shd w:fill="E7E6E6"/>
          </w:tcPr>
          <w:p>
            <w:r>
              <w:rPr>
                <w:b/>
              </w:rPr>
              <w:t>Status</w:t>
            </w:r>
          </w:p>
        </w:tc>
        <w:tc>
          <w:tcPr>
            <w:tcW w:type="dxa" w:w="5112"/>
          </w:tcPr>
          <w:p>
            <w:r>
              <w:t>Controlled internal artefact</w:t>
            </w:r>
          </w:p>
        </w:tc>
      </w:tr>
      <w:tr>
        <w:tc>
          <w:tcPr>
            <w:tcW w:type="dxa" w:w="5112"/>
            <w:shd w:fill="E7E6E6"/>
          </w:tcPr>
          <w:p>
            <w:r>
              <w:rPr>
                <w:b/>
              </w:rPr>
              <w:t>Date</w:t>
            </w:r>
          </w:p>
        </w:tc>
        <w:tc>
          <w:tcPr>
            <w:tcW w:type="dxa" w:w="5112"/>
          </w:tcPr>
          <w:p>
            <w:r>
              <w:t>25 May 2026</w:t>
            </w:r>
          </w:p>
        </w:tc>
      </w:tr>
      <w:tr>
        <w:tc>
          <w:tcPr>
            <w:tcW w:type="dxa" w:w="5112"/>
            <w:shd w:fill="E7E6E6"/>
          </w:tcPr>
          <w:p>
            <w:r>
              <w:rPr>
                <w:b/>
              </w:rPr>
              <w:t>Controlled update</w:t>
            </w:r>
          </w:p>
        </w:tc>
        <w:tc>
          <w:tcPr>
            <w:tcW w:type="dxa" w:w="5112"/>
          </w:tcPr>
          <w:p>
            <w:r>
              <w:t>Adds door handing evidence requirements, including schedule handing key, tag leader-line/callout-vector visibility, and adaptive crop requirements for GA plan interpretation.</w:t>
            </w:r>
          </w:p>
        </w:tc>
      </w:tr>
    </w:tbl>
    <w:p/>
    <w:p>
      <w:pPr>
        <w:pStyle w:val="Heading1"/>
      </w:pPr>
      <w:r>
        <w:t>1. Purpose of the Model Audit</w:t>
      </w:r>
    </w:p>
    <w:p>
      <w:r>
        <w:t>The Model Audit is a curated internal reference example that demonstrates how a single Meanwhile audit is structured, executed, interpreted and prioritised. This version adds a door handing variant to the internal door reconciliation reference.</w:t>
      </w:r>
    </w:p>
    <w:p>
      <w:pPr>
        <w:pStyle w:val="Heading1"/>
      </w:pPr>
      <w:r>
        <w:t>2. Audit Metadata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Field</w:t>
            </w:r>
          </w:p>
        </w:tc>
        <w:tc>
          <w:tcPr>
            <w:tcW w:type="dxa" w:w="5112"/>
            <w:shd w:fill="D9EAF7"/>
          </w:tcPr>
          <w:p>
            <w:r>
              <w:rPr>
                <w:b/>
              </w:rPr>
              <w:t>Value</w:t>
            </w:r>
          </w:p>
        </w:tc>
      </w:tr>
      <w:tr>
        <w:tc>
          <w:tcPr>
            <w:tcW w:type="dxa" w:w="5112"/>
            <w:vAlign w:val="top"/>
          </w:tcPr>
          <w:p>
            <w:r>
              <w:t>Audit name</w:t>
            </w:r>
          </w:p>
        </w:tc>
        <w:tc>
          <w:tcPr>
            <w:tcW w:type="dxa" w:w="5112"/>
            <w:vAlign w:val="top"/>
          </w:tcPr>
          <w:p>
            <w:r>
              <w:t>Door Handing Reconciliation - Internal Door Schedule vs GA Plans</w:t>
            </w:r>
          </w:p>
        </w:tc>
      </w:tr>
      <w:tr>
        <w:tc>
          <w:tcPr>
            <w:tcW w:type="dxa" w:w="5112"/>
            <w:vAlign w:val="top"/>
          </w:tcPr>
          <w:p>
            <w:r>
              <w:t>Audit category</w:t>
            </w:r>
          </w:p>
        </w:tc>
        <w:tc>
          <w:tcPr>
            <w:tcW w:type="dxa" w:w="5112"/>
            <w:vAlign w:val="top"/>
          </w:tcPr>
          <w:p>
            <w:r>
              <w:t>Spec vs Drawings / Coordination</w:t>
            </w:r>
          </w:p>
        </w:tc>
      </w:tr>
      <w:tr>
        <w:tc>
          <w:tcPr>
            <w:tcW w:type="dxa" w:w="5112"/>
            <w:vAlign w:val="top"/>
          </w:tcPr>
          <w:p>
            <w:r>
              <w:t>Audit type</w:t>
            </w:r>
          </w:p>
        </w:tc>
        <w:tc>
          <w:tcPr>
            <w:tcW w:type="dxa" w:w="5112"/>
            <w:vAlign w:val="top"/>
          </w:tcPr>
          <w:p>
            <w:r>
              <w:t>Coordination</w:t>
            </w:r>
          </w:p>
        </w:tc>
      </w:tr>
      <w:tr>
        <w:tc>
          <w:tcPr>
            <w:tcW w:type="dxa" w:w="5112"/>
            <w:vAlign w:val="top"/>
          </w:tcPr>
          <w:p>
            <w:r>
              <w:t>Project lifecycle stage</w:t>
            </w:r>
          </w:p>
        </w:tc>
        <w:tc>
          <w:tcPr>
            <w:tcW w:type="dxa" w:w="5112"/>
            <w:vAlign w:val="top"/>
          </w:tcPr>
          <w:p>
            <w:r>
              <w:t>Tender</w:t>
            </w:r>
          </w:p>
        </w:tc>
      </w:tr>
      <w:tr>
        <w:tc>
          <w:tcPr>
            <w:tcW w:type="dxa" w:w="5112"/>
            <w:vAlign w:val="top"/>
          </w:tcPr>
          <w:p>
            <w:r>
              <w:t>Primary authority of concern</w:t>
            </w:r>
          </w:p>
        </w:tc>
        <w:tc>
          <w:tcPr>
            <w:tcW w:type="dxa" w:w="5112"/>
            <w:vAlign w:val="top"/>
          </w:tcPr>
          <w:p>
            <w:r>
              <w:t>Internal Governance / Commercial Risk</w:t>
            </w:r>
          </w:p>
        </w:tc>
      </w:tr>
    </w:tbl>
    <w:p/>
    <w:p>
      <w:pPr>
        <w:pStyle w:val="Heading1"/>
      </w:pPr>
      <w:r>
        <w:t>3. Audit Intent</w:t>
      </w:r>
    </w:p>
    <w:p>
      <w:r>
        <w:t>This audit checks whether the Door Hung values in the architect’s internal door schedule are consistent with the door swing graphics shown on the architect’s GA plans. The audit must use the schedule Door Handing Key as the semantic authority and must associate remote door tags to the correct door symbol by tracing leader lines/callout vectors where present.</w:t>
      </w:r>
    </w:p>
    <w:p>
      <w:pPr>
        <w:pStyle w:val="Heading1"/>
      </w:pPr>
      <w:r>
        <w:t>4. Evidence Discovery Applied</w:t>
      </w:r>
    </w:p>
    <w:p>
      <w:pPr>
        <w:pStyle w:val="ListBullet"/>
      </w:pPr>
      <w:r>
        <w:t>Architect GA plans.</w:t>
      </w:r>
    </w:p>
    <w:p>
      <w:pPr>
        <w:pStyle w:val="ListBullet"/>
      </w:pPr>
      <w:r>
        <w:t>Architect internal door schedule.</w:t>
      </w:r>
    </w:p>
    <w:p>
      <w:pPr>
        <w:pStyle w:val="ListBullet"/>
      </w:pPr>
      <w:r>
        <w:t>Door Handing Key or schedule legend defining L, R and DBL.</w:t>
      </w:r>
    </w:p>
    <w:p>
      <w:pPr>
        <w:pStyle w:val="ListBullet"/>
      </w:pPr>
      <w:r>
        <w:t>Any drawing annotation convention explaining door tag leader lines/callout vectors.</w:t>
      </w:r>
    </w:p>
    <w:p>
      <w:pPr>
        <w:pStyle w:val="ListBullet"/>
      </w:pPr>
      <w:r>
        <w:t>Any separate door schedules indicated by the project, including riser, service, access, core, landlord, plant, communal or specialist door schedules.</w:t>
      </w:r>
    </w:p>
    <w:p>
      <w:pPr>
        <w:pStyle w:val="ListBullet"/>
      </w:pPr>
      <w:r>
        <w:t>Discipline focus: Architecture.</w:t>
      </w:r>
    </w:p>
    <w:p>
      <w:pPr>
        <w:pStyle w:val="ListBullet"/>
      </w:pPr>
      <w:r>
        <w:t>Lifecycle suitability: Tender / S4, unless configured otherwise.</w:t>
      </w:r>
    </w:p>
    <w:p>
      <w:pPr>
        <w:pStyle w:val="Heading1"/>
      </w:pPr>
      <w:r>
        <w:t>5. Audit Task</w:t>
      </w:r>
    </w:p>
    <w:p>
      <w:r>
        <w:t>Check whether in-scope scheduled door handings are consistent with the corresponding GA-plan door swing graphics at the tender stage.</w:t>
      </w:r>
    </w:p>
    <w:p>
      <w:pPr>
        <w:pStyle w:val="Heading1"/>
      </w:pPr>
      <w:r>
        <w:t>6. Scope and Definitions</w:t>
      </w:r>
    </w:p>
    <w:p>
      <w:pPr>
        <w:pStyle w:val="ListBullet"/>
      </w:pPr>
      <w:r>
        <w:t>The audit checks doors intended to be captured in the architect’s internal door schedule.</w:t>
      </w:r>
    </w:p>
    <w:p>
      <w:pPr>
        <w:pStyle w:val="ListBullet"/>
      </w:pPr>
      <w:r>
        <w:t>Do not assume that every GA door tag belongs to the internal door schedule.</w:t>
      </w:r>
    </w:p>
    <w:p>
      <w:pPr>
        <w:pStyle w:val="ListBullet"/>
      </w:pPr>
      <w:r>
        <w:t>Riser, service, access, landlord/service, plant, core, communal and specialist door categories are excluded from the internal door schedule reconciliation where evidence indicates they are scheduled separately.</w:t>
      </w:r>
    </w:p>
    <w:p>
      <w:pPr>
        <w:pStyle w:val="ListBullet"/>
      </w:pPr>
      <w:r>
        <w:t>The Door Handing Key in the schedule governs interpretation of L, R and DBL.</w:t>
      </w:r>
    </w:p>
    <w:p>
      <w:pPr>
        <w:pStyle w:val="ListBullet"/>
      </w:pPr>
      <w:r>
        <w:t>If no handing key, legend, note or configured convention is provided, L/R/DBL interpretation must not be inferred as a confirmed PASS/FAIL.</w:t>
      </w:r>
    </w:p>
    <w:p>
      <w:pPr>
        <w:pStyle w:val="ListBullet"/>
      </w:pPr>
      <w:r>
        <w:t>Doors are assessed on a level-by-level basis from GA plans, subject to confirmed scope classification and valid level evidence.</w:t>
      </w:r>
    </w:p>
    <w:p>
      <w:pPr>
        <w:pStyle w:val="Heading1"/>
      </w:pPr>
      <w:r>
        <w:t>7. Door Tag-to-Swing Association Rule</w:t>
      </w:r>
    </w:p>
    <w:p>
      <w:pPr>
        <w:pStyle w:val="ListBullet"/>
      </w:pPr>
      <w:r>
        <w:t>For each scheduled door ID, locate the matching GA tag and generate an evidence crop.</w:t>
      </w:r>
    </w:p>
    <w:p>
      <w:pPr>
        <w:pStyle w:val="ListBullet"/>
      </w:pPr>
      <w:r>
        <w:t>The crop must be large enough to include the door tag, any leader line/callout vector, the door opening, leaf line, swing arc and adjacent wall context.</w:t>
      </w:r>
    </w:p>
    <w:p>
      <w:pPr>
        <w:pStyle w:val="ListBullet"/>
      </w:pPr>
      <w:r>
        <w:t>Where a leader line, pointer, callout vector or graphic connector links a tag to a door symbol, that connector governs the tag-to-door association.</w:t>
      </w:r>
    </w:p>
    <w:p>
      <w:pPr>
        <w:pStyle w:val="ListBullet"/>
      </w:pPr>
      <w:r>
        <w:t>Trace the leader line from the tag toward the door symbol before using nearest-neighbour association.</w:t>
      </w:r>
    </w:p>
    <w:p>
      <w:pPr>
        <w:pStyle w:val="ListBullet"/>
      </w:pPr>
      <w:r>
        <w:t>If the leader line is partially obscured, broken, cropped or visually ambiguous, expand the crop along the likely line direction.</w:t>
      </w:r>
    </w:p>
    <w:p>
      <w:pPr>
        <w:pStyle w:val="ListBullet"/>
      </w:pPr>
      <w:r>
        <w:t>Nearest-neighbour association may be used only where no leader line is visible and the spatial association is unambiguous.</w:t>
      </w:r>
    </w:p>
    <w:p>
      <w:pPr>
        <w:pStyle w:val="ListBullet"/>
      </w:pPr>
      <w:r>
        <w:t>If multiple candidate doors or connectors exist, classify the item as UNVERIFIED rather than forcing a result.</w:t>
      </w:r>
    </w:p>
    <w:p>
      <w:pPr>
        <w:pStyle w:val="Heading1"/>
      </w:pPr>
      <w:r>
        <w:t>8. Door Handing Classification Process</w:t>
      </w:r>
    </w:p>
    <w:p>
      <w:pPr>
        <w:pStyle w:val="ListNumber"/>
      </w:pPr>
      <w:r>
        <w:t>Extract scheduled door ID and Door Hung value.</w:t>
      </w:r>
    </w:p>
    <w:p>
      <w:pPr>
        <w:pStyle w:val="ListNumber"/>
      </w:pPr>
      <w:r>
        <w:t>Locate matching GA door tag within the valid level evidence set.</w:t>
      </w:r>
    </w:p>
    <w:p>
      <w:pPr>
        <w:pStyle w:val="ListNumber"/>
      </w:pPr>
      <w:r>
        <w:t>Use leader-line/callout-vector tracing to associate the tag with a specific door symbol.</w:t>
      </w:r>
    </w:p>
    <w:p>
      <w:pPr>
        <w:pStyle w:val="ListNumber"/>
      </w:pPr>
      <w:r>
        <w:t>Identify whether the door symbol is single-leaf or double-leaf.</w:t>
      </w:r>
    </w:p>
    <w:p>
      <w:pPr>
        <w:pStyle w:val="ListNumber"/>
      </w:pPr>
      <w:r>
        <w:t>Identify the door leaf line, hinge point and swing arc where visible.</w:t>
      </w:r>
    </w:p>
    <w:p>
      <w:pPr>
        <w:pStyle w:val="ListNumber"/>
      </w:pPr>
      <w:r>
        <w:t>Normalise symbol orientation and compare against the Door Handing Key.</w:t>
      </w:r>
    </w:p>
    <w:p>
      <w:pPr>
        <w:pStyle w:val="ListNumber"/>
      </w:pPr>
      <w:r>
        <w:t>Return GA-derived handing as L, R, DBL or UNVERIFIED.</w:t>
      </w:r>
    </w:p>
    <w:p>
      <w:pPr>
        <w:pStyle w:val="ListNumber"/>
      </w:pPr>
      <w:r>
        <w:t>Compare GA-derived handing with scheduled Door Hung value.</w:t>
      </w:r>
    </w:p>
    <w:p>
      <w:pPr>
        <w:pStyle w:val="ListNumber"/>
      </w:pPr>
      <w:r>
        <w:t>Report PASS only where both schedule value and GA-derived value are high-confidence. Report FAIL only where a clear high-confidence conflict exists.</w:t>
      </w:r>
    </w:p>
    <w:p>
      <w:pPr>
        <w:pStyle w:val="Heading1"/>
      </w:pPr>
      <w:r>
        <w:t>9. Classification Taxonomy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Category</w:t>
            </w:r>
          </w:p>
        </w:tc>
        <w:tc>
          <w:tcPr>
            <w:tcW w:type="dxa" w:w="3408"/>
            <w:shd w:fill="D9EAF7"/>
          </w:tcPr>
          <w:p>
            <w:r>
              <w:rPr>
                <w:b/>
              </w:rPr>
              <w:t>Definition</w:t>
            </w:r>
          </w:p>
        </w:tc>
        <w:tc>
          <w:tcPr>
            <w:tcW w:type="dxa" w:w="3408"/>
            <w:shd w:fill="D9EAF7"/>
          </w:tcPr>
          <w:p>
            <w:r>
              <w:rPr>
                <w:b/>
              </w:rPr>
              <w:t>Audit treatment</w:t>
            </w:r>
          </w:p>
        </w:tc>
      </w:tr>
      <w:tr>
        <w:tc>
          <w:tcPr>
            <w:tcW w:type="dxa" w:w="3408"/>
            <w:vAlign w:val="top"/>
          </w:tcPr>
          <w:p>
            <w:r>
              <w:t>PASS</w:t>
            </w:r>
          </w:p>
        </w:tc>
        <w:tc>
          <w:tcPr>
            <w:tcW w:type="dxa" w:w="3408"/>
            <w:vAlign w:val="top"/>
          </w:tcPr>
          <w:p>
            <w:r>
              <w:t>Schedule handing and GA-derived handing match with high confidence.</w:t>
            </w:r>
          </w:p>
        </w:tc>
        <w:tc>
          <w:tcPr>
            <w:tcW w:type="dxa" w:w="3408"/>
            <w:vAlign w:val="top"/>
          </w:tcPr>
          <w:p>
            <w:r>
              <w:t>Report as coordinated item or omit from exception report according to output configuration.</w:t>
            </w:r>
          </w:p>
        </w:tc>
      </w:tr>
      <w:tr>
        <w:tc>
          <w:tcPr>
            <w:tcW w:type="dxa" w:w="3408"/>
            <w:vAlign w:val="top"/>
          </w:tcPr>
          <w:p>
            <w:r>
              <w:t>FAIL</w:t>
            </w:r>
          </w:p>
        </w:tc>
        <w:tc>
          <w:tcPr>
            <w:tcW w:type="dxa" w:w="3408"/>
            <w:vAlign w:val="top"/>
          </w:tcPr>
          <w:p>
            <w:r>
              <w:t>Schedule handing and GA-derived handing clearly conflict with high confidence.</w:t>
            </w:r>
          </w:p>
        </w:tc>
        <w:tc>
          <w:tcPr>
            <w:tcW w:type="dxa" w:w="3408"/>
            <w:vAlign w:val="top"/>
          </w:tcPr>
          <w:p>
            <w:r>
              <w:t>Report as coordination failure.</w:t>
            </w:r>
          </w:p>
        </w:tc>
      </w:tr>
      <w:tr>
        <w:tc>
          <w:tcPr>
            <w:tcW w:type="dxa" w:w="3408"/>
            <w:vAlign w:val="top"/>
          </w:tcPr>
          <w:p>
            <w:r>
              <w:t>UNVERIFIED</w:t>
            </w:r>
          </w:p>
        </w:tc>
        <w:tc>
          <w:tcPr>
            <w:tcW w:type="dxa" w:w="3408"/>
            <w:vAlign w:val="top"/>
          </w:tcPr>
          <w:p>
            <w:r>
              <w:t>The tag, leader line, door symbol, swing arc or key comparison cannot be confirmed at sufficient confidence.</w:t>
            </w:r>
          </w:p>
        </w:tc>
        <w:tc>
          <w:tcPr>
            <w:tcW w:type="dxa" w:w="3408"/>
            <w:vAlign w:val="top"/>
          </w:tcPr>
          <w:p>
            <w:r>
              <w:t>Do not report as a confirmed failure; include in review queue.</w:t>
            </w:r>
          </w:p>
        </w:tc>
      </w:tr>
      <w:tr>
        <w:tc>
          <w:tcPr>
            <w:tcW w:type="dxa" w:w="3408"/>
            <w:vAlign w:val="top"/>
          </w:tcPr>
          <w:p>
            <w:r>
              <w:t>NOT TESTED</w:t>
            </w:r>
          </w:p>
        </w:tc>
        <w:tc>
          <w:tcPr>
            <w:tcW w:type="dxa" w:w="3408"/>
            <w:vAlign w:val="top"/>
          </w:tcPr>
          <w:p>
            <w:r>
              <w:t>Door excluded by scope rule or missing from valid evidence set.</w:t>
            </w:r>
          </w:p>
        </w:tc>
        <w:tc>
          <w:tcPr>
            <w:tcW w:type="dxa" w:w="3408"/>
            <w:vAlign w:val="top"/>
          </w:tcPr>
          <w:p>
            <w:r>
              <w:t>Report separately where material.</w:t>
            </w:r>
          </w:p>
        </w:tc>
      </w:tr>
      <w:tr>
        <w:tc>
          <w:tcPr>
            <w:tcW w:type="dxa" w:w="3408"/>
            <w:vAlign w:val="top"/>
          </w:tcPr>
          <w:p>
            <w:r>
              <w:t>INCONCLUSIVE</w:t>
            </w:r>
          </w:p>
        </w:tc>
        <w:tc>
          <w:tcPr>
            <w:tcW w:type="dxa" w:w="3408"/>
            <w:vAlign w:val="top"/>
          </w:tcPr>
          <w:p>
            <w:r>
              <w:t>A material proportion of items is unverified or required evidence is absent.</w:t>
            </w:r>
          </w:p>
        </w:tc>
        <w:tc>
          <w:tcPr>
            <w:tcW w:type="dxa" w:w="3408"/>
            <w:vAlign w:val="top"/>
          </w:tcPr>
          <w:p>
            <w:r>
              <w:t>Return audit-level INCONCLUSIVE or PARTIAL FAIL depending on confirmed failures and coverage.</w:t>
            </w:r>
          </w:p>
        </w:tc>
      </w:tr>
    </w:tbl>
    <w:p/>
    <w:p>
      <w:pPr>
        <w:pStyle w:val="Heading1"/>
      </w:pPr>
      <w:r>
        <w:t>10. Example Output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tcPr>
          <w:p>
            <w:r>
              <w:rPr>
                <w:b/>
              </w:rPr>
              <w:t>Door ID</w:t>
            </w:r>
          </w:p>
        </w:tc>
        <w:tc>
          <w:tcPr>
            <w:tcW w:type="dxa" w:w="2045"/>
            <w:shd w:fill="D9EAF7"/>
          </w:tcPr>
          <w:p>
            <w:r>
              <w:rPr>
                <w:b/>
              </w:rPr>
              <w:t>Schedule handing</w:t>
            </w:r>
          </w:p>
        </w:tc>
        <w:tc>
          <w:tcPr>
            <w:tcW w:type="dxa" w:w="2045"/>
            <w:shd w:fill="D9EAF7"/>
          </w:tcPr>
          <w:p>
            <w:r>
              <w:rPr>
                <w:b/>
              </w:rPr>
              <w:t>GA-derived handing</w:t>
            </w:r>
          </w:p>
        </w:tc>
        <w:tc>
          <w:tcPr>
            <w:tcW w:type="dxa" w:w="2045"/>
            <w:shd w:fill="D9EAF7"/>
          </w:tcPr>
          <w:p>
            <w:r>
              <w:rPr>
                <w:b/>
              </w:rPr>
              <w:t>Association basis</w:t>
            </w:r>
          </w:p>
        </w:tc>
        <w:tc>
          <w:tcPr>
            <w:tcW w:type="dxa" w:w="2045"/>
            <w:shd w:fill="D9EAF7"/>
          </w:tcPr>
          <w:p>
            <w:r>
              <w:rPr>
                <w:b/>
              </w:rPr>
              <w:t>Result</w:t>
            </w:r>
          </w:p>
        </w:tc>
      </w:tr>
      <w:tr>
        <w:tc>
          <w:tcPr>
            <w:tcW w:type="dxa" w:w="2045"/>
            <w:vAlign w:val="top"/>
          </w:tcPr>
          <w:p>
            <w:r>
              <w:t>IDE-00-021</w:t>
            </w:r>
          </w:p>
        </w:tc>
        <w:tc>
          <w:tcPr>
            <w:tcW w:type="dxa" w:w="2045"/>
            <w:vAlign w:val="top"/>
          </w:tcPr>
          <w:p>
            <w:r>
              <w:t>R</w:t>
            </w:r>
          </w:p>
        </w:tc>
        <w:tc>
          <w:tcPr>
            <w:tcW w:type="dxa" w:w="2045"/>
            <w:vAlign w:val="top"/>
          </w:tcPr>
          <w:p>
            <w:r>
              <w:t>R</w:t>
            </w:r>
          </w:p>
        </w:tc>
        <w:tc>
          <w:tcPr>
            <w:tcW w:type="dxa" w:w="2045"/>
            <w:vAlign w:val="top"/>
          </w:tcPr>
          <w:p>
            <w:r>
              <w:t>leader_line</w:t>
            </w:r>
          </w:p>
        </w:tc>
        <w:tc>
          <w:tcPr>
            <w:tcW w:type="dxa" w:w="2045"/>
            <w:vAlign w:val="top"/>
          </w:tcPr>
          <w:p>
            <w:r>
              <w:t>PASS</w:t>
            </w:r>
          </w:p>
        </w:tc>
      </w:tr>
      <w:tr>
        <w:tc>
          <w:tcPr>
            <w:tcW w:type="dxa" w:w="2045"/>
            <w:vAlign w:val="top"/>
          </w:tcPr>
          <w:p>
            <w:r>
              <w:t>IDE-00-043</w:t>
            </w:r>
          </w:p>
        </w:tc>
        <w:tc>
          <w:tcPr>
            <w:tcW w:type="dxa" w:w="2045"/>
            <w:vAlign w:val="top"/>
          </w:tcPr>
          <w:p>
            <w:r>
              <w:t>L</w:t>
            </w:r>
          </w:p>
        </w:tc>
        <w:tc>
          <w:tcPr>
            <w:tcW w:type="dxa" w:w="2045"/>
            <w:vAlign w:val="top"/>
          </w:tcPr>
          <w:p>
            <w:r>
              <w:t>UNVERIFIED</w:t>
            </w:r>
          </w:p>
        </w:tc>
        <w:tc>
          <w:tcPr>
            <w:tcW w:type="dxa" w:w="2045"/>
            <w:vAlign w:val="top"/>
          </w:tcPr>
          <w:p>
            <w:r>
              <w:t>partial_leader_line</w:t>
            </w:r>
          </w:p>
        </w:tc>
        <w:tc>
          <w:tcPr>
            <w:tcW w:type="dxa" w:w="2045"/>
            <w:vAlign w:val="top"/>
          </w:tcPr>
          <w:p>
            <w:r>
              <w:t>UNVERIFIED</w:t>
            </w:r>
          </w:p>
        </w:tc>
      </w:tr>
      <w:tr>
        <w:tc>
          <w:tcPr>
            <w:tcW w:type="dxa" w:w="2045"/>
            <w:vAlign w:val="top"/>
          </w:tcPr>
          <w:p>
            <w:r>
              <w:t>IDE-01-014</w:t>
            </w:r>
          </w:p>
        </w:tc>
        <w:tc>
          <w:tcPr>
            <w:tcW w:type="dxa" w:w="2045"/>
            <w:vAlign w:val="top"/>
          </w:tcPr>
          <w:p>
            <w:r>
              <w:t>L</w:t>
            </w:r>
          </w:p>
        </w:tc>
        <w:tc>
          <w:tcPr>
            <w:tcW w:type="dxa" w:w="2045"/>
            <w:vAlign w:val="top"/>
          </w:tcPr>
          <w:p>
            <w:r>
              <w:t>R</w:t>
            </w:r>
          </w:p>
        </w:tc>
        <w:tc>
          <w:tcPr>
            <w:tcW w:type="dxa" w:w="2045"/>
            <w:vAlign w:val="top"/>
          </w:tcPr>
          <w:p>
            <w:r>
              <w:t>leader_line</w:t>
            </w:r>
          </w:p>
        </w:tc>
        <w:tc>
          <w:tcPr>
            <w:tcW w:type="dxa" w:w="2045"/>
            <w:vAlign w:val="top"/>
          </w:tcPr>
          <w:p>
            <w:r>
              <w:t>FAIL</w:t>
            </w:r>
          </w:p>
        </w:tc>
      </w:tr>
      <w:tr>
        <w:tc>
          <w:tcPr>
            <w:tcW w:type="dxa" w:w="2045"/>
            <w:vAlign w:val="top"/>
          </w:tcPr>
          <w:p>
            <w:r>
              <w:t>IDE-02-010</w:t>
            </w:r>
          </w:p>
        </w:tc>
        <w:tc>
          <w:tcPr>
            <w:tcW w:type="dxa" w:w="2045"/>
            <w:vAlign w:val="top"/>
          </w:tcPr>
          <w:p>
            <w:r>
              <w:t>DBL</w:t>
            </w:r>
          </w:p>
        </w:tc>
        <w:tc>
          <w:tcPr>
            <w:tcW w:type="dxa" w:w="2045"/>
            <w:vAlign w:val="top"/>
          </w:tcPr>
          <w:p>
            <w:r>
              <w:t>DBL</w:t>
            </w:r>
          </w:p>
        </w:tc>
        <w:tc>
          <w:tcPr>
            <w:tcW w:type="dxa" w:w="2045"/>
            <w:vAlign w:val="top"/>
          </w:tcPr>
          <w:p>
            <w:r>
              <w:t>direct_symbol</w:t>
            </w:r>
          </w:p>
        </w:tc>
        <w:tc>
          <w:tcPr>
            <w:tcW w:type="dxa" w:w="2045"/>
            <w:vAlign w:val="top"/>
          </w:tcPr>
          <w:p>
            <w:r>
              <w:t>PASS</w:t>
            </w:r>
          </w:p>
        </w:tc>
      </w:tr>
    </w:tbl>
    <w:p/>
    <w:p>
      <w:pPr>
        <w:pStyle w:val="Heading1"/>
      </w:pPr>
      <w:r>
        <w:t>11. Severity and Impact Scoring</w:t>
      </w:r>
    </w:p>
    <w:p>
      <w:r>
        <w:t>Baseline severity: Medium. Baseline impact: Medium. Adjustment may be applied only where evidence supports escalation or reduction; uncertainty should retain baseline.</w:t>
      </w:r>
    </w:p>
    <w:p>
      <w:pPr>
        <w:pStyle w:val="Heading1"/>
      </w:pPr>
      <w:r>
        <w:t>12. Change Log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Version</w:t>
            </w:r>
          </w:p>
        </w:tc>
        <w:tc>
          <w:tcPr>
            <w:tcW w:type="dxa" w:w="5112"/>
            <w:shd w:fill="D9EAF7"/>
          </w:tcPr>
          <w:p>
            <w:r>
              <w:rPr>
                <w:b/>
              </w:rPr>
              <w:t>Change</w:t>
            </w:r>
          </w:p>
        </w:tc>
      </w:tr>
      <w:tr>
        <w:tc>
          <w:tcPr>
            <w:tcW w:type="dxa" w:w="5112"/>
            <w:vAlign w:val="top"/>
          </w:tcPr>
          <w:p>
            <w:r>
              <w:t>v1.0</w:t>
            </w:r>
          </w:p>
        </w:tc>
        <w:tc>
          <w:tcPr>
            <w:tcW w:type="dxa" w:w="5112"/>
            <w:vAlign w:val="top"/>
          </w:tcPr>
          <w:p>
            <w:r>
              <w:t>Initial model audit for internal door count reconciliation.</w:t>
            </w:r>
          </w:p>
        </w:tc>
      </w:tr>
      <w:tr>
        <w:tc>
          <w:tcPr>
            <w:tcW w:type="dxa" w:w="5112"/>
            <w:vAlign w:val="top"/>
          </w:tcPr>
          <w:p>
            <w:r>
              <w:t>v1.1</w:t>
            </w:r>
          </w:p>
        </w:tc>
        <w:tc>
          <w:tcPr>
            <w:tcW w:type="dxa" w:w="5112"/>
            <w:vAlign w:val="top"/>
          </w:tcPr>
          <w:p>
            <w:r>
              <w:t>Reframed the audit as scope-aware door schedule reconciliation and added category treatment for separately scheduled door types.</w:t>
            </w:r>
          </w:p>
        </w:tc>
      </w:tr>
      <w:tr>
        <w:tc>
          <w:tcPr>
            <w:tcW w:type="dxa" w:w="5112"/>
            <w:vAlign w:val="top"/>
          </w:tcPr>
          <w:p>
            <w:r>
              <w:t>v1.2</w:t>
            </w:r>
          </w:p>
        </w:tc>
        <w:tc>
          <w:tcPr>
            <w:tcW w:type="dxa" w:w="5112"/>
            <w:vAlign w:val="top"/>
          </w:tcPr>
          <w:p>
            <w:r>
              <w:t>Added door handing reconciliation logic, Door Handing Key authority, adaptive crop requirements and leader-line governed tag-to-door association.</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