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Level Scope Validation Rule (LSV-01)</w:t>
      </w:r>
    </w:p>
    <w:p>
      <w:r>
        <w:t>Status: Mandatory governed rule</w:t>
        <w:br/>
        <w:t>Applies to: All level-based audits</w:t>
        <w:br/>
      </w:r>
    </w:p>
    <w:p>
      <w:pPr>
        <w:pStyle w:val="Heading2"/>
      </w:pPr>
      <w:r>
        <w:t>1. Purpose</w:t>
      </w:r>
    </w:p>
    <w:p>
      <w:r>
        <w:t>To prevent scope hallucination and invalid audit extrapolation by ensuring that audits are performed only against levels explicitly evidenced in the document set.</w:t>
      </w:r>
    </w:p>
    <w:p>
      <w:pPr>
        <w:pStyle w:val="Heading2"/>
      </w:pPr>
      <w:r>
        <w:t>2. Rule Statement</w:t>
      </w:r>
    </w:p>
    <w:p>
      <w:r>
        <w:t>Audits must be strictly limited to levels explicitly present and identifiable in the provided evidence. Levels must not be inferred or assumed.</w:t>
      </w:r>
    </w:p>
    <w:p>
      <w:pPr>
        <w:pStyle w:val="Heading2"/>
      </w:pPr>
      <w:r>
        <w:t>3. Valid Level Determination</w:t>
      </w:r>
    </w:p>
    <w:p>
      <w:r>
        <w:t>- Explicitly labelled on GA plans</w:t>
        <w:br/>
        <w:t>- Listed in schedules and corroborated by GA plans</w:t>
        <w:br/>
        <w:t>- Referenced in drawing titles or legends</w:t>
      </w:r>
    </w:p>
    <w:p>
      <w:pPr>
        <w:pStyle w:val="Heading2"/>
      </w:pPr>
      <w:r>
        <w:t>4. Failure Handling</w:t>
      </w:r>
    </w:p>
    <w:p>
      <w:r>
        <w:t>If valid level scope cannot be established, the audit must return INCONCLUSIVE.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