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Semantic Reconstruction Layer Amendment v1.1</w:t>
      </w:r>
    </w:p>
    <w:p>
      <w:pPr>
        <w:pStyle w:val="Heading2"/>
      </w:pPr>
      <w:r>
        <w:t>Purpose</w:t>
      </w:r>
    </w:p>
    <w:p>
      <w:r>
        <w:t>This amendment introduces explicit level-scope reconstruction and diagram-governed semantic precedence into the SRL.</w:t>
      </w:r>
    </w:p>
    <w:p>
      <w:pPr>
        <w:pStyle w:val="Heading2"/>
      </w:pPr>
      <w:r>
        <w:t>Level Scope Reconstruction</w:t>
      </w:r>
    </w:p>
    <w:p>
      <w:r>
        <w:t>SRL must derive valid levels from GA plans, titles, and schedules, normalise them, and expose them as a Level Evidence Set.</w:t>
      </w:r>
    </w:p>
    <w:p>
      <w:pPr>
        <w:pStyle w:val="Heading2"/>
      </w:pPr>
      <w:r>
        <w:t>Diagram-Governed Semantics</w:t>
      </w:r>
    </w:p>
    <w:p>
      <w:r>
        <w:t>Where diagrams define semantic meaning (e.g. door handing), they take precedence over inferred or textual logic.</w:t>
      </w:r>
    </w:p>
    <w:p>
      <w:pPr>
        <w:pStyle w:val="Heading2"/>
      </w:pPr>
      <w:r>
        <w:t>Audit Contract</w:t>
      </w:r>
    </w:p>
    <w:p>
      <w:r>
        <w:t>Audit execution must be constrained to the Level Evidence Set. Any scope violation must trigger an INCONCLUSIVE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