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360" w:after="180"/>
        <w:ind w:hanging="0" w:left="0" w:right="0"/>
        <w:jc w:val="left"/>
        <w:rPr>
          <w:rFonts w:ascii="Google Sans;Roboto;Arial;sans-serif" w:hAnsi="Google Sans;Roboto;Arial;sans-serif"/>
          <w:b/>
          <w:strike w:val="false"/>
          <w:dstrike w:val="false"/>
          <w:sz w:val="30"/>
          <w:u w:val="none"/>
          <w:effect w:val="none"/>
        </w:rPr>
      </w:pPr>
      <w:r>
        <w:rPr>
          <w:rFonts w:ascii="Google Sans;Roboto;Arial;sans-serif" w:hAnsi="Google Sans;Roboto;Arial;sans-serif"/>
          <w:b/>
          <w:strike w:val="false"/>
          <w:dstrike w:val="false"/>
          <w:sz w:val="30"/>
          <w:u w:val="none"/>
          <w:effect w:val="none"/>
        </w:rPr>
        <w:t>1. Biopharmaceuticals &amp; Molecular Drug Discovery</w:t>
      </w:r>
    </w:p>
    <w:p>
      <w:pPr>
        <w:pStyle w:val="Normal"/>
        <w:bidi w:val="0"/>
        <w:spacing w:before="180" w:after="240"/>
        <w:ind w:hanging="0" w:left="0" w:right="0"/>
        <w:jc w:val="left"/>
        <w:rPr/>
      </w:pPr>
      <w:r>
        <w:rPr>
          <w:rFonts w:ascii="Google Sans;Roboto;Arial;sans-serif" w:hAnsi="Google Sans;Roboto;Arial;sans-serif"/>
          <w:b w:val="false"/>
          <w:strike w:val="false"/>
          <w:dstrike w:val="false"/>
          <w:sz w:val="24"/>
          <w:u w:val="none"/>
          <w:effect w:val="none"/>
        </w:rPr>
        <w:t>To crawl datasets involving active pharmaceutical ingredients (APIs), chemical formulations, and biological drug interactions, you can use: [</w:t>
      </w:r>
      <w:hyperlink r:id="rId2">
        <w:r>
          <w:rPr>
            <w:rStyle w:val="Hyperlink"/>
            <w:rFonts w:ascii="Google Sans;Roboto;Arial;sans-serif" w:hAnsi="Google Sans;Roboto;Arial;sans-serif"/>
            <w:b w:val="false"/>
            <w:strike w:val="false"/>
            <w:dstrike w:val="false"/>
            <w:sz w:val="24"/>
            <w:u w:val="none"/>
            <w:effect w:val="none"/>
          </w:rPr>
          <w:t>1</w:t>
        </w:r>
      </w:hyperlink>
      <w:r>
        <w:rPr>
          <w:rFonts w:ascii="Google Sans;Roboto;Arial;sans-serif" w:hAnsi="Google Sans;Roboto;Arial;sans-serif"/>
          <w:b w:val="false"/>
          <w:strike w:val="false"/>
          <w:dstrike w:val="false"/>
          <w:sz w:val="24"/>
          <w:u w:val="none"/>
          <w:effect w:val="none"/>
        </w:rPr>
        <w:t xml:space="preserve">, </w:t>
      </w:r>
      <w:hyperlink r:id="rId3">
        <w:r>
          <w:rPr>
            <w:rStyle w:val="Hyperlink"/>
            <w:rFonts w:ascii="Google Sans;Roboto;Arial;sans-serif" w:hAnsi="Google Sans;Roboto;Arial;sans-serif"/>
            <w:b w:val="false"/>
            <w:strike w:val="false"/>
            <w:dstrike w:val="false"/>
            <w:sz w:val="24"/>
            <w:u w:val="none"/>
            <w:effect w:val="none"/>
          </w:rPr>
          <w:t>2</w:t>
        </w:r>
      </w:hyperlink>
      <w:r>
        <w:rPr>
          <w:rFonts w:ascii="Google Sans;Roboto;Arial;sans-serif" w:hAnsi="Google Sans;Roboto;Arial;sans-serif"/>
          <w:b w:val="false"/>
          <w:strike w:val="false"/>
          <w:dstrike w:val="false"/>
          <w:sz w:val="24"/>
          <w:u w:val="none"/>
          <w:effect w:val="none"/>
        </w:rPr>
        <w:t>]</w:t>
      </w:r>
    </w:p>
    <w:p>
      <w:pPr>
        <w:pStyle w:val="BodyText"/>
        <w:numPr>
          <w:ilvl w:val="0"/>
          <w:numId w:val="1"/>
        </w:numPr>
        <w:pBdr/>
        <w:tabs>
          <w:tab w:val="clear" w:pos="709"/>
          <w:tab w:val="left" w:pos="0" w:leader="none"/>
        </w:tabs>
        <w:bidi w:val="0"/>
        <w:spacing w:before="0" w:after="0"/>
        <w:ind w:hanging="283" w:left="0" w:right="0"/>
        <w:jc w:val="left"/>
        <w:rPr/>
      </w:pPr>
      <w:r>
        <w:rPr>
          <w:rStyle w:val="Strong"/>
          <w:rFonts w:ascii="Google Sans;Roboto;Arial;sans-serif" w:hAnsi="Google Sans;Roboto;Arial;sans-serif"/>
          <w:b/>
          <w:strike w:val="false"/>
          <w:dstrike w:val="false"/>
          <w:sz w:val="24"/>
          <w:u w:val="none"/>
          <w:effect w:val="none"/>
        </w:rPr>
        <w:t>openFDA API:</w:t>
      </w:r>
      <w:r>
        <w:rPr>
          <w:rFonts w:ascii="Google Sans;Roboto;Arial;sans-serif" w:hAnsi="Google Sans;Roboto;Arial;sans-serif"/>
          <w:b w:val="false"/>
          <w:strike w:val="false"/>
          <w:dstrike w:val="false"/>
          <w:sz w:val="24"/>
          <w:u w:val="none"/>
          <w:effect w:val="none"/>
        </w:rPr>
        <w:t xml:space="preserve"> An essential public service from the FDA providing structured access to millions of records on drug adverse events, drug labels, and clinical trial data. It is highly useful for studying side effects and safety signals in psychotropic drugs. Learn more on the </w:t>
      </w:r>
      <w:hyperlink r:id="rId4" w:tgtFrame="_blank">
        <w:r>
          <w:rPr>
            <w:rStyle w:val="Hyperlink"/>
            <w:rFonts w:ascii="Google Sans;Roboto;Arial;sans-serif" w:hAnsi="Google Sans;Roboto;Arial;sans-serif"/>
            <w:b/>
            <w:strike w:val="false"/>
            <w:dstrike w:val="false"/>
            <w:sz w:val="24"/>
            <w:u w:val="single"/>
            <w:effect w:val="none"/>
          </w:rPr>
          <w:t>openFDA Portal</w:t>
        </w:r>
      </w:hyperlink>
      <w:r>
        <w:rPr>
          <w:rFonts w:ascii="Google Sans;Roboto;Arial;sans-serif" w:hAnsi="Google Sans;Roboto;Arial;sans-serif"/>
          <w:b w:val="false"/>
          <w:strike w:val="false"/>
          <w:dstrike w:val="false"/>
          <w:sz w:val="24"/>
          <w:u w:val="none"/>
          <w:effect w:val="none"/>
        </w:rPr>
        <w:t>.</w:t>
      </w:r>
      <w:r>
        <w:rPr>
          <w:rFonts w:ascii="Google Sans;Roboto;Arial;sans-serif" w:hAnsi="Google Sans;Roboto;Arial;sans-serif"/>
          <w:b w:val="false"/>
          <w:strike w:val="false"/>
          <w:dstrike w:val="false"/>
          <w:sz w:val="24"/>
          <w:u w:val="none"/>
          <w:effect w:val="none"/>
        </w:rPr>
        <w:t xml:space="preserve"> [</w:t>
      </w:r>
      <w:hyperlink r:id="rId5">
        <w:r>
          <w:rPr>
            <w:rStyle w:val="Hyperlink"/>
            <w:rFonts w:ascii="Google Sans;Roboto;Arial;sans-serif" w:hAnsi="Google Sans;Roboto;Arial;sans-serif"/>
            <w:b w:val="false"/>
            <w:strike w:val="false"/>
            <w:dstrike w:val="false"/>
            <w:sz w:val="24"/>
            <w:u w:val="none"/>
            <w:effect w:val="none"/>
          </w:rPr>
          <w:t>1</w:t>
        </w:r>
      </w:hyperlink>
      <w:r>
        <w:rPr>
          <w:rFonts w:ascii="Google Sans;Roboto;Arial;sans-serif" w:hAnsi="Google Sans;Roboto;Arial;sans-serif"/>
          <w:b w:val="false"/>
          <w:strike w:val="false"/>
          <w:dstrike w:val="false"/>
          <w:sz w:val="24"/>
          <w:u w:val="none"/>
          <w:effect w:val="none"/>
        </w:rPr>
        <w:t xml:space="preserve">, </w:t>
      </w:r>
      <w:hyperlink r:id="rId6">
        <w:r>
          <w:rPr>
            <w:rStyle w:val="Hyperlink"/>
            <w:rFonts w:ascii="Google Sans;Roboto;Arial;sans-serif" w:hAnsi="Google Sans;Roboto;Arial;sans-serif"/>
            <w:b w:val="false"/>
            <w:strike w:val="false"/>
            <w:dstrike w:val="false"/>
            <w:sz w:val="24"/>
            <w:u w:val="none"/>
            <w:effect w:val="none"/>
          </w:rPr>
          <w:t>2</w:t>
        </w:r>
      </w:hyperlink>
      <w:r>
        <w:rPr>
          <w:rFonts w:ascii="Google Sans;Roboto;Arial;sans-serif" w:hAnsi="Google Sans;Roboto;Arial;sans-serif"/>
          <w:b w:val="false"/>
          <w:strike w:val="false"/>
          <w:dstrike w:val="false"/>
          <w:sz w:val="24"/>
          <w:u w:val="none"/>
          <w:effect w:val="none"/>
        </w:rPr>
        <w:t>]</w:t>
      </w:r>
    </w:p>
    <w:p>
      <w:pPr>
        <w:pStyle w:val="BodyText"/>
        <w:numPr>
          <w:ilvl w:val="0"/>
          <w:numId w:val="1"/>
        </w:numPr>
        <w:pBdr/>
        <w:tabs>
          <w:tab w:val="clear" w:pos="709"/>
          <w:tab w:val="left" w:pos="0" w:leader="none"/>
        </w:tabs>
        <w:bidi w:val="0"/>
        <w:spacing w:before="0" w:after="0"/>
        <w:ind w:hanging="283" w:left="0" w:right="0"/>
        <w:jc w:val="left"/>
        <w:rPr/>
      </w:pPr>
      <w:r>
        <w:rPr>
          <w:rStyle w:val="Strong"/>
          <w:rFonts w:ascii="Google Sans;Roboto;Arial;sans-serif" w:hAnsi="Google Sans;Roboto;Arial;sans-serif"/>
          <w:b/>
          <w:strike w:val="false"/>
          <w:dstrike w:val="false"/>
          <w:sz w:val="24"/>
          <w:u w:val="none"/>
          <w:effect w:val="none"/>
        </w:rPr>
        <w:t>Open PHACTS REST API:</w:t>
      </w:r>
      <w:r>
        <w:rPr>
          <w:rFonts w:ascii="Google Sans;Roboto;Arial;sans-serif" w:hAnsi="Google Sans;Roboto;Arial;sans-serif"/>
          <w:b w:val="false"/>
          <w:strike w:val="false"/>
          <w:dstrike w:val="false"/>
          <w:sz w:val="24"/>
          <w:u w:val="none"/>
          <w:effect w:val="none"/>
        </w:rPr>
        <w:t xml:space="preserve"> A semantic data platform that aggregates complex pharmacological and physicochemical data. It links drug targets, biological pathways, and structural data into a single queryable endpoint. Access the system documentation via the </w:t>
      </w:r>
      <w:hyperlink r:id="rId7" w:tgtFrame="_blank">
        <w:r>
          <w:rPr>
            <w:rStyle w:val="Hyperlink"/>
            <w:rFonts w:ascii="Google Sans;Roboto;Arial;sans-serif" w:hAnsi="Google Sans;Roboto;Arial;sans-serif"/>
            <w:b/>
            <w:strike w:val="false"/>
            <w:dstrike w:val="false"/>
            <w:sz w:val="24"/>
            <w:u w:val="single"/>
            <w:effect w:val="none"/>
          </w:rPr>
          <w:t>Open PHACTS API Bio.tools Entry</w:t>
        </w:r>
      </w:hyperlink>
      <w:r>
        <w:rPr>
          <w:rFonts w:ascii="Google Sans;Roboto;Arial;sans-serif" w:hAnsi="Google Sans;Roboto;Arial;sans-serif"/>
          <w:b w:val="false"/>
          <w:strike w:val="false"/>
          <w:dstrike w:val="false"/>
          <w:sz w:val="24"/>
          <w:u w:val="none"/>
          <w:effect w:val="none"/>
        </w:rPr>
        <w:t>.</w:t>
      </w:r>
      <w:r>
        <w:rPr>
          <w:rFonts w:ascii="Google Sans;Roboto;Arial;sans-serif" w:hAnsi="Google Sans;Roboto;Arial;sans-serif"/>
          <w:b w:val="false"/>
          <w:strike w:val="false"/>
          <w:dstrike w:val="false"/>
          <w:sz w:val="24"/>
          <w:u w:val="none"/>
          <w:effect w:val="none"/>
        </w:rPr>
        <w:t xml:space="preserve"> [</w:t>
      </w:r>
      <w:hyperlink r:id="rId8">
        <w:r>
          <w:rPr>
            <w:rStyle w:val="Hyperlink"/>
            <w:rFonts w:ascii="Google Sans;Roboto;Arial;sans-serif" w:hAnsi="Google Sans;Roboto;Arial;sans-serif"/>
            <w:b w:val="false"/>
            <w:strike w:val="false"/>
            <w:dstrike w:val="false"/>
            <w:sz w:val="24"/>
            <w:u w:val="none"/>
            <w:effect w:val="none"/>
          </w:rPr>
          <w:t>1</w:t>
        </w:r>
      </w:hyperlink>
      <w:r>
        <w:rPr>
          <w:rFonts w:ascii="Google Sans;Roboto;Arial;sans-serif" w:hAnsi="Google Sans;Roboto;Arial;sans-serif"/>
          <w:b w:val="false"/>
          <w:strike w:val="false"/>
          <w:dstrike w:val="false"/>
          <w:sz w:val="24"/>
          <w:u w:val="none"/>
          <w:effect w:val="none"/>
        </w:rPr>
        <w:t>]</w:t>
      </w:r>
    </w:p>
    <w:p>
      <w:pPr>
        <w:pStyle w:val="BodyText"/>
        <w:numPr>
          <w:ilvl w:val="0"/>
          <w:numId w:val="1"/>
        </w:numPr>
        <w:pBdr/>
        <w:tabs>
          <w:tab w:val="clear" w:pos="709"/>
          <w:tab w:val="left" w:pos="0" w:leader="none"/>
        </w:tabs>
        <w:bidi w:val="0"/>
        <w:spacing w:before="0" w:after="0"/>
        <w:ind w:hanging="283" w:left="0" w:right="0"/>
        <w:jc w:val="left"/>
        <w:rPr/>
      </w:pPr>
      <w:r>
        <w:rPr>
          <w:rStyle w:val="Strong"/>
          <w:rFonts w:ascii="Google Sans;Roboto;Arial;sans-serif" w:hAnsi="Google Sans;Roboto;Arial;sans-serif"/>
          <w:b/>
          <w:strike w:val="false"/>
          <w:dstrike w:val="false"/>
          <w:sz w:val="24"/>
          <w:u w:val="none"/>
          <w:effect w:val="none"/>
        </w:rPr>
        <w:t>ChEMBL API:</w:t>
      </w:r>
      <w:r>
        <w:rPr>
          <w:rFonts w:ascii="Google Sans;Roboto;Arial;sans-serif" w:hAnsi="Google Sans;Roboto;Arial;sans-serif"/>
          <w:b w:val="false"/>
          <w:strike w:val="false"/>
          <w:dstrike w:val="false"/>
          <w:sz w:val="24"/>
          <w:u w:val="none"/>
          <w:effect w:val="none"/>
        </w:rPr>
        <w:t xml:space="preserve"> Maintained by the EMBL-EBI, this is a massive open database of bioactive molecules with drug-like properties. Its REST API allows for programmatic filtering of biopharmaceutical properties and binding affinities to human biological targets.</w:t>
      </w:r>
      <w:r>
        <w:rPr>
          <w:rFonts w:ascii="Google Sans;Roboto;Arial;sans-serif" w:hAnsi="Google Sans;Roboto;Arial;sans-serif"/>
          <w:b w:val="false"/>
          <w:strike w:val="false"/>
          <w:dstrike w:val="false"/>
          <w:sz w:val="24"/>
          <w:u w:val="none"/>
          <w:effect w:val="none"/>
        </w:rPr>
        <w:t xml:space="preserve"> [</w:t>
      </w:r>
      <w:hyperlink r:id="rId9">
        <w:r>
          <w:rPr>
            <w:rStyle w:val="Hyperlink"/>
            <w:rFonts w:ascii="Google Sans;Roboto;Arial;sans-serif" w:hAnsi="Google Sans;Roboto;Arial;sans-serif"/>
            <w:b w:val="false"/>
            <w:strike w:val="false"/>
            <w:dstrike w:val="false"/>
            <w:sz w:val="24"/>
            <w:u w:val="none"/>
            <w:effect w:val="none"/>
          </w:rPr>
          <w:t>1</w:t>
        </w:r>
      </w:hyperlink>
      <w:r>
        <w:rPr>
          <w:rFonts w:ascii="Google Sans;Roboto;Arial;sans-serif" w:hAnsi="Google Sans;Roboto;Arial;sans-serif"/>
          <w:b w:val="false"/>
          <w:strike w:val="false"/>
          <w:dstrike w:val="false"/>
          <w:sz w:val="24"/>
          <w:u w:val="none"/>
          <w:effect w:val="none"/>
        </w:rPr>
        <w:t>]</w:t>
      </w:r>
    </w:p>
    <w:p>
      <w:pPr>
        <w:pStyle w:val="BodyText"/>
        <w:bidi w:val="0"/>
        <w:spacing w:before="360" w:after="180"/>
        <w:ind w:hanging="0" w:left="0" w:right="0"/>
        <w:jc w:val="left"/>
        <w:rPr>
          <w:rFonts w:ascii="Google Sans;Roboto;Arial;sans-serif" w:hAnsi="Google Sans;Roboto;Arial;sans-serif"/>
          <w:b/>
          <w:strike w:val="false"/>
          <w:dstrike w:val="false"/>
          <w:sz w:val="30"/>
          <w:u w:val="none"/>
          <w:effect w:val="none"/>
        </w:rPr>
      </w:pPr>
      <w:r>
        <w:rPr>
          <w:rFonts w:ascii="Google Sans;Roboto;Arial;sans-serif" w:hAnsi="Google Sans;Roboto;Arial;sans-serif"/>
          <w:b/>
          <w:strike w:val="false"/>
          <w:dstrike w:val="false"/>
          <w:sz w:val="30"/>
          <w:u w:val="none"/>
          <w:effect w:val="none"/>
        </w:rPr>
        <w:t>2. Psychiatry &amp; Clinical Neurosciences</w:t>
      </w:r>
    </w:p>
    <w:p>
      <w:pPr>
        <w:pStyle w:val="BodyText"/>
        <w:bidi w:val="0"/>
        <w:spacing w:before="180" w:after="240"/>
        <w:ind w:hanging="0" w:left="0" w:right="0"/>
        <w:jc w:val="left"/>
        <w:rPr/>
      </w:pPr>
      <w:r>
        <w:rPr>
          <w:rFonts w:ascii="Google Sans;Roboto;Arial;sans-serif" w:hAnsi="Google Sans;Roboto;Arial;sans-serif"/>
          <w:b w:val="false"/>
          <w:strike w:val="false"/>
          <w:dstrike w:val="false"/>
          <w:sz w:val="24"/>
          <w:u w:val="none"/>
          <w:effect w:val="none"/>
        </w:rPr>
        <w:t>To gather scientific publications and data focusing on behavioral health, psychopharmacology, and neurobiology, look to these domain-specific endpoints: [</w:t>
      </w:r>
      <w:hyperlink r:id="rId10">
        <w:r>
          <w:rPr>
            <w:rStyle w:val="Hyperlink"/>
            <w:rFonts w:ascii="Google Sans;Roboto;Arial;sans-serif" w:hAnsi="Google Sans;Roboto;Arial;sans-serif"/>
            <w:b w:val="false"/>
            <w:strike w:val="false"/>
            <w:dstrike w:val="false"/>
            <w:sz w:val="24"/>
            <w:u w:val="none"/>
            <w:effect w:val="none"/>
          </w:rPr>
          <w:t>1</w:t>
        </w:r>
      </w:hyperlink>
      <w:r>
        <w:rPr>
          <w:rFonts w:ascii="Google Sans;Roboto;Arial;sans-serif" w:hAnsi="Google Sans;Roboto;Arial;sans-serif"/>
          <w:b w:val="false"/>
          <w:strike w:val="false"/>
          <w:dstrike w:val="false"/>
          <w:sz w:val="24"/>
          <w:u w:val="none"/>
          <w:effect w:val="none"/>
        </w:rPr>
        <w:t>]</w:t>
      </w:r>
    </w:p>
    <w:p>
      <w:pPr>
        <w:pStyle w:val="BodyText"/>
        <w:numPr>
          <w:ilvl w:val="0"/>
          <w:numId w:val="2"/>
        </w:numPr>
        <w:pBdr/>
        <w:tabs>
          <w:tab w:val="clear" w:pos="709"/>
          <w:tab w:val="left" w:pos="0" w:leader="none"/>
        </w:tabs>
        <w:bidi w:val="0"/>
        <w:spacing w:before="0" w:after="0"/>
        <w:ind w:hanging="283" w:left="0" w:right="0"/>
        <w:jc w:val="left"/>
        <w:rPr/>
      </w:pPr>
      <w:r>
        <w:rPr>
          <w:rStyle w:val="Strong"/>
          <w:rFonts w:ascii="Google Sans;Roboto;Arial;sans-serif" w:hAnsi="Google Sans;Roboto;Arial;sans-serif"/>
          <w:b/>
          <w:strike w:val="false"/>
          <w:dstrike w:val="false"/>
          <w:sz w:val="24"/>
          <w:u w:val="none"/>
          <w:effect w:val="none"/>
        </w:rPr>
        <w:t>NIMH Data Archive (NDA) API:</w:t>
      </w:r>
      <w:r>
        <w:rPr>
          <w:rFonts w:ascii="Google Sans;Roboto;Arial;sans-serif" w:hAnsi="Google Sans;Roboto;Arial;sans-serif"/>
          <w:b w:val="false"/>
          <w:strike w:val="false"/>
          <w:dstrike w:val="false"/>
          <w:sz w:val="24"/>
          <w:u w:val="none"/>
          <w:effect w:val="none"/>
        </w:rPr>
        <w:t xml:space="preserve"> Run by the National Institute of Mental Health, the NDA houses human subjects research data, including clinical trials, genomics, and neuroimaging related to psychiatric disorders. Researchers can request programmatic data access tokens for bulk analysis via the NIMH Data Archive.</w:t>
      </w:r>
      <w:r>
        <w:rPr>
          <w:rFonts w:ascii="Google Sans;Roboto;Arial;sans-serif" w:hAnsi="Google Sans;Roboto;Arial;sans-serif"/>
          <w:b w:val="false"/>
          <w:strike w:val="false"/>
          <w:dstrike w:val="false"/>
          <w:sz w:val="24"/>
          <w:u w:val="none"/>
          <w:effect w:val="none"/>
        </w:rPr>
        <w:t xml:space="preserve"> [</w:t>
      </w:r>
      <w:hyperlink r:id="rId11">
        <w:r>
          <w:rPr>
            <w:rStyle w:val="Hyperlink"/>
            <w:rFonts w:ascii="Google Sans;Roboto;Arial;sans-serif" w:hAnsi="Google Sans;Roboto;Arial;sans-serif"/>
            <w:b w:val="false"/>
            <w:strike w:val="false"/>
            <w:dstrike w:val="false"/>
            <w:sz w:val="24"/>
            <w:u w:val="none"/>
            <w:effect w:val="none"/>
          </w:rPr>
          <w:t>1</w:t>
        </w:r>
      </w:hyperlink>
      <w:r>
        <w:rPr>
          <w:rFonts w:ascii="Google Sans;Roboto;Arial;sans-serif" w:hAnsi="Google Sans;Roboto;Arial;sans-serif"/>
          <w:b w:val="false"/>
          <w:strike w:val="false"/>
          <w:dstrike w:val="false"/>
          <w:sz w:val="24"/>
          <w:u w:val="none"/>
          <w:effect w:val="none"/>
        </w:rPr>
        <w:t xml:space="preserve">, </w:t>
      </w:r>
      <w:hyperlink r:id="rId12">
        <w:r>
          <w:rPr>
            <w:rStyle w:val="Hyperlink"/>
            <w:rFonts w:ascii="Google Sans;Roboto;Arial;sans-serif" w:hAnsi="Google Sans;Roboto;Arial;sans-serif"/>
            <w:b w:val="false"/>
            <w:strike w:val="false"/>
            <w:dstrike w:val="false"/>
            <w:sz w:val="24"/>
            <w:u w:val="none"/>
            <w:effect w:val="none"/>
          </w:rPr>
          <w:t>2</w:t>
        </w:r>
      </w:hyperlink>
      <w:r>
        <w:rPr>
          <w:rFonts w:ascii="Google Sans;Roboto;Arial;sans-serif" w:hAnsi="Google Sans;Roboto;Arial;sans-serif"/>
          <w:b w:val="false"/>
          <w:strike w:val="false"/>
          <w:dstrike w:val="false"/>
          <w:sz w:val="24"/>
          <w:u w:val="none"/>
          <w:effect w:val="none"/>
        </w:rPr>
        <w:t xml:space="preserve">, </w:t>
      </w:r>
      <w:hyperlink r:id="rId13">
        <w:r>
          <w:rPr>
            <w:rStyle w:val="Hyperlink"/>
            <w:rFonts w:ascii="Google Sans;Roboto;Arial;sans-serif" w:hAnsi="Google Sans;Roboto;Arial;sans-serif"/>
            <w:b w:val="false"/>
            <w:strike w:val="false"/>
            <w:dstrike w:val="false"/>
            <w:sz w:val="24"/>
            <w:u w:val="none"/>
            <w:effect w:val="none"/>
          </w:rPr>
          <w:t>3</w:t>
        </w:r>
      </w:hyperlink>
      <w:r>
        <w:rPr>
          <w:rFonts w:ascii="Google Sans;Roboto;Arial;sans-serif" w:hAnsi="Google Sans;Roboto;Arial;sans-serif"/>
          <w:b w:val="false"/>
          <w:strike w:val="false"/>
          <w:dstrike w:val="false"/>
          <w:sz w:val="24"/>
          <w:u w:val="none"/>
          <w:effect w:val="none"/>
        </w:rPr>
        <w:t>]</w:t>
      </w:r>
    </w:p>
    <w:p>
      <w:pPr>
        <w:pStyle w:val="BodyText"/>
        <w:numPr>
          <w:ilvl w:val="0"/>
          <w:numId w:val="2"/>
        </w:numPr>
        <w:pBdr/>
        <w:tabs>
          <w:tab w:val="clear" w:pos="709"/>
          <w:tab w:val="left" w:pos="0" w:leader="none"/>
        </w:tabs>
        <w:bidi w:val="0"/>
        <w:spacing w:before="0" w:after="0"/>
        <w:ind w:hanging="283" w:left="0" w:right="0"/>
        <w:jc w:val="left"/>
        <w:rPr/>
      </w:pPr>
      <w:r>
        <w:rPr>
          <w:rStyle w:val="Strong"/>
          <w:rFonts w:ascii="Google Sans;Roboto;Arial;sans-serif" w:hAnsi="Google Sans;Roboto;Arial;sans-serif"/>
          <w:b/>
          <w:strike w:val="false"/>
          <w:dstrike w:val="false"/>
          <w:sz w:val="24"/>
          <w:u w:val="none"/>
          <w:effect w:val="none"/>
        </w:rPr>
        <w:t>PubChem Power User Interface (PUG-REST):</w:t>
      </w:r>
      <w:r>
        <w:rPr>
          <w:rFonts w:ascii="Google Sans;Roboto;Arial;sans-serif" w:hAnsi="Google Sans;Roboto;Arial;sans-serif"/>
          <w:b w:val="false"/>
          <w:strike w:val="false"/>
          <w:dstrike w:val="false"/>
          <w:sz w:val="24"/>
          <w:u w:val="none"/>
          <w:effect w:val="none"/>
        </w:rPr>
        <w:t xml:space="preserve"> PubChem provides deep chemical annotations, which is crucial for searching known psychiatric compounds (e.g., antipsychotics, antidepressants) and pulling associated biological assay data.</w:t>
      </w:r>
    </w:p>
    <w:p>
      <w:pPr>
        <w:pStyle w:val="BodyText"/>
        <w:numPr>
          <w:ilvl w:val="0"/>
          <w:numId w:val="2"/>
        </w:numPr>
        <w:pBdr/>
        <w:tabs>
          <w:tab w:val="clear" w:pos="709"/>
          <w:tab w:val="left" w:pos="0" w:leader="none"/>
        </w:tabs>
        <w:bidi w:val="0"/>
        <w:spacing w:before="0" w:after="0"/>
        <w:ind w:hanging="283" w:left="0" w:right="0"/>
        <w:jc w:val="left"/>
        <w:rPr/>
      </w:pPr>
      <w:r>
        <w:rPr>
          <w:rStyle w:val="Strong"/>
          <w:rFonts w:ascii="Google Sans;Roboto;Arial;sans-serif" w:hAnsi="Google Sans;Roboto;Arial;sans-serif"/>
          <w:b/>
          <w:strike w:val="false"/>
          <w:dstrike w:val="false"/>
          <w:sz w:val="24"/>
          <w:u w:val="none"/>
          <w:effect w:val="none"/>
        </w:rPr>
        <w:t>PMC Open Access Subsets:</w:t>
      </w:r>
      <w:r>
        <w:rPr>
          <w:rFonts w:ascii="Google Sans;Roboto;Arial;sans-serif" w:hAnsi="Google Sans;Roboto;Arial;sans-serif"/>
          <w:b w:val="false"/>
          <w:strike w:val="false"/>
          <w:dstrike w:val="false"/>
          <w:sz w:val="24"/>
          <w:u w:val="none"/>
          <w:effect w:val="none"/>
        </w:rPr>
        <w:t xml:space="preserve"> Since psychiatry research heavily intersects with medical ethics and clinical safety, pulling full-text articles via the </w:t>
      </w:r>
      <w:hyperlink r:id="rId14" w:tgtFrame="_blank">
        <w:r>
          <w:rPr>
            <w:rStyle w:val="Hyperlink"/>
            <w:rFonts w:ascii="Google Sans;Roboto;Arial;sans-serif" w:hAnsi="Google Sans;Roboto;Arial;sans-serif"/>
            <w:b/>
            <w:strike w:val="false"/>
            <w:dstrike w:val="false"/>
            <w:sz w:val="24"/>
            <w:u w:val="single"/>
            <w:effect w:val="none"/>
          </w:rPr>
          <w:t>PubMed Central OAI-PMH service</w:t>
        </w:r>
      </w:hyperlink>
      <w:r>
        <w:rPr>
          <w:rFonts w:ascii="Google Sans;Roboto;Arial;sans-serif" w:hAnsi="Google Sans;Roboto;Arial;sans-serif"/>
          <w:b w:val="false"/>
          <w:strike w:val="false"/>
          <w:dstrike w:val="false"/>
          <w:sz w:val="24"/>
          <w:u w:val="none"/>
          <w:effect w:val="none"/>
        </w:rPr>
        <w:t xml:space="preserve"> using psychiatric MeSH keywords (Medical Subject Headings) provides a structured text-mining stream.</w:t>
      </w:r>
    </w:p>
    <w:p>
      <w:pPr>
        <w:pStyle w:val="BodyText"/>
        <w:bidi w:val="0"/>
        <w:spacing w:before="360" w:after="180"/>
        <w:ind w:hanging="0" w:left="0" w:right="0"/>
        <w:jc w:val="left"/>
        <w:rPr>
          <w:rFonts w:ascii="Google Sans;Roboto;Arial;sans-serif" w:hAnsi="Google Sans;Roboto;Arial;sans-serif"/>
          <w:b/>
          <w:strike w:val="false"/>
          <w:dstrike w:val="false"/>
          <w:sz w:val="30"/>
          <w:u w:val="none"/>
          <w:effect w:val="none"/>
        </w:rPr>
      </w:pPr>
      <w:r>
        <w:rPr>
          <w:rFonts w:ascii="Google Sans;Roboto;Arial;sans-serif" w:hAnsi="Google Sans;Roboto;Arial;sans-serif"/>
          <w:b/>
          <w:strike w:val="false"/>
          <w:dstrike w:val="false"/>
          <w:sz w:val="30"/>
          <w:u w:val="none"/>
          <w:effect w:val="none"/>
        </w:rPr>
        <w:t>3. Applied Defensive Systems &amp; Biosurveillance</w:t>
      </w:r>
    </w:p>
    <w:p>
      <w:pPr>
        <w:pStyle w:val="BodyText"/>
        <w:bidi w:val="0"/>
        <w:spacing w:before="180" w:after="240"/>
        <w:ind w:hanging="0" w:left="0" w:right="0"/>
        <w:jc w:val="left"/>
        <w:rPr/>
      </w:pPr>
      <w:r>
        <w:rPr>
          <w:rFonts w:ascii="Google Sans;Roboto;Arial;sans-serif" w:hAnsi="Google Sans;Roboto;Arial;sans-serif"/>
          <w:b w:val="false"/>
          <w:strike w:val="false"/>
          <w:dstrike w:val="false"/>
          <w:sz w:val="24"/>
          <w:u w:val="none"/>
          <w:effect w:val="none"/>
        </w:rPr>
        <w:t>When biopharma and medical research are applied to defense systems—such as counter-bioweapons, medical countermeasures (MCMs), or military operational medicine—data is often structured under federal defense repositories: [</w:t>
      </w:r>
      <w:hyperlink r:id="rId15">
        <w:r>
          <w:rPr>
            <w:rStyle w:val="Hyperlink"/>
            <w:rFonts w:ascii="Google Sans;Roboto;Arial;sans-serif" w:hAnsi="Google Sans;Roboto;Arial;sans-serif"/>
            <w:b w:val="false"/>
            <w:strike w:val="false"/>
            <w:dstrike w:val="false"/>
            <w:sz w:val="24"/>
            <w:u w:val="none"/>
            <w:effect w:val="none"/>
          </w:rPr>
          <w:t>1</w:t>
        </w:r>
      </w:hyperlink>
      <w:r>
        <w:rPr>
          <w:rFonts w:ascii="Google Sans;Roboto;Arial;sans-serif" w:hAnsi="Google Sans;Roboto;Arial;sans-serif"/>
          <w:b w:val="false"/>
          <w:strike w:val="false"/>
          <w:dstrike w:val="false"/>
          <w:sz w:val="24"/>
          <w:u w:val="none"/>
          <w:effect w:val="none"/>
        </w:rPr>
        <w:t xml:space="preserve">, </w:t>
      </w:r>
      <w:hyperlink r:id="rId16">
        <w:r>
          <w:rPr>
            <w:rStyle w:val="Hyperlink"/>
            <w:rFonts w:ascii="Google Sans;Roboto;Arial;sans-serif" w:hAnsi="Google Sans;Roboto;Arial;sans-serif"/>
            <w:b w:val="false"/>
            <w:strike w:val="false"/>
            <w:dstrike w:val="false"/>
            <w:sz w:val="24"/>
            <w:u w:val="none"/>
            <w:effect w:val="none"/>
          </w:rPr>
          <w:t>2</w:t>
        </w:r>
      </w:hyperlink>
      <w:r>
        <w:rPr>
          <w:rFonts w:ascii="Google Sans;Roboto;Arial;sans-serif" w:hAnsi="Google Sans;Roboto;Arial;sans-serif"/>
          <w:b w:val="false"/>
          <w:strike w:val="false"/>
          <w:dstrike w:val="false"/>
          <w:sz w:val="24"/>
          <w:u w:val="none"/>
          <w:effect w:val="none"/>
        </w:rPr>
        <w:t>]</w:t>
      </w:r>
    </w:p>
    <w:p>
      <w:pPr>
        <w:pStyle w:val="BodyText"/>
        <w:numPr>
          <w:ilvl w:val="0"/>
          <w:numId w:val="3"/>
        </w:numPr>
        <w:pBdr/>
        <w:tabs>
          <w:tab w:val="clear" w:pos="709"/>
          <w:tab w:val="left" w:pos="0" w:leader="none"/>
        </w:tabs>
        <w:bidi w:val="0"/>
        <w:spacing w:before="0" w:after="0"/>
        <w:ind w:hanging="283" w:left="0" w:right="0"/>
        <w:jc w:val="left"/>
        <w:rPr/>
      </w:pPr>
      <w:r>
        <w:rPr>
          <w:rStyle w:val="Strong"/>
          <w:rFonts w:ascii="Google Sans;Roboto;Arial;sans-serif" w:hAnsi="Google Sans;Roboto;Arial;sans-serif"/>
          <w:b/>
          <w:strike w:val="false"/>
          <w:dstrike w:val="false"/>
          <w:sz w:val="24"/>
          <w:u w:val="none"/>
          <w:effect w:val="none"/>
        </w:rPr>
        <w:t>Science.gov API:</w:t>
      </w:r>
      <w:r>
        <w:rPr>
          <w:rFonts w:ascii="Google Sans;Roboto;Arial;sans-serif" w:hAnsi="Google Sans;Roboto;Arial;sans-serif"/>
          <w:b w:val="false"/>
          <w:strike w:val="false"/>
          <w:dstrike w:val="false"/>
          <w:sz w:val="24"/>
          <w:u w:val="none"/>
          <w:effect w:val="none"/>
        </w:rPr>
        <w:t xml:space="preserve"> A gateway to over 60 databases and 2,200 scientific websites spanning multiple federal agencies, including the Department of Defense (DoD) and Department of Energy (DoE). It allows you to search and crawl unclassified defense-related biomedical research. Explore queries using the </w:t>
      </w:r>
      <w:hyperlink r:id="rId17" w:tgtFrame="_blank">
        <w:r>
          <w:rPr>
            <w:rStyle w:val="Hyperlink"/>
            <w:rFonts w:ascii="Google Sans;Roboto;Arial;sans-serif" w:hAnsi="Google Sans;Roboto;Arial;sans-serif"/>
            <w:b/>
            <w:strike w:val="false"/>
            <w:dstrike w:val="false"/>
            <w:sz w:val="24"/>
            <w:u w:val="single"/>
            <w:effect w:val="none"/>
          </w:rPr>
          <w:t>Science.gov Portal</w:t>
        </w:r>
      </w:hyperlink>
      <w:r>
        <w:rPr>
          <w:rFonts w:ascii="Google Sans;Roboto;Arial;sans-serif" w:hAnsi="Google Sans;Roboto;Arial;sans-serif"/>
          <w:b w:val="false"/>
          <w:strike w:val="false"/>
          <w:dstrike w:val="false"/>
          <w:sz w:val="24"/>
          <w:u w:val="none"/>
          <w:effect w:val="none"/>
        </w:rPr>
        <w:t>.</w:t>
      </w:r>
    </w:p>
    <w:p>
      <w:pPr>
        <w:pStyle w:val="BodyText"/>
        <w:numPr>
          <w:ilvl w:val="0"/>
          <w:numId w:val="3"/>
        </w:numPr>
        <w:pBdr/>
        <w:tabs>
          <w:tab w:val="clear" w:pos="709"/>
          <w:tab w:val="left" w:pos="0" w:leader="none"/>
        </w:tabs>
        <w:bidi w:val="0"/>
        <w:spacing w:before="0" w:after="0"/>
        <w:ind w:hanging="283" w:left="0" w:right="0"/>
        <w:jc w:val="left"/>
        <w:rPr/>
      </w:pPr>
      <w:r>
        <w:rPr>
          <w:rStyle w:val="Strong"/>
          <w:rFonts w:ascii="Google Sans;Roboto;Arial;sans-serif" w:hAnsi="Google Sans;Roboto;Arial;sans-serif"/>
          <w:b/>
          <w:strike w:val="false"/>
          <w:dstrike w:val="false"/>
          <w:sz w:val="24"/>
          <w:u w:val="none"/>
          <w:effect w:val="none"/>
        </w:rPr>
        <w:t>DTIC (Defense Technical Information Center):</w:t>
      </w:r>
      <w:r>
        <w:rPr>
          <w:rFonts w:ascii="Google Sans;Roboto;Arial;sans-serif" w:hAnsi="Google Sans;Roboto;Arial;sans-serif"/>
          <w:b w:val="false"/>
          <w:strike w:val="false"/>
          <w:dstrike w:val="false"/>
          <w:sz w:val="24"/>
          <w:u w:val="none"/>
          <w:effect w:val="none"/>
        </w:rPr>
        <w:t xml:space="preserve"> While the full suite is restricted to DoD contractors, DTIC hosts a massive collection of unclassified, public-release technical reports, defense innovations, and medical defense strategy documents. While they lack a completely public open API, metadata can be harvested via specialized federal metadata schemas.</w:t>
      </w:r>
    </w:p>
    <w:p>
      <w:pPr>
        <w:pStyle w:val="BodyText"/>
        <w:numPr>
          <w:ilvl w:val="0"/>
          <w:numId w:val="3"/>
        </w:numPr>
        <w:pBdr/>
        <w:tabs>
          <w:tab w:val="clear" w:pos="709"/>
          <w:tab w:val="left" w:pos="0" w:leader="none"/>
        </w:tabs>
        <w:bidi w:val="0"/>
        <w:spacing w:before="0" w:after="0"/>
        <w:ind w:hanging="283" w:left="0" w:right="0"/>
        <w:jc w:val="left"/>
        <w:rPr/>
      </w:pPr>
      <w:r>
        <w:rPr>
          <w:rStyle w:val="Strong"/>
          <w:rFonts w:ascii="Google Sans;Roboto;Arial;sans-serif" w:hAnsi="Google Sans;Roboto;Arial;sans-serif"/>
          <w:b/>
          <w:strike w:val="false"/>
          <w:dstrike w:val="false"/>
          <w:sz w:val="24"/>
          <w:u w:val="none"/>
          <w:effect w:val="none"/>
        </w:rPr>
        <w:t>NCATS Inxight Drugs:</w:t>
      </w:r>
      <w:r>
        <w:rPr>
          <w:rFonts w:ascii="Google Sans;Roboto;Arial;sans-serif" w:hAnsi="Google Sans;Roboto;Arial;sans-serif"/>
          <w:b w:val="false"/>
          <w:strike w:val="false"/>
          <w:dstrike w:val="false"/>
          <w:sz w:val="24"/>
          <w:u w:val="none"/>
          <w:effect w:val="none"/>
        </w:rPr>
        <w:t xml:space="preserve"> A comprehensive portal built by the NIH that unifies data on drug development, biological activity, and regulatory status. It is actively used to track medical countermeasures and repurpose existing pharmaceuticals for defensive biological response. Review data sharing at the </w:t>
      </w:r>
      <w:hyperlink r:id="rId18" w:tgtFrame="_blank">
        <w:r>
          <w:rPr>
            <w:rStyle w:val="Hyperlink"/>
            <w:rFonts w:ascii="Google Sans;Roboto;Arial;sans-serif" w:hAnsi="Google Sans;Roboto;Arial;sans-serif"/>
            <w:b/>
            <w:strike w:val="false"/>
            <w:dstrike w:val="false"/>
            <w:sz w:val="24"/>
            <w:u w:val="single"/>
            <w:effect w:val="none"/>
          </w:rPr>
          <w:t>NCATS OpenData Portal</w:t>
        </w:r>
      </w:hyperlink>
      <w:r>
        <w:rPr>
          <w:rFonts w:ascii="Google Sans;Roboto;Arial;sans-serif" w:hAnsi="Google Sans;Roboto;Arial;sans-serif"/>
          <w:b w:val="false"/>
          <w:strike w:val="false"/>
          <w:dstrike w:val="false"/>
          <w:sz w:val="24"/>
          <w:u w:val="none"/>
          <w:effect w:val="none"/>
        </w:rPr>
        <w:t>.</w:t>
      </w:r>
      <w:r>
        <w:rPr>
          <w:rFonts w:ascii="Google Sans;Roboto;Arial;sans-serif" w:hAnsi="Google Sans;Roboto;Arial;sans-serif"/>
          <w:b w:val="false"/>
          <w:strike w:val="false"/>
          <w:dstrike w:val="false"/>
          <w:sz w:val="24"/>
          <w:u w:val="none"/>
          <w:effect w:val="none"/>
        </w:rPr>
        <w:t xml:space="preserve"> [</w:t>
      </w:r>
      <w:hyperlink r:id="rId19">
        <w:r>
          <w:rPr>
            <w:rStyle w:val="Hyperlink"/>
            <w:rFonts w:ascii="Google Sans;Roboto;Arial;sans-serif" w:hAnsi="Google Sans;Roboto;Arial;sans-serif"/>
            <w:b w:val="false"/>
            <w:strike w:val="false"/>
            <w:dstrike w:val="false"/>
            <w:sz w:val="24"/>
            <w:u w:val="none"/>
            <w:effect w:val="none"/>
          </w:rPr>
          <w:t>1</w:t>
        </w:r>
      </w:hyperlink>
      <w:r>
        <w:rPr>
          <w:rFonts w:ascii="Google Sans;Roboto;Arial;sans-serif" w:hAnsi="Google Sans;Roboto;Arial;sans-serif"/>
          <w:b w:val="false"/>
          <w:strike w:val="false"/>
          <w:dstrike w:val="false"/>
          <w:sz w:val="24"/>
          <w:u w:val="none"/>
          <w:effect w:val="none"/>
        </w:rPr>
        <w:t xml:space="preserve">, </w:t>
      </w:r>
      <w:hyperlink r:id="rId20">
        <w:r>
          <w:rPr>
            <w:rStyle w:val="Hyperlink"/>
            <w:rFonts w:ascii="Google Sans;Roboto;Arial;sans-serif" w:hAnsi="Google Sans;Roboto;Arial;sans-serif"/>
            <w:b w:val="false"/>
            <w:strike w:val="false"/>
            <w:dstrike w:val="false"/>
            <w:sz w:val="24"/>
            <w:u w:val="none"/>
            <w:effect w:val="none"/>
          </w:rPr>
          <w:t>2</w:t>
        </w:r>
      </w:hyperlink>
      <w:r>
        <w:rPr>
          <w:rFonts w:ascii="Google Sans;Roboto;Arial;sans-serif" w:hAnsi="Google Sans;Roboto;Arial;sans-serif"/>
          <w:b w:val="false"/>
          <w:strike w:val="false"/>
          <w:dstrike w:val="false"/>
          <w:sz w:val="24"/>
          <w:u w:val="none"/>
          <w:effect w:val="none"/>
        </w:rPr>
        <w:t xml:space="preserve">, </w:t>
      </w:r>
      <w:hyperlink r:id="rId21">
        <w:r>
          <w:rPr>
            <w:rStyle w:val="Hyperlink"/>
            <w:rFonts w:ascii="Google Sans;Roboto;Arial;sans-serif" w:hAnsi="Google Sans;Roboto;Arial;sans-serif"/>
            <w:b w:val="false"/>
            <w:strike w:val="false"/>
            <w:dstrike w:val="false"/>
            <w:sz w:val="24"/>
            <w:u w:val="none"/>
            <w:effect w:val="none"/>
          </w:rPr>
          <w:t>3</w:t>
        </w:r>
      </w:hyperlink>
      <w:r>
        <w:rPr>
          <w:rFonts w:ascii="Google Sans;Roboto;Arial;sans-serif" w:hAnsi="Google Sans;Roboto;Arial;sans-serif"/>
          <w:b w:val="false"/>
          <w:strike w:val="false"/>
          <w:dstrike w:val="false"/>
          <w:sz w:val="24"/>
          <w:u w:val="none"/>
          <w:effect w:val="none"/>
        </w:rPr>
        <w:t xml:space="preserve">, </w:t>
      </w:r>
      <w:hyperlink r:id="rId22">
        <w:r>
          <w:rPr>
            <w:rStyle w:val="Hyperlink"/>
            <w:rFonts w:ascii="Google Sans;Roboto;Arial;sans-serif" w:hAnsi="Google Sans;Roboto;Arial;sans-serif"/>
            <w:b w:val="false"/>
            <w:strike w:val="false"/>
            <w:dstrike w:val="false"/>
            <w:sz w:val="24"/>
            <w:u w:val="none"/>
            <w:effect w:val="none"/>
          </w:rPr>
          <w:t>4</w:t>
        </w:r>
      </w:hyperlink>
      <w:r>
        <w:rPr>
          <w:rFonts w:ascii="Google Sans;Roboto;Arial;sans-serif" w:hAnsi="Google Sans;Roboto;Arial;sans-serif"/>
          <w:b w:val="false"/>
          <w:strike w:val="false"/>
          <w:dstrike w:val="false"/>
          <w:sz w:val="24"/>
          <w:u w:val="none"/>
          <w:effect w:val="none"/>
        </w:rPr>
        <w:t>]</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oogle Sans">
    <w:altName w:val="Robot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mc.ncbi.nlm.nih.gov/articles/PMC3525971/" TargetMode="External"/><Relationship Id="rId3" Type="http://schemas.openxmlformats.org/officeDocument/2006/relationships/hyperlink" Target="https://www.science.gov/topicpages/a/api+active+pharmaceutical" TargetMode="External"/><Relationship Id="rId4" Type="http://schemas.openxmlformats.org/officeDocument/2006/relationships/hyperlink" Target="https://open.fda.gov/" TargetMode="External"/><Relationship Id="rId5" Type="http://schemas.openxmlformats.org/officeDocument/2006/relationships/hyperlink" Target="https://open.fda.gov/" TargetMode="External"/><Relationship Id="rId6" Type="http://schemas.openxmlformats.org/officeDocument/2006/relationships/hyperlink" Target="https://diabetesjournals.org/diabetes/article/72/1/126/147773/The-Antipsychotic-Dopamine-2-Receptor-Antagonist" TargetMode="External"/><Relationship Id="rId7" Type="http://schemas.openxmlformats.org/officeDocument/2006/relationships/hyperlink" Target="https://bio.tools/open_phacts_api" TargetMode="External"/><Relationship Id="rId8" Type="http://schemas.openxmlformats.org/officeDocument/2006/relationships/hyperlink" Target="https://bio.tools/open_phacts_api" TargetMode="External"/><Relationship Id="rId9" Type="http://schemas.openxmlformats.org/officeDocument/2006/relationships/hyperlink" Target="https://platform-docs.opentargets.org/drug" TargetMode="External"/><Relationship Id="rId10" Type="http://schemas.openxmlformats.org/officeDocument/2006/relationships/hyperlink" Target="https://diabetesjournals.org/diabetes/article/72/1/126/147773/The-Antipsychotic-Dopamine-2-Receptor-Antagonist" TargetMode="External"/><Relationship Id="rId11" Type="http://schemas.openxmlformats.org/officeDocument/2006/relationships/hyperlink" Target="https://www.nnlm.gov/resources/finder" TargetMode="External"/><Relationship Id="rId12" Type="http://schemas.openxmlformats.org/officeDocument/2006/relationships/hyperlink" Target="https://datascience.nih.gov/data-ecosystem/biomedical-data-repositories-and-knowledgebases" TargetMode="External"/><Relationship Id="rId13" Type="http://schemas.openxmlformats.org/officeDocument/2006/relationships/hyperlink" Target="https://nda.nih.gov/edit_collection.html?id=3276" TargetMode="External"/><Relationship Id="rId14" Type="http://schemas.openxmlformats.org/officeDocument/2006/relationships/hyperlink" Target="https://www.ncbi.nlm.nih.gov/books/NBK25500/" TargetMode="External"/><Relationship Id="rId15" Type="http://schemas.openxmlformats.org/officeDocument/2006/relationships/hyperlink" Target="https://onlinelibrary.wiley.com/doi/10.1002/pds.70338" TargetMode="External"/><Relationship Id="rId16" Type="http://schemas.openxmlformats.org/officeDocument/2006/relationships/hyperlink" Target="https://www.darpa.mil/news/2021/near-immediate-vaccine-therapeutics" TargetMode="External"/><Relationship Id="rId17" Type="http://schemas.openxmlformats.org/officeDocument/2006/relationships/hyperlink" Target="https://www.science.gov/topicpages/a/api+active+pharmaceutical" TargetMode="External"/><Relationship Id="rId18" Type="http://schemas.openxmlformats.org/officeDocument/2006/relationships/hyperlink" Target="https://grants.nih.gov/policy-and-compliance/policy-topics/sharing-policies/accessing-data/scientific" TargetMode="External"/><Relationship Id="rId19" Type="http://schemas.openxmlformats.org/officeDocument/2006/relationships/hyperlink" Target="https://www.science.gov/topicpages/a/api+active+pharmaceutical" TargetMode="External"/><Relationship Id="rId20" Type="http://schemas.openxmlformats.org/officeDocument/2006/relationships/hyperlink" Target="https://grants.nih.gov/policy-and-compliance/policy-topics/sharing-policies/accessing-data/scientific" TargetMode="External"/><Relationship Id="rId21" Type="http://schemas.openxmlformats.org/officeDocument/2006/relationships/hyperlink" Target="https://repo-hub.broadinstitute.org/repurposing" TargetMode="External"/><Relationship Id="rId22" Type="http://schemas.openxmlformats.org/officeDocument/2006/relationships/hyperlink" Target="https://guides.lib.vt.edu/c.php?g=10446&amp;p=2475422" TargetMode="Externa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471</Words>
  <Characters>2896</Characters>
  <CharactersWithSpaces>3341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2026-06-28T23:19:46Z</dcterms:created>
  <dc:creator/>
  <dc:description/>
  <dc:language>en-US</dc:language>
  <cp:lastModifiedBy/>
  <dcterms:modified xsi:type="dcterms:W3CDTF">2026-06-28T23:20:12Z</dcterms:modified>
  <cp:revision>1</cp:revision>
  <dc:subject/>
  <dc:title/>
</cp:coreProperties>
</file>