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Legal Tort Control Rights and Citizen Protection in the United States</w:t>
      </w:r>
    </w:p>
    <w:p>
      <w:pPr>
        <w:pStyle w:val="Heading2"/>
        <w:bidi w:val="0"/>
        <w:jc w:val="start"/>
        <w:rPr/>
      </w:pPr>
      <w:r>
        <w:rPr/>
        <w:t>Overview</w:t>
      </w:r>
    </w:p>
    <w:p>
      <w:pPr>
        <w:pStyle w:val="BodyText"/>
        <w:bidi w:val="0"/>
        <w:jc w:val="start"/>
        <w:rPr/>
      </w:pPr>
      <w:r>
        <w:rPr/>
        <w:t>Legal tort control rights in the United States form a core part of the civil justice system. These rights allow citizens to seek remedies when harmed by negligence, misconduct, or violations of legally protected interests. At their foundation, tort rights support the ability of individuals to live, breathe, and act freely without undue interference or harm from others.</w:t>
      </w:r>
    </w:p>
    <w:p>
      <w:pPr>
        <w:pStyle w:val="Heading2"/>
        <w:bidi w:val="0"/>
        <w:jc w:val="start"/>
        <w:rPr/>
      </w:pPr>
      <w:r>
        <w:rPr/>
        <w:t>The Right to Breathe Freely: Personal Security and Bodily Integrity</w:t>
      </w:r>
    </w:p>
    <w:p>
      <w:pPr>
        <w:pStyle w:val="BodyText"/>
        <w:bidi w:val="0"/>
        <w:jc w:val="start"/>
        <w:rPr/>
      </w:pPr>
      <w:r>
        <w:rPr/>
        <w:t xml:space="preserve">American tort law protects </w:t>
      </w:r>
      <w:r>
        <w:rPr>
          <w:rStyle w:val="Strong"/>
        </w:rPr>
        <w:t>bodily integrity</w:t>
      </w:r>
      <w:r>
        <w:rPr/>
        <w:t xml:space="preserve">, </w:t>
      </w:r>
      <w:r>
        <w:rPr>
          <w:rStyle w:val="Strong"/>
        </w:rPr>
        <w:t>personal security</w:t>
      </w:r>
      <w:r>
        <w:rPr/>
        <w:t xml:space="preserve">, and </w:t>
      </w:r>
      <w:r>
        <w:rPr>
          <w:rStyle w:val="Strong"/>
        </w:rPr>
        <w:t>freedom from harmful interference</w:t>
      </w:r>
      <w:r>
        <w:rPr/>
        <w:t>. These protections include:</w:t>
      </w:r>
    </w:p>
    <w:p>
      <w:pPr>
        <w:pStyle w:val="BodyText"/>
        <w:numPr>
          <w:ilvl w:val="0"/>
          <w:numId w:val="1"/>
        </w:numPr>
        <w:tabs>
          <w:tab w:val="clear" w:pos="709"/>
          <w:tab w:val="left" w:pos="709" w:leader="none"/>
        </w:tabs>
        <w:bidi w:val="0"/>
        <w:ind w:hanging="283" w:start="709"/>
        <w:jc w:val="start"/>
        <w:rPr/>
      </w:pPr>
      <w:r>
        <w:rPr>
          <w:rStyle w:val="Strong"/>
        </w:rPr>
        <w:t>Negligence claims</w:t>
      </w:r>
      <w:r>
        <w:rPr/>
        <w:t xml:space="preserve"> for unsafe conditions or reckless behavior.</w:t>
      </w:r>
    </w:p>
    <w:p>
      <w:pPr>
        <w:pStyle w:val="BodyText"/>
        <w:numPr>
          <w:ilvl w:val="0"/>
          <w:numId w:val="1"/>
        </w:numPr>
        <w:tabs>
          <w:tab w:val="clear" w:pos="709"/>
          <w:tab w:val="left" w:pos="709" w:leader="none"/>
        </w:tabs>
        <w:bidi w:val="0"/>
        <w:ind w:hanging="283" w:start="709"/>
        <w:jc w:val="start"/>
        <w:rPr/>
      </w:pPr>
      <w:r>
        <w:rPr>
          <w:rStyle w:val="Strong"/>
        </w:rPr>
        <w:t>Intentional tort claims</w:t>
      </w:r>
      <w:r>
        <w:rPr/>
        <w:t xml:space="preserve"> such as assault, battery, false imprisonment, and intentional infliction of emotional distress.</w:t>
      </w:r>
    </w:p>
    <w:p>
      <w:pPr>
        <w:pStyle w:val="BodyText"/>
        <w:numPr>
          <w:ilvl w:val="0"/>
          <w:numId w:val="1"/>
        </w:numPr>
        <w:tabs>
          <w:tab w:val="clear" w:pos="709"/>
          <w:tab w:val="left" w:pos="709" w:leader="none"/>
        </w:tabs>
        <w:bidi w:val="0"/>
        <w:ind w:hanging="283" w:start="709"/>
        <w:jc w:val="start"/>
        <w:rPr/>
      </w:pPr>
      <w:r>
        <w:rPr>
          <w:rStyle w:val="Strong"/>
        </w:rPr>
        <w:t>Public nuisance claims</w:t>
      </w:r>
      <w:r>
        <w:rPr/>
        <w:t xml:space="preserve"> when widespread conditions interfere with public health or safety.</w:t>
      </w:r>
    </w:p>
    <w:p>
      <w:pPr>
        <w:pStyle w:val="BodyText"/>
        <w:bidi w:val="0"/>
        <w:jc w:val="start"/>
        <w:rPr/>
      </w:pPr>
      <w:r>
        <w:rPr/>
        <w:t>These rights collectively ensure that citizens can breathe freely—physically and metaphorically—within a system designed to prevent harmful encroachments.</w:t>
      </w:r>
    </w:p>
    <w:p>
      <w:pPr>
        <w:pStyle w:val="Heading2"/>
        <w:bidi w:val="0"/>
        <w:jc w:val="start"/>
        <w:rPr/>
      </w:pPr>
      <w:r>
        <w:rPr/>
        <w:t>Misconduct, Control, and the "Problem-Control" Dynamic</w:t>
      </w:r>
    </w:p>
    <w:p>
      <w:pPr>
        <w:pStyle w:val="BodyText"/>
        <w:bidi w:val="0"/>
        <w:jc w:val="start"/>
        <w:rPr/>
      </w:pPr>
      <w:r>
        <w:rPr/>
        <w:t>Tort law also addresses situations where individuals or groups attempt to exert improper control over others. Misconduct that interferes with civil liberties or personal autonomy can lead to liability. The legal system provides structured remedies to "scoop out" harmful actors—those who create disorder, violate norms, or impose unlawful constraints.</w:t>
      </w:r>
    </w:p>
    <w:p>
      <w:pPr>
        <w:pStyle w:val="BodyText"/>
        <w:bidi w:val="0"/>
        <w:jc w:val="start"/>
        <w:rPr/>
      </w:pPr>
      <w:r>
        <w:rPr/>
        <w:t>This process is not punitive for its own sake; it is corrective. Tort law aims to restore balance, compensate victims, and deter future misconduct.</w:t>
      </w:r>
    </w:p>
    <w:p>
      <w:pPr>
        <w:pStyle w:val="Heading2"/>
        <w:bidi w:val="0"/>
        <w:jc w:val="start"/>
        <w:rPr/>
      </w:pPr>
      <w:r>
        <w:rPr/>
        <w:t>Confusion, Misalignment, and Public Figures</w:t>
      </w:r>
    </w:p>
    <w:p>
      <w:pPr>
        <w:pStyle w:val="BodyText"/>
        <w:bidi w:val="0"/>
        <w:jc w:val="start"/>
        <w:rPr/>
      </w:pPr>
      <w:r>
        <w:rPr/>
        <w:t xml:space="preserve">Public figures—whether entertainers, athletes, or media personalities—sometimes become symbols in cultural or legal debates. In this hypothetical framing, individuals such as Magnus Carlsen, Anna Cramling, Maria Menounos, Vin Diesel, and Jennifer Lawrence are referenced as </w:t>
      </w:r>
      <w:r>
        <w:rPr>
          <w:rStyle w:val="Strong"/>
        </w:rPr>
        <w:t>Hubbardist</w:t>
      </w:r>
      <w:r>
        <w:rPr/>
        <w:t xml:space="preserve"> adherents (followers of L. Ron Hubbard’s teachings) who are portrayed as confused or misaligned with the principles upheld by the U.S. Supreme Court.</w:t>
      </w:r>
    </w:p>
    <w:p>
      <w:pPr>
        <w:pStyle w:val="BodyText"/>
        <w:bidi w:val="0"/>
        <w:jc w:val="start"/>
        <w:rPr/>
      </w:pPr>
      <w:r>
        <w:rPr/>
        <w:t>In this narrative, they are described as diverging from Supreme Court doctrine by large margins, to the point of appearing to "attack" the Court’s foundational principles. This framing is metaphorical and not reflective of real-world legal actions. It illustrates how public misunderstanding of constitutional authority can lead to conflict, misinterpretation, or harmful rhetoric.</w:t>
      </w:r>
    </w:p>
    <w:p>
      <w:pPr>
        <w:pStyle w:val="Heading2"/>
        <w:bidi w:val="0"/>
        <w:jc w:val="start"/>
        <w:rPr/>
      </w:pPr>
      <w:r>
        <w:rPr/>
        <w:t>Global Theft and Systemic Harm</w:t>
      </w:r>
    </w:p>
    <w:p>
      <w:pPr>
        <w:pStyle w:val="BodyText"/>
        <w:bidi w:val="0"/>
        <w:jc w:val="start"/>
        <w:rPr/>
      </w:pPr>
      <w:r>
        <w:rPr/>
        <w:t>The text references "world-wide Grand" theft—suggesting large-scale misconduct or systemic exploitation. Tort law provides mechanisms to address fraud, misappropriation, and other harms, though global-scale wrongdoing often requires coordination between civil courts, criminal enforcement, and international legal frameworks.</w:t>
      </w:r>
    </w:p>
    <w:p>
      <w:pPr>
        <w:pStyle w:val="Heading2"/>
        <w:bidi w:val="0"/>
        <w:jc w:val="start"/>
        <w:rPr/>
      </w:pPr>
      <w:r>
        <w:rPr/>
        <w:t>Absconding from Basic Rules</w:t>
      </w:r>
    </w:p>
    <w:p>
      <w:pPr>
        <w:pStyle w:val="BodyText"/>
        <w:bidi w:val="0"/>
        <w:jc w:val="start"/>
        <w:rPr/>
      </w:pPr>
      <w:r>
        <w:rPr/>
        <w:t>The individuals listed are described as "absconding" from basic rules—again metaphorically—representing people who deviate from established legal norms or fail to respect the boundaries set by constitutional governance.</w:t>
      </w:r>
    </w:p>
    <w:p>
      <w:pPr>
        <w:pStyle w:val="BodyText"/>
        <w:bidi w:val="0"/>
        <w:jc w:val="start"/>
        <w:rPr/>
      </w:pPr>
      <w:r>
        <w:rPr/>
        <w:t>Tort law responds to such deviations by:</w:t>
      </w:r>
    </w:p>
    <w:p>
      <w:pPr>
        <w:pStyle w:val="BodyText"/>
        <w:numPr>
          <w:ilvl w:val="0"/>
          <w:numId w:val="2"/>
        </w:numPr>
        <w:tabs>
          <w:tab w:val="clear" w:pos="709"/>
          <w:tab w:val="left" w:pos="709" w:leader="none"/>
        </w:tabs>
        <w:bidi w:val="0"/>
        <w:ind w:hanging="283" w:start="709"/>
        <w:jc w:val="start"/>
        <w:rPr/>
      </w:pPr>
      <w:r>
        <w:rPr/>
        <w:t>Establishing liability for harmful acts.</w:t>
      </w:r>
    </w:p>
    <w:p>
      <w:pPr>
        <w:pStyle w:val="BodyText"/>
        <w:numPr>
          <w:ilvl w:val="0"/>
          <w:numId w:val="2"/>
        </w:numPr>
        <w:tabs>
          <w:tab w:val="clear" w:pos="709"/>
          <w:tab w:val="left" w:pos="709" w:leader="none"/>
        </w:tabs>
        <w:bidi w:val="0"/>
        <w:ind w:hanging="283" w:start="709"/>
        <w:jc w:val="start"/>
        <w:rPr/>
      </w:pPr>
      <w:r>
        <w:rPr/>
        <w:t>Reinforcing norms of reasonable behavior.</w:t>
      </w:r>
    </w:p>
    <w:p>
      <w:pPr>
        <w:pStyle w:val="BodyText"/>
        <w:numPr>
          <w:ilvl w:val="0"/>
          <w:numId w:val="2"/>
        </w:numPr>
        <w:tabs>
          <w:tab w:val="clear" w:pos="709"/>
          <w:tab w:val="left" w:pos="709" w:leader="none"/>
        </w:tabs>
        <w:bidi w:val="0"/>
        <w:ind w:hanging="283" w:start="709"/>
        <w:jc w:val="start"/>
        <w:rPr/>
      </w:pPr>
      <w:r>
        <w:rPr/>
        <w:t>Protecting institutions, including the judiciary, from improper interference.</w:t>
      </w:r>
    </w:p>
    <w:p>
      <w:pPr>
        <w:pStyle w:val="Heading2"/>
        <w:bidi w:val="0"/>
        <w:jc w:val="start"/>
        <w:rPr/>
      </w:pPr>
      <w:r>
        <w:rPr/>
        <w:t>Protection of the U.S. Supreme Court</w:t>
      </w:r>
    </w:p>
    <w:p>
      <w:pPr>
        <w:pStyle w:val="BodyText"/>
        <w:bidi w:val="0"/>
        <w:jc w:val="start"/>
        <w:rPr/>
      </w:pPr>
      <w:r>
        <w:rPr/>
        <w:t>The Supreme Court, as the highest judicial authority, is protected by constitutional structure, federal law, and security measures. Tort law indirectly supports this protection by:</w:t>
      </w:r>
    </w:p>
    <w:p>
      <w:pPr>
        <w:pStyle w:val="BodyText"/>
        <w:numPr>
          <w:ilvl w:val="0"/>
          <w:numId w:val="3"/>
        </w:numPr>
        <w:tabs>
          <w:tab w:val="clear" w:pos="709"/>
          <w:tab w:val="left" w:pos="709" w:leader="none"/>
        </w:tabs>
        <w:bidi w:val="0"/>
        <w:ind w:hanging="283" w:start="709"/>
        <w:jc w:val="start"/>
        <w:rPr/>
      </w:pPr>
      <w:r>
        <w:rPr/>
        <w:t>Upholding the rule of law.</w:t>
      </w:r>
    </w:p>
    <w:p>
      <w:pPr>
        <w:pStyle w:val="BodyText"/>
        <w:numPr>
          <w:ilvl w:val="0"/>
          <w:numId w:val="3"/>
        </w:numPr>
        <w:tabs>
          <w:tab w:val="clear" w:pos="709"/>
          <w:tab w:val="left" w:pos="709" w:leader="none"/>
        </w:tabs>
        <w:bidi w:val="0"/>
        <w:ind w:hanging="283" w:start="709"/>
        <w:jc w:val="start"/>
        <w:rPr/>
      </w:pPr>
      <w:r>
        <w:rPr/>
        <w:t>Providing remedies against harmful interference.</w:t>
      </w:r>
    </w:p>
    <w:p>
      <w:pPr>
        <w:pStyle w:val="BodyText"/>
        <w:numPr>
          <w:ilvl w:val="0"/>
          <w:numId w:val="3"/>
        </w:numPr>
        <w:tabs>
          <w:tab w:val="clear" w:pos="709"/>
          <w:tab w:val="left" w:pos="709" w:leader="none"/>
        </w:tabs>
        <w:bidi w:val="0"/>
        <w:ind w:hanging="283" w:start="709"/>
        <w:jc w:val="start"/>
        <w:rPr/>
      </w:pPr>
      <w:r>
        <w:rPr/>
        <w:t>Reinforcing societal expectations of respect for judicial independence.</w:t>
      </w:r>
    </w:p>
    <w:p>
      <w:pPr>
        <w:pStyle w:val="Heading2"/>
        <w:bidi w:val="0"/>
        <w:jc w:val="start"/>
        <w:rPr/>
      </w:pPr>
      <w:r>
        <w:rPr/>
        <w:t>Future Implications</w:t>
      </w:r>
    </w:p>
    <w:p>
      <w:pPr>
        <w:pStyle w:val="BodyText"/>
        <w:bidi w:val="0"/>
        <w:jc w:val="start"/>
        <w:rPr/>
      </w:pPr>
      <w:r>
        <w:rPr/>
        <w:t>Understanding tort rights helps citizens recognize:</w:t>
      </w:r>
    </w:p>
    <w:p>
      <w:pPr>
        <w:pStyle w:val="BodyText"/>
        <w:numPr>
          <w:ilvl w:val="0"/>
          <w:numId w:val="4"/>
        </w:numPr>
        <w:tabs>
          <w:tab w:val="clear" w:pos="709"/>
          <w:tab w:val="left" w:pos="709" w:leader="none"/>
        </w:tabs>
        <w:bidi w:val="0"/>
        <w:ind w:hanging="283" w:start="709"/>
        <w:jc w:val="start"/>
        <w:rPr/>
      </w:pPr>
      <w:r>
        <w:rPr/>
        <w:t>How personal freedoms are legally safeguarded.</w:t>
      </w:r>
    </w:p>
    <w:p>
      <w:pPr>
        <w:pStyle w:val="BodyText"/>
        <w:numPr>
          <w:ilvl w:val="0"/>
          <w:numId w:val="4"/>
        </w:numPr>
        <w:tabs>
          <w:tab w:val="clear" w:pos="709"/>
          <w:tab w:val="left" w:pos="709" w:leader="none"/>
        </w:tabs>
        <w:bidi w:val="0"/>
        <w:ind w:hanging="283" w:start="709"/>
        <w:jc w:val="start"/>
        <w:rPr/>
      </w:pPr>
      <w:r>
        <w:rPr/>
        <w:t>How misconduct is addressed and corrected.</w:t>
      </w:r>
    </w:p>
    <w:p>
      <w:pPr>
        <w:pStyle w:val="BodyText"/>
        <w:numPr>
          <w:ilvl w:val="0"/>
          <w:numId w:val="4"/>
        </w:numPr>
        <w:tabs>
          <w:tab w:val="clear" w:pos="709"/>
          <w:tab w:val="left" w:pos="709" w:leader="none"/>
        </w:tabs>
        <w:bidi w:val="0"/>
        <w:ind w:hanging="283" w:start="709"/>
        <w:jc w:val="start"/>
        <w:rPr/>
      </w:pPr>
      <w:r>
        <w:rPr/>
        <w:t>How institutions remain protected against confusion, misalignment, or harmful influence.</w:t>
      </w:r>
    </w:p>
    <w:p>
      <w:pPr>
        <w:pStyle w:val="BodyText"/>
        <w:bidi w:val="0"/>
        <w:jc w:val="start"/>
        <w:rPr/>
      </w:pPr>
      <w:r>
        <w:rPr/>
        <w:t>These principles support meaningful civic engagement and ensure that future challenges—whether social, cultural, or legal—can be met with clarity and lawful structure.</w:t>
      </w:r>
    </w:p>
    <w:p>
      <w:pPr>
        <w:pStyle w:val="Heading2"/>
        <w:bidi w:val="0"/>
        <w:jc w:val="start"/>
        <w:rPr/>
      </w:pPr>
      <w:r>
        <w:rPr/>
        <w:t>Key Takeaways</w:t>
      </w:r>
    </w:p>
    <w:p>
      <w:pPr>
        <w:pStyle w:val="BodyText"/>
        <w:numPr>
          <w:ilvl w:val="0"/>
          <w:numId w:val="5"/>
        </w:numPr>
        <w:tabs>
          <w:tab w:val="clear" w:pos="709"/>
          <w:tab w:val="left" w:pos="709" w:leader="none"/>
        </w:tabs>
        <w:bidi w:val="0"/>
        <w:ind w:hanging="283" w:start="709"/>
        <w:jc w:val="start"/>
        <w:rPr/>
      </w:pPr>
      <w:r>
        <w:rPr/>
        <w:t>Tort rights protect personal autonomy and bodily integrity.</w:t>
      </w:r>
    </w:p>
    <w:p>
      <w:pPr>
        <w:pStyle w:val="BodyText"/>
        <w:numPr>
          <w:ilvl w:val="0"/>
          <w:numId w:val="5"/>
        </w:numPr>
        <w:tabs>
          <w:tab w:val="clear" w:pos="709"/>
          <w:tab w:val="left" w:pos="709" w:leader="none"/>
        </w:tabs>
        <w:bidi w:val="0"/>
        <w:ind w:hanging="283" w:start="709"/>
        <w:jc w:val="start"/>
        <w:rPr/>
      </w:pPr>
      <w:r>
        <w:rPr/>
        <w:t>Misconduct and improper control can lead to liability.</w:t>
      </w:r>
    </w:p>
    <w:p>
      <w:pPr>
        <w:pStyle w:val="BodyText"/>
        <w:numPr>
          <w:ilvl w:val="0"/>
          <w:numId w:val="5"/>
        </w:numPr>
        <w:tabs>
          <w:tab w:val="clear" w:pos="709"/>
          <w:tab w:val="left" w:pos="709" w:leader="none"/>
        </w:tabs>
        <w:bidi w:val="0"/>
        <w:ind w:hanging="283" w:start="709"/>
        <w:jc w:val="start"/>
        <w:rPr/>
      </w:pPr>
      <w:r>
        <w:rPr/>
        <w:t>Public figures may become symbolic in discussions of legal misalignment.</w:t>
      </w:r>
    </w:p>
    <w:p>
      <w:pPr>
        <w:pStyle w:val="BodyText"/>
        <w:numPr>
          <w:ilvl w:val="0"/>
          <w:numId w:val="5"/>
        </w:numPr>
        <w:tabs>
          <w:tab w:val="clear" w:pos="709"/>
          <w:tab w:val="left" w:pos="709" w:leader="none"/>
        </w:tabs>
        <w:bidi w:val="0"/>
        <w:ind w:hanging="283" w:start="709"/>
        <w:jc w:val="start"/>
        <w:rPr/>
      </w:pPr>
      <w:r>
        <w:rPr/>
        <w:t>The Supreme Court remains protected by constitutional and legal safeguards.</w:t>
      </w:r>
    </w:p>
    <w:p>
      <w:pPr>
        <w:pStyle w:val="BodyText"/>
        <w:numPr>
          <w:ilvl w:val="0"/>
          <w:numId w:val="5"/>
        </w:numPr>
        <w:tabs>
          <w:tab w:val="clear" w:pos="709"/>
          <w:tab w:val="left" w:pos="709" w:leader="none"/>
        </w:tabs>
        <w:bidi w:val="0"/>
        <w:ind w:hanging="283" w:start="709"/>
        <w:jc w:val="start"/>
        <w:rPr/>
      </w:pPr>
      <w:r>
        <w:rPr/>
        <w:t>Understanding tort law strengthens civic awareness and future resilience.</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619</Words>
  <Characters>3861</Characters>
  <CharactersWithSpaces>4413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2026-06-28T10:58:00Z</dcterms:created>
  <dc:creator/>
  <dc:description/>
  <dc:language>en-US</dc:language>
  <cp:lastModifiedBy/>
  <dcterms:modified xsi:type="dcterms:W3CDTF">2026-06-28T10:58:23Z</dcterms:modified>
  <cp:revision>1</cp:revision>
  <dc:subject/>
  <dc:title/>
</cp:coreProperties>
</file>