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360" w:line="384" w:lineRule="auto"/>
        <w:ind/>
        <w:jc w:val="right"/>
        <w:rPr/>
      </w:pPr>
      <w:r>
        <w:rPr>
          <w:rFonts w:ascii="Cambria" w:eastAsia="Cambria" w:hAnsi="Cambria" w:cs="Cambria"/>
          <w:b w:val="0"/>
          <w:i w:val="0"/>
          <w:iCs w:val="0"/>
          <w:strike w:val="0"/>
          <w:dstrike w:val="0"/>
          <w:color w:val="444444"/>
          <w:sz w:val="16"/>
          <w:spacing w:val="10"/>
          <w:szCs w:val="16"/>
        </w:rPr>
        <w:t xml:space="preserve">NJRA-2026-001  |  CONFIDENTIAL DRAFT  |  Page 1 of 5</w:t>
      </w:r>
    </w:p>
    <w:p>
      <w:pPr>
        <w:pBdr>
          <w:bottom w:val="single" w:color="000000" w:sz="6" w:space="0"/>
        </w:pBdr>
        <w:pStyle w:val="Normal"/>
        <w:spacing w:before="240" w:after="240"/>
        <w:ind/>
        <w:rPr/>
      </w:pPr>
    </w:p>
    <w:p>
      <w:pPr>
        <w:pBdr/>
        <w:pStyle w:val="Normal"/>
        <w:spacing w:before="60" w:after="80" w:line="384" w:lineRule="auto"/>
        <w:ind/>
        <w:jc w:val="both"/>
        <w:rPr/>
      </w:pPr>
      <w:r>
        <w:rPr>
          <w:rFonts w:ascii="Cambria" w:eastAsia="Cambria" w:hAnsi="Cambria" w:cs="Cambria"/>
          <w:b/>
          <w:bCs/>
          <w:i w:val="0"/>
          <w:iCs w:val="0"/>
          <w:strike w:val="0"/>
          <w:dstrike w:val="0"/>
          <w:color w:val="000000"/>
          <w:sz w:val="32"/>
          <w:spacing w:val="20"/>
          <w:szCs w:val="32"/>
        </w:rPr>
        <w:t xml:space="preserve">TASKING MEMORANDUM AND LEGAL BRIEF</w:t>
      </w:r>
    </w:p>
    <w:p>
      <w:pPr>
        <w:pBdr/>
        <w:pStyle w:val="Normal"/>
        <w:spacing w:before="60" w:after="60" w:line="384" w:lineRule="auto"/>
        <w:ind/>
        <w:jc w:val="both"/>
        <w:rPr/>
      </w:pPr>
      <w:r>
        <w:rPr>
          <w:rFonts w:ascii="Cambria" w:eastAsia="Cambria" w:hAnsi="Cambria" w:cs="Cambria"/>
          <w:b w:val="0"/>
          <w:i/>
          <w:iCs/>
          <w:strike w:val="0"/>
          <w:dstrike w:val="0"/>
          <w:color w:val="000000"/>
          <w:sz w:val="22"/>
          <w:szCs w:val="22"/>
        </w:rPr>
        <w:t xml:space="preserve">Assertion of United States Custodial Rights and Authority Above Its Sovereign Territory</w:t>
      </w:r>
      <w:r>
        <w:rPr>
          <w:rFonts w:ascii="Cambria" w:eastAsia="Cambria" w:hAnsi="Cambria" w:cs="Cambria"/>
          <w:b w:val="0"/>
          <w:i/>
          <w:iCs/>
          <w:color w:val="000000"/>
          <w:sz w:val="22"/>
          <w:szCs w:val="22"/>
        </w:rPr>
        <w:br/>
      </w:r>
      <w:r>
        <w:rPr>
          <w:rFonts w:ascii="Cambria" w:eastAsia="Cambria" w:hAnsi="Cambria" w:cs="Cambria"/>
          <w:b w:val="0"/>
          <w:i/>
          <w:iCs/>
          <w:strike w:val="0"/>
          <w:dstrike w:val="0"/>
          <w:color w:val="000000"/>
          <w:sz w:val="22"/>
          <w:szCs w:val="22"/>
        </w:rPr>
        <w:t xml:space="preserve">— Interests of the Average National Citizen —</w:t>
      </w:r>
    </w:p>
    <w:p>
      <w:pPr>
        <w:pBdr/>
        <w:pStyle w:val="Normal"/>
        <w:spacing w:before="60" w:after="240" w:line="384" w:lineRule="auto"/>
        <w:ind/>
        <w:jc w:val="both"/>
        <w:rPr/>
      </w:pPr>
      <w:r>
        <w:rPr>
          <w:rFonts w:ascii="Cambria" w:eastAsia="Cambria" w:hAnsi="Cambria" w:cs="Cambria"/>
          <w:b w:val="0"/>
          <w:i w:val="0"/>
          <w:iCs w:val="0"/>
          <w:strike w:val="0"/>
          <w:dstrike w:val="0"/>
          <w:color w:val="444444"/>
          <w:sz w:val="24"/>
          <w:szCs w:val="24"/>
        </w:rPr>
        <w:t xml:space="preserve">Document Reference: NJRA-</w:t>
      </w:r>
      <w:r>
        <w:rPr>
          <w:rFonts w:ascii="Cambria" w:eastAsia="Cambria" w:hAnsi="Cambria" w:cs="Cambria"/>
          <w:b w:val="0"/>
          <w:i w:val="0"/>
          <w:iCs w:val="0"/>
          <w:strike w:val="0"/>
          <w:dstrike w:val="0"/>
          <w:color w:val="444444"/>
          <w:sz w:val="24"/>
          <w:szCs w:val="24"/>
        </w:rPr>
        <w:t xml:space="preserve">2026-</w:t>
      </w:r>
      <w:r>
        <w:rPr>
          <w:rFonts w:ascii="Cambria" w:eastAsia="Cambria" w:hAnsi="Cambria" w:cs="Cambria"/>
          <w:b w:val="0"/>
          <w:i w:val="0"/>
          <w:iCs w:val="0"/>
          <w:strike w:val="0"/>
          <w:dstrike w:val="0"/>
          <w:color w:val="444444"/>
          <w:sz w:val="24"/>
          <w:szCs w:val="24"/>
        </w:rPr>
        <w:t xml:space="preserve">001</w:t>
      </w:r>
    </w:p>
    <w:p>
      <w:pPr>
        <w:pBdr/>
        <w:pStyle w:val="Normal"/>
        <w:spacing w:before="60" w:after="80" w:line="384" w:lineRule="auto"/>
        <w:ind/>
        <w:jc w:val="center"/>
        <w:rPr/>
      </w:pPr>
      <w:r>
        <w:rPr>
          <w:rFonts w:ascii="Cambria" w:eastAsia="Cambria" w:hAnsi="Cambria" w:cs="Cambria"/>
          <w:b/>
          <w:bCs/>
          <w:i w:val="0"/>
          <w:iCs w:val="0"/>
          <w:strike w:val="0"/>
          <w:dstrike w:val="0"/>
          <w:color w:val="000000"/>
          <w:sz w:val="24"/>
          <w:spacing w:val="10"/>
          <w:szCs w:val="24"/>
        </w:rPr>
        <w:t xml:space="preserve">IN THE MATTER OF NATIONAL JURISDICTIONAL</w:t>
      </w:r>
    </w:p>
    <w:p>
      <w:pPr>
        <w:pBdr/>
        <w:pStyle w:val="Normal"/>
        <w:spacing w:before="60" w:after="80" w:line="384" w:lineRule="auto"/>
        <w:ind/>
        <w:jc w:val="center"/>
        <w:rPr/>
      </w:pPr>
      <w:r>
        <w:rPr>
          <w:rFonts w:ascii="Cambria" w:eastAsia="Cambria" w:hAnsi="Cambria" w:cs="Cambria"/>
          <w:b/>
          <w:bCs/>
          <w:i w:val="0"/>
          <w:iCs w:val="0"/>
          <w:strike w:val="0"/>
          <w:dstrike w:val="0"/>
          <w:color w:val="000000"/>
          <w:sz w:val="24"/>
          <w:spacing w:val="10"/>
          <w:szCs w:val="24"/>
        </w:rPr>
        <w:t xml:space="preserve">CUSTODIAL AUTHORITY ABOVE THE SOVEREIGN</w:t>
      </w:r>
    </w:p>
    <w:p>
      <w:pPr>
        <w:pBdr/>
        <w:pStyle w:val="Normal"/>
        <w:spacing w:before="60" w:after="80" w:line="384" w:lineRule="auto"/>
        <w:ind/>
        <w:jc w:val="center"/>
        <w:rPr/>
      </w:pPr>
      <w:r>
        <w:rPr>
          <w:rFonts w:ascii="Cambria" w:eastAsia="Cambria" w:hAnsi="Cambria" w:cs="Cambria"/>
          <w:b/>
          <w:bCs/>
          <w:i w:val="0"/>
          <w:iCs w:val="0"/>
          <w:strike w:val="0"/>
          <w:dstrike w:val="0"/>
          <w:color w:val="000000"/>
          <w:sz w:val="24"/>
          <w:spacing w:val="10"/>
          <w:szCs w:val="24"/>
        </w:rPr>
        <w:t xml:space="preserve">TERRITORY OF THE UNITED STATES OF AMERICA</w:t>
      </w:r>
    </w:p>
    <w:p>
      <w:pPr>
        <w:pBdr>
          <w:bottom w:val="single" w:color="000000" w:sz="6" w:space="0"/>
        </w:pBdr>
        <w:pStyle w:val="Normal"/>
        <w:spacing w:before="240" w:after="240"/>
        <w:ind/>
        <w:rPr/>
      </w:pPr>
    </w:p>
    <w:p>
      <w:pPr>
        <w:pBdr/>
        <w:pStyle w:val="Normal"/>
        <w:spacing w:before="200" w:after="0"/>
        <w:ind/>
        <w:rPr/>
      </w:pPr>
    </w:p>
    <w:tbl>
      <w:tblPr>
        <w:tblW w:w="5000" w:type="pct"/>
        <w:jc w:val="left"/>
        <w:tblInd w:w="0" w:type="dxa"/>
        <w:tblCellMar>
          <w:top w:w="0" w:type="dxa"/>
          <w:left w:w="108" w:type="dxa"/>
          <w:bottom w:w="0" w:type="dxa"/>
          <w:right w:w="108" w:type="dxa"/>
        </w:tblCellMa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shd w:fill="auto" w:color="auto"/>
      </w:tblPr>
      <w:tblGrid>
        <w:gridCol w:w="1778"/>
        <w:gridCol w:w="7582"/>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8" w:type="dxa"/>
            <w:bottom w:w="0" w:type="dxa"/>
            <w:right w:w="108" w:type="dxa"/>
          </w:tblCellMar>
        </w:tblPrEx>
        <w:trPr>
          <w:trHeight w:hRule="atLeast" w:val="20"/>
        </w:trPr>
        <w:tc>
          <w:tcPr>
            <w:tcW w:type="pct" w:w="9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bCs/>
                <w:i w:val="0"/>
                <w:iCs w:val="0"/>
                <w:strike w:val="0"/>
                <w:dstrike w:val="0"/>
                <w:color w:val="000000"/>
                <w:sz w:val="22"/>
                <w:szCs w:val="22"/>
              </w:rPr>
              <w:t xml:space="preserve">Date:</w:t>
            </w:r>
          </w:p>
        </w:tc>
        <w:tc>
          <w:tcPr>
            <w:tcW w:type="pct" w:w="40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val="0"/>
                <w:i w:val="0"/>
                <w:iCs w:val="0"/>
                <w:strike w:val="0"/>
                <w:dstrike w:val="0"/>
                <w:color w:val="000000"/>
                <w:sz w:val="22"/>
                <w:szCs w:val="22"/>
              </w:rPr>
              <w:t xml:space="preserve">June 29, 2026</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8" w:type="dxa"/>
            <w:bottom w:w="0" w:type="dxa"/>
            <w:right w:w="108" w:type="dxa"/>
          </w:tblCellMar>
        </w:tblPrEx>
        <w:trPr>
          <w:trHeight w:hRule="atLeast" w:val="20"/>
        </w:trPr>
        <w:tc>
          <w:tcPr>
            <w:tcW w:type="pct" w:w="9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bCs/>
                <w:i w:val="0"/>
                <w:iCs w:val="0"/>
                <w:strike w:val="0"/>
                <w:dstrike w:val="0"/>
                <w:color w:val="000000"/>
                <w:sz w:val="22"/>
                <w:szCs w:val="22"/>
              </w:rPr>
              <w:t xml:space="preserve">Issuing Authority:</w:t>
            </w:r>
          </w:p>
        </w:tc>
        <w:tc>
          <w:tcPr>
            <w:tcW w:type="pct" w:w="40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val="0"/>
                <w:i w:val="0"/>
                <w:iCs w:val="0"/>
                <w:strike w:val="0"/>
                <w:dstrike w:val="0"/>
                <w:color w:val="000000"/>
                <w:sz w:val="22"/>
                <w:szCs w:val="22"/>
              </w:rPr>
              <w:t xml:space="preserve">Office of National Jurisdictional Review — Hypothetical Legal Framework</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8" w:type="dxa"/>
            <w:bottom w:w="0" w:type="dxa"/>
            <w:right w:w="108" w:type="dxa"/>
          </w:tblCellMar>
        </w:tblPrEx>
        <w:trPr>
          <w:trHeight w:hRule="atLeast" w:val="20"/>
        </w:trPr>
        <w:tc>
          <w:tcPr>
            <w:tcW w:type="pct" w:w="9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bCs/>
                <w:i w:val="0"/>
                <w:iCs w:val="0"/>
                <w:strike w:val="0"/>
                <w:dstrike w:val="0"/>
                <w:color w:val="000000"/>
                <w:sz w:val="22"/>
                <w:szCs w:val="22"/>
              </w:rPr>
              <w:t xml:space="preserve">Document Reference:</w:t>
            </w:r>
          </w:p>
        </w:tc>
        <w:tc>
          <w:tcPr>
            <w:tcW w:type="pct" w:w="40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val="0"/>
                <w:i w:val="0"/>
                <w:iCs w:val="0"/>
                <w:strike w:val="0"/>
                <w:dstrike w:val="0"/>
                <w:color w:val="000000"/>
                <w:sz w:val="22"/>
                <w:szCs w:val="22"/>
              </w:rPr>
              <w:t xml:space="preserve">NJRA-2026-001</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8" w:type="dxa"/>
            <w:bottom w:w="0" w:type="dxa"/>
            <w:right w:w="108" w:type="dxa"/>
          </w:tblCellMar>
        </w:tblPrEx>
        <w:trPr>
          <w:trHeight w:hRule="atLeast" w:val="20"/>
        </w:trPr>
        <w:tc>
          <w:tcPr>
            <w:tcW w:type="pct" w:w="9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bCs/>
                <w:i w:val="0"/>
                <w:iCs w:val="0"/>
                <w:strike w:val="0"/>
                <w:dstrike w:val="0"/>
                <w:color w:val="000000"/>
                <w:sz w:val="22"/>
                <w:szCs w:val="22"/>
              </w:rPr>
              <w:t xml:space="preserve">Classification:</w:t>
            </w:r>
          </w:p>
        </w:tc>
        <w:tc>
          <w:tcPr>
            <w:tcW w:type="pct" w:w="40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val="0"/>
                <w:i w:val="0"/>
                <w:iCs w:val="0"/>
                <w:strike w:val="0"/>
                <w:dstrike w:val="0"/>
                <w:color w:val="000000"/>
                <w:sz w:val="22"/>
                <w:szCs w:val="22"/>
              </w:rPr>
              <w:t xml:space="preserve">Confidential Draft — For Legislative and Judicial Review</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8" w:type="dxa"/>
            <w:bottom w:w="0" w:type="dxa"/>
            <w:right w:w="108" w:type="dxa"/>
          </w:tblCellMar>
        </w:tblPrEx>
        <w:trPr>
          <w:trHeight w:hRule="atLeast" w:val="20"/>
        </w:trPr>
        <w:tc>
          <w:tcPr>
            <w:tcW w:type="pct" w:w="9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bCs/>
                <w:i w:val="0"/>
                <w:iCs w:val="0"/>
                <w:strike w:val="0"/>
                <w:dstrike w:val="0"/>
                <w:color w:val="000000"/>
                <w:sz w:val="22"/>
                <w:szCs w:val="22"/>
              </w:rPr>
              <w:t xml:space="preserve">Subject:</w:t>
            </w:r>
          </w:p>
        </w:tc>
        <w:tc>
          <w:tcPr>
            <w:tcW w:type="pct" w:w="40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val="0"/>
                <w:i w:val="0"/>
                <w:iCs w:val="0"/>
                <w:strike w:val="0"/>
                <w:dstrike w:val="0"/>
                <w:color w:val="000000"/>
                <w:sz w:val="22"/>
                <w:szCs w:val="22"/>
              </w:rPr>
              <w:t xml:space="preserve">Assertion of United States Custodial Rights and Authority Above Its Sovereign Territory — Interests of the Average National Citizen</w:t>
            </w:r>
          </w:p>
        </w:tc>
      </w:tr>
    </w:tbl>
    <w:p>
      <w:pPr>
        <w:pBdr/>
        <w:pStyle w:val="Normal"/>
        <w:spacing w:before="0" w:after="200"/>
        <w:ind/>
        <w:rPr/>
      </w:pPr>
    </w:p>
    <w:p>
      <w:pPr>
        <w:pBdr/>
        <w:pStyle w:val="Normal"/>
        <w:spacing w:after="240" w:line="384" w:lineRule="auto"/>
        <w:ind/>
        <w:rPr/>
      </w:pPr>
      <w:r>
        <w:rPr>
          <w:rFonts w:ascii="Cambria" w:eastAsia="Cambria" w:hAnsi="Cambria" w:cs="Cambria"/>
          <w:b/>
          <w:bCs/>
          <w:i w:val="0"/>
          <w:iCs w:val="0"/>
          <w:strike w:val="0"/>
          <w:dstrike w:val="0"/>
          <w:color w:val="000000"/>
          <w:sz w:val="26"/>
          <w:spacing w:val="10"/>
          <w:szCs w:val="26"/>
        </w:rPr>
        <w:t xml:space="preserve">PREAMBLE AND PURPOSE</w:t>
      </w:r>
    </w:p>
    <w:p>
      <w:pPr>
        <w:pBdr>
          <w:bottom w:val="single" w:color="000000" w:sz="6" w:space="0"/>
        </w:pBdr>
        <w:pStyle w:val="Normal"/>
        <w:spacing w:before="240" w:after="240"/>
        <w:ind/>
        <w:rPr/>
      </w:pP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1.1</w:t>
      </w:r>
      <w:r>
        <w:rPr>
          <w:rFonts w:ascii="Cambria" w:eastAsia="Cambria" w:hAnsi="Cambria" w:cs="Cambria"/>
          <w:b w:val="0"/>
          <w:i w:val="0"/>
          <w:iCs w:val="0"/>
          <w:strike w:val="0"/>
          <w:dstrike w:val="0"/>
          <w:color w:val="000000"/>
          <w:sz w:val="24"/>
          <w:szCs w:val="24"/>
        </w:rPr>
        <w:t xml:space="preserve"> This Tasking Memorandum and Legal Brief (hereinafter "Document") is prepared by the Office of National Jurisdictional Review under a hypothetical legal framework for the purpose of articulating, arguing, and establishing a comprehensive legal and regulatory basis upon which the United States of America may assert custodial rights and sovereign authority above — that is, over and extending beyond the surface of — its recognized territorial boundaries. The arguments set forth herein are specifically oriented toward the protection, welfare, and legal interests of the average national citizen.</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1.2</w:t>
      </w:r>
      <w:r>
        <w:rPr>
          <w:rFonts w:ascii="Cambria" w:eastAsia="Cambria" w:hAnsi="Cambria" w:cs="Cambria"/>
          <w:b w:val="0"/>
          <w:i w:val="0"/>
          <w:iCs w:val="0"/>
          <w:strike w:val="0"/>
          <w:dstrike w:val="0"/>
          <w:color w:val="000000"/>
          <w:sz w:val="24"/>
          <w:szCs w:val="24"/>
        </w:rPr>
        <w:t xml:space="preserve"> This Document is submitted as a legal argument brief and formal tasking memorandum intended for legislative and judicial consideration. Nothing contained herein constitutes binding law or policy. Rather, this Document presents a structured framework of legal reasoning that responsible legislative, executive, and judicial authorities may consider, deliberate upon, and act upon as they deem appropriate.</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1.3</w:t>
      </w:r>
      <w:r>
        <w:rPr>
          <w:rFonts w:ascii="Cambria" w:eastAsia="Cambria" w:hAnsi="Cambria" w:cs="Cambria"/>
          <w:b w:val="0"/>
          <w:i w:val="0"/>
          <w:iCs w:val="0"/>
          <w:strike w:val="0"/>
          <w:dstrike w:val="0"/>
          <w:color w:val="000000"/>
          <w:sz w:val="24"/>
          <w:szCs w:val="24"/>
        </w:rPr>
        <w:t xml:space="preserve"> The imperative underlying this Document is grounded in a straightforward premise: the rights, protections, and legal custodianship owed by the federal government to its nationals do not evaporate at the surface of the earth. As modern commerce, travel, communication, and national security operations routinely extend above traditional surface boundaries, the legal architecture protecting the average citizen must similarly extend to encompass those domains.</w:t>
      </w:r>
    </w:p>
    <w:p>
      <w:pPr>
        <w:pBdr/>
        <w:pStyle w:val="Normal"/>
        <w:spacing w:after="240" w:line="384" w:lineRule="auto"/>
        <w:ind/>
        <w:rPr/>
      </w:pPr>
      <w:r>
        <w:rPr>
          <w:rFonts w:ascii="Cambria" w:eastAsia="Cambria" w:hAnsi="Cambria" w:cs="Cambria"/>
          <w:b/>
          <w:bCs/>
          <w:i w:val="0"/>
          <w:iCs w:val="0"/>
          <w:strike w:val="0"/>
          <w:dstrike w:val="0"/>
          <w:color w:val="000000"/>
          <w:sz w:val="26"/>
          <w:spacing w:val="10"/>
          <w:szCs w:val="26"/>
        </w:rPr>
        <w:t xml:space="preserve">SCOPE</w:t>
      </w:r>
    </w:p>
    <w:p>
      <w:pPr>
        <w:pBdr>
          <w:bottom w:val="single" w:color="000000" w:sz="6" w:space="0"/>
        </w:pBdr>
        <w:pStyle w:val="Normal"/>
        <w:spacing w:before="240" w:after="240"/>
        <w:ind/>
        <w:rPr/>
      </w:pP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1.4</w:t>
      </w:r>
      <w:r>
        <w:rPr>
          <w:rFonts w:ascii="Cambria" w:eastAsia="Cambria" w:hAnsi="Cambria" w:cs="Cambria"/>
          <w:b w:val="0"/>
          <w:i w:val="0"/>
          <w:iCs w:val="0"/>
          <w:strike w:val="0"/>
          <w:dstrike w:val="0"/>
          <w:color w:val="000000"/>
          <w:sz w:val="24"/>
          <w:szCs w:val="24"/>
        </w:rPr>
        <w:t xml:space="preserve"> The arguments advanced herein are grounded in constitutional interpretation, established legal precedent, and national security doctrine. Specifically, this Document draws upon: (a) the plenary power of the federal government as expressed in the United States Constitution; (b) relevant treaty obligations, including the Outer Space Treaty of 1967 and its domestic implementing statutes; (c) Fourth Amendment jurisprudence regarding the extension of constitutional rights; (d) the </w:t>
      </w:r>
      <w:r>
        <w:rPr>
          <w:rFonts w:ascii="Cambria" w:eastAsia="Cambria" w:hAnsi="Cambria" w:cs="Cambria"/>
          <w:b w:val="0"/>
          <w:i/>
          <w:iCs/>
          <w:strike w:val="0"/>
          <w:dstrike w:val="0"/>
          <w:color w:val="000000"/>
          <w:sz w:val="24"/>
          <w:szCs w:val="24"/>
        </w:rPr>
        <w:t xml:space="preserve">parens patriae</w:t>
      </w:r>
      <w:r>
        <w:rPr>
          <w:rFonts w:ascii="Cambria" w:eastAsia="Cambria" w:hAnsi="Cambria" w:cs="Cambria"/>
          <w:b w:val="0"/>
          <w:i w:val="0"/>
          <w:iCs w:val="0"/>
          <w:strike w:val="0"/>
          <w:dstrike w:val="0"/>
          <w:color w:val="000000"/>
          <w:sz w:val="24"/>
          <w:szCs w:val="24"/>
        </w:rPr>
        <w:t xml:space="preserve"> doctrine; and (e) selected hypothetical precedential case references illustrative of the underlying principles, which are clearly labeled as such throughout.</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1.5</w:t>
      </w:r>
      <w:r>
        <w:rPr>
          <w:rFonts w:ascii="Cambria" w:eastAsia="Cambria" w:hAnsi="Cambria" w:cs="Cambria"/>
          <w:b w:val="0"/>
          <w:i w:val="0"/>
          <w:iCs w:val="0"/>
          <w:strike w:val="0"/>
          <w:dstrike w:val="0"/>
          <w:color w:val="000000"/>
          <w:sz w:val="24"/>
          <w:szCs w:val="24"/>
        </w:rPr>
        <w:t xml:space="preserve"> This Document addresses four primary domains of legal argument: jurisdictional foundations, precedential authority, principal legal arguments, and formal tasking directives to relevant agencies and legislative bodies. Each domain is treated in turn in the sections that follow.</w:t>
      </w:r>
    </w:p>
    <w:p>
      <w:pPr>
        <w:pBdr>
          <w:bottom w:val="single" w:color="CCCCCC" w:sz="6" w:space="0"/>
        </w:pBdr>
        <w:pStyle w:val="Normal"/>
        <w:spacing w:before="240" w:after="240"/>
        <w:ind/>
        <w:rPr/>
      </w:pPr>
    </w:p>
    <w:p>
      <w:pPr>
        <w:pBdr/>
        <w:pStyle w:val="Normal"/>
        <w:spacing w:after="360" w:line="384" w:lineRule="auto"/>
        <w:ind/>
        <w:jc w:val="right"/>
        <w:rPr/>
      </w:pPr>
      <w:r>
        <w:rPr>
          <w:rFonts w:ascii="Cambria" w:eastAsia="Cambria" w:hAnsi="Cambria" w:cs="Cambria"/>
          <w:b w:val="0"/>
          <w:i w:val="0"/>
          <w:iCs w:val="0"/>
          <w:strike w:val="0"/>
          <w:dstrike w:val="0"/>
          <w:color w:val="444444"/>
          <w:sz w:val="16"/>
          <w:spacing w:val="10"/>
          <w:szCs w:val="16"/>
        </w:rPr>
        <w:t xml:space="preserve">NJRA-2026-001  |  CONFIDENTIAL DRAFT  |  Page 2 of 5</w:t>
      </w:r>
    </w:p>
    <w:p>
      <w:pPr>
        <w:pBdr>
          <w:bottom w:val="single" w:color="000000" w:sz="6" w:space="0"/>
        </w:pBdr>
        <w:pStyle w:val="Normal"/>
        <w:spacing w:before="240" w:after="240"/>
        <w:ind/>
        <w:rPr/>
      </w:pPr>
    </w:p>
    <w:p>
      <w:pPr>
        <w:pBdr/>
        <w:pStyle w:val="Heading 2"/>
        <w:spacing w:before="400" w:after="100" w:line="312" w:lineRule="auto"/>
        <w:ind/>
        <w:rPr/>
      </w:pPr>
      <w:r>
        <w:rPr>
          <w:rFonts w:ascii="Cambria" w:eastAsia="Cambria" w:hAnsi="Cambria" w:cs="Cambria"/>
          <w:color w:val="000000"/>
          <w:sz w:val="26"/>
          <w:spacing w:val="10"/>
          <w:szCs w:val="26"/>
        </w:rPr>
        <w:t xml:space="preserve">I. JURISDICTIONAL FOUNDATIONS AND CONSTITUTIONAL BASIS</w:t>
      </w:r>
    </w:p>
    <w:p>
      <w:pPr>
        <w:pBdr>
          <w:top w:val="single" w:color="000000" w:sz="6" w:space="0"/>
        </w:pBdr>
        <w:pStyle w:val="Normal"/>
        <w:spacing w:before="0" w:after="200"/>
        <w:ind/>
        <w:rPr/>
      </w:pP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2.1</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bCs/>
          <w:i w:val="0"/>
          <w:iCs w:val="0"/>
          <w:strike w:val="0"/>
          <w:dstrike w:val="0"/>
          <w:color w:val="000000"/>
          <w:sz w:val="24"/>
          <w:szCs w:val="24"/>
        </w:rPr>
        <w:t xml:space="preserve">The Plenary Power Doctrine.</w:t>
      </w:r>
      <w:r>
        <w:rPr>
          <w:rFonts w:ascii="Cambria" w:eastAsia="Cambria" w:hAnsi="Cambria" w:cs="Cambria"/>
          <w:b w:val="0"/>
          <w:i w:val="0"/>
          <w:iCs w:val="0"/>
          <w:strike w:val="0"/>
          <w:dstrike w:val="0"/>
          <w:color w:val="000000"/>
          <w:sz w:val="24"/>
          <w:szCs w:val="24"/>
        </w:rPr>
        <w:t xml:space="preserve"> The United States possesses broad plenary authority to regulate matters that affect its citizens, both within and, by necessary extension, above the surface of its sovereign territory. The plenary power doctrine, long recognized in federal jurisprudence, affirms that Congress and the executive branch retain comprehensive legislative and regulatory authority over matters that bear directly upon the national interest, the integrity of national borders, and the welfare of nationals wherever — and at whatever altitude — they may be found. This doctrine provides the foundational constitutional architecture upon which above-</w:t>
      </w:r>
      <w:r>
        <w:rPr>
          <w:rFonts w:ascii="Cambria" w:eastAsia="Cambria" w:hAnsi="Cambria" w:cs="Cambria"/>
          <w:b w:val="0"/>
          <w:i w:val="0"/>
          <w:iCs w:val="0"/>
          <w:strike w:val="0"/>
          <w:dstrike w:val="0"/>
          <w:color w:val="000000"/>
          <w:sz w:val="24"/>
          <w:szCs w:val="24"/>
        </w:rPr>
        <w:t xml:space="preserve">territory jurisdictional claims must be constructed.</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2.2</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bCs/>
          <w:i w:val="0"/>
          <w:iCs w:val="0"/>
          <w:strike w:val="0"/>
          <w:dstrike w:val="0"/>
          <w:color w:val="000000"/>
          <w:sz w:val="24"/>
          <w:szCs w:val="24"/>
        </w:rPr>
        <w:t xml:space="preserve">The Outer Space Treaty of 1967 and Domestic Implementing Statutes.</w:t>
      </w:r>
      <w:r>
        <w:rPr>
          <w:rFonts w:ascii="Cambria" w:eastAsia="Cambria" w:hAnsi="Cambria" w:cs="Cambria"/>
          <w:b w:val="0"/>
          <w:i w:val="0"/>
          <w:iCs w:val="0"/>
          <w:strike w:val="0"/>
          <w:dstrike w:val="0"/>
          <w:color w:val="000000"/>
          <w:sz w:val="24"/>
          <w:szCs w:val="24"/>
        </w:rPr>
        <w:t xml:space="preserve"> The Outer Space Treaty of 1967, to which the United States is a signatory, establishes that space is not subject to national appropriation by claim of sovereignty, but simultaneously preserves the jurisdiction and control of the state party over objects it launches into space and over personnel on such objects. Domestic implementing statutes, including provisions of Title 51 of the United States Code, further reflect the federal government's recognized interest in regulating activity above the national territory. These instruments confirm that the sovereign's jurisdictional reach has long been understood to extend above the terrestrial surface, providing persuasive authority for the extension of custodial rights into airspace, near-</w:t>
      </w:r>
      <w:r>
        <w:rPr>
          <w:rFonts w:ascii="Cambria" w:eastAsia="Cambria" w:hAnsi="Cambria" w:cs="Cambria"/>
          <w:b w:val="0"/>
          <w:i w:val="0"/>
          <w:iCs w:val="0"/>
          <w:strike w:val="0"/>
          <w:dstrike w:val="0"/>
          <w:color w:val="000000"/>
          <w:sz w:val="24"/>
          <w:szCs w:val="24"/>
        </w:rPr>
        <w:t xml:space="preserve">space, and beyond.</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2.3</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bCs/>
          <w:i w:val="0"/>
          <w:iCs w:val="0"/>
          <w:strike w:val="0"/>
          <w:dstrike w:val="0"/>
          <w:color w:val="000000"/>
          <w:sz w:val="24"/>
          <w:szCs w:val="24"/>
        </w:rPr>
        <w:t xml:space="preserve">The Supremacy Clause (Article VI, U.S. Constitution).</w:t>
      </w:r>
      <w:r>
        <w:rPr>
          <w:rFonts w:ascii="Cambria" w:eastAsia="Cambria" w:hAnsi="Cambria" w:cs="Cambria"/>
          <w:b w:val="0"/>
          <w:i w:val="0"/>
          <w:iCs w:val="0"/>
          <w:strike w:val="0"/>
          <w:dstrike w:val="0"/>
          <w:color w:val="000000"/>
          <w:sz w:val="24"/>
          <w:szCs w:val="24"/>
        </w:rPr>
        <w:t xml:space="preserve"> Article VI of the United States Constitution provides that the Constitution, federal laws enacted pursuant thereto, and treaties made under the authority of the United States shall be the supreme law of the land. The Supremacy Clause operates to ensure that federal jurisdictional claims above national territory — whether grounded in statute, treaty, or constitutional provision — supersede any conflicting state or local regulation. For purposes of this Document, the Supremacy Clause reinforces that the federal custodial framework proposed herein would function as a unifying legal instrument across all domestic jurisdictions.</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2.4</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bCs/>
          <w:i w:val="0"/>
          <w:iCs w:val="0"/>
          <w:strike w:val="0"/>
          <w:dstrike w:val="0"/>
          <w:color w:val="000000"/>
          <w:sz w:val="24"/>
          <w:szCs w:val="24"/>
        </w:rPr>
        <w:t xml:space="preserve">National Defense Authorization Framework.</w:t>
      </w:r>
      <w:r>
        <w:rPr>
          <w:rFonts w:ascii="Cambria" w:eastAsia="Cambria" w:hAnsi="Cambria" w:cs="Cambria"/>
          <w:b w:val="0"/>
          <w:i w:val="0"/>
          <w:iCs w:val="0"/>
          <w:strike w:val="0"/>
          <w:dstrike w:val="0"/>
          <w:color w:val="000000"/>
          <w:sz w:val="24"/>
          <w:szCs w:val="24"/>
        </w:rPr>
        <w:t xml:space="preserve"> The recurring statutory framework of National Defense Authorization Acts provides further grounding for federal authority above national territory. These acts have historically authorized, funded, and regulated federal activities in airspace, near-</w:t>
      </w:r>
      <w:r>
        <w:rPr>
          <w:rFonts w:ascii="Cambria" w:eastAsia="Cambria" w:hAnsi="Cambria" w:cs="Cambria"/>
          <w:b w:val="0"/>
          <w:i w:val="0"/>
          <w:iCs w:val="0"/>
          <w:strike w:val="0"/>
          <w:dstrike w:val="0"/>
          <w:color w:val="000000"/>
          <w:sz w:val="24"/>
          <w:szCs w:val="24"/>
        </w:rPr>
        <w:t xml:space="preserve">earth orbit, and beyond — activities that directly implicate the safety and welfare of </w:t>
      </w:r>
      <w:r>
        <w:rPr>
          <w:rFonts w:ascii="Cambria" w:eastAsia="Cambria" w:hAnsi="Cambria" w:cs="Cambria"/>
          <w:b w:val="0"/>
          <w:i w:val="0"/>
          <w:iCs w:val="0"/>
          <w:strike w:val="0"/>
          <w:dstrike w:val="0"/>
          <w:color w:val="000000"/>
          <w:sz w:val="24"/>
          <w:szCs w:val="24"/>
        </w:rPr>
        <w:t xml:space="preserve">U.S. nationals. The consistent congressional exercise of such authority constitutes a pattern of legislative practice supporting the existence of federal custodial jurisdiction in above-</w:t>
      </w:r>
      <w:r>
        <w:rPr>
          <w:rFonts w:ascii="Cambria" w:eastAsia="Cambria" w:hAnsi="Cambria" w:cs="Cambria"/>
          <w:b w:val="0"/>
          <w:i w:val="0"/>
          <w:iCs w:val="0"/>
          <w:strike w:val="0"/>
          <w:dstrike w:val="0"/>
          <w:color w:val="000000"/>
          <w:sz w:val="24"/>
          <w:szCs w:val="24"/>
        </w:rPr>
        <w:t xml:space="preserve">territory domains.</w:t>
      </w:r>
    </w:p>
    <w:p>
      <w:pPr>
        <w:pBdr/>
        <w:pStyle w:val="Heading 2"/>
        <w:spacing w:before="400" w:after="100" w:line="312" w:lineRule="auto"/>
        <w:ind/>
        <w:rPr/>
      </w:pPr>
      <w:r>
        <w:rPr>
          <w:rFonts w:ascii="Cambria" w:eastAsia="Cambria" w:hAnsi="Cambria" w:cs="Cambria"/>
          <w:color w:val="000000"/>
          <w:sz w:val="26"/>
          <w:spacing w:val="10"/>
          <w:szCs w:val="26"/>
        </w:rPr>
        <w:t xml:space="preserve">II. PRECEDENTIAL AUTHORITY — SELECTED CASE REFERENCES</w:t>
      </w:r>
    </w:p>
    <w:p>
      <w:pPr>
        <w:pBdr>
          <w:top w:val="single" w:color="000000" w:sz="6" w:space="0"/>
        </w:pBdr>
        <w:pStyle w:val="Normal"/>
        <w:spacing w:before="0" w:after="200"/>
        <w:ind/>
        <w:rPr/>
      </w:pPr>
    </w:p>
    <w:p>
      <w:pPr>
        <w:pBdr/>
        <w:pStyle w:val="Normal"/>
        <w:spacing w:before="240" w:after="0"/>
        <w:ind/>
        <w:rPr/>
      </w:pPr>
    </w:p>
    <w:tbl>
      <w:tblPr>
        <w:tblW w:w="5000" w:type="pct"/>
        <w:jc w:val="left"/>
        <w:tblInd w:w="0" w:type="dxa"/>
        <w:tblCellMar>
          <w:top w:w="0" w:type="dxa"/>
          <w:left w:w="108" w:type="dxa"/>
          <w:bottom w:w="0" w:type="dxa"/>
          <w:right w:w="108" w:type="dxa"/>
        </w:tblCellMar>
        <w:tblBorders>
          <w:top w:val="nil"/>
          <w:left w:val="nil"/>
          <w:bottom w:val="nil"/>
          <w:right w:val="nil"/>
          <w:insideH w:val="nil"/>
          <w:insideV w:val="nil"/>
        </w:tblBorders>
        <w:shd w:fill="auto" w:color="auto"/>
      </w:tblPr>
      <w:tblGrid>
        <w:gridCol w:w="9360"/>
      </w:tblGrid>
      <w:tr>
        <w:tblPrEx>
          <w:tblBorders>
            <w:top w:val="nil"/>
            <w:left w:val="nil"/>
            <w:bottom w:val="nil"/>
            <w:right w:val="nil"/>
            <w:insideH w:val="nil"/>
            <w:insideV w:val="nil"/>
          </w:tblBorders>
          <w:tblCellMar>
            <w:top w:w="0" w:type="dxa"/>
            <w:left w:w="108" w:type="dxa"/>
            <w:bottom w:w="0" w:type="dxa"/>
            <w:right w:w="108" w:type="dxa"/>
          </w:tblCellMar>
        </w:tblPrEx>
        <w:trPr>
          <w:trHeight w:hRule="atLeast" w:val="20"/>
        </w:trPr>
        <w:tc>
          <w:tcPr>
            <w:tcW w:type="auto" w:w="0"/>
            <w:tcMar>
              <w:top w:w="150" w:type="dxa"/>
              <w:left w:w="210" w:type="dxa"/>
              <w:bottom w:w="150" w:type="dxa"/>
              <w:right w:w="210" w:type="dxa"/>
            </w:tcMar>
            <w:tcBorders>
              <w:top w:val="single" w:color="444444" w:sz="6" w:space="0"/>
              <w:left w:val="single" w:color="444444" w:sz="6" w:space="0"/>
              <w:bottom w:val="single" w:color="444444" w:sz="6" w:space="0"/>
              <w:right w:val="single" w:color="444444" w:sz="6" w:space="0"/>
            </w:tcBorders>
            <w:shd w:fill="F5F5F5" w:color="auto" w:val="clear"/>
            <w:vAlign w:val="top"/>
          </w:tcPr>
          <w:p>
            <w:pPr>
              <w:pBdr/>
              <w:pStyle w:val="Normal"/>
              <w:spacing w:after="60" w:line="384" w:lineRule="auto"/>
              <w:ind/>
              <w:jc w:val="both"/>
              <w:rPr/>
            </w:pPr>
            <w:r>
              <w:rPr>
                <w:rFonts w:ascii="Cambria" w:eastAsia="Cambria" w:hAnsi="Cambria" w:cs="Cambria"/>
                <w:b/>
                <w:bCs/>
                <w:i w:val="0"/>
                <w:iCs w:val="0"/>
                <w:strike w:val="0"/>
                <w:dstrike w:val="0"/>
                <w:color w:val="000000"/>
                <w:sz w:val="20"/>
                <w:szCs w:val="20"/>
              </w:rPr>
              <w:t xml:space="preserve">Notice Regarding Case Citations</w:t>
            </w:r>
          </w:p>
          <w:p>
            <w:pPr>
              <w:pBdr/>
              <w:pStyle w:val="Normal"/>
              <w:spacing w:after="160" w:line="384" w:lineRule="auto"/>
              <w:ind/>
              <w:jc w:val="both"/>
              <w:rPr/>
            </w:pPr>
            <w:r>
              <w:rPr>
                <w:rFonts w:ascii="Cambria" w:eastAsia="Cambria" w:hAnsi="Cambria" w:cs="Cambria"/>
                <w:b w:val="0"/>
                <w:i w:val="0"/>
                <w:iCs w:val="0"/>
                <w:strike w:val="0"/>
                <w:dstrike w:val="0"/>
                <w:color w:val="000000"/>
                <w:sz w:val="24"/>
                <w:szCs w:val="24"/>
              </w:rPr>
              <w:t xml:space="preserve">All case citations referenced in this Document are hypothetical and have been created for illustrative legal argument purposes only. They do not correspond to any actual published legal decisions. See Footnotes 1 and 2 for full disclosure.</w:t>
            </w:r>
          </w:p>
        </w:tc>
      </w:tr>
    </w:tbl>
    <w:p>
      <w:pPr>
        <w:pBdr/>
        <w:pStyle w:val="Normal"/>
        <w:spacing w:before="0" w:after="240"/>
        <w:ind/>
        <w:rPr/>
      </w:pP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2.5</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bCs/>
          <w:i/>
          <w:iCs/>
          <w:strike w:val="0"/>
          <w:dstrike w:val="0"/>
          <w:color w:val="000000"/>
          <w:sz w:val="24"/>
          <w:szCs w:val="24"/>
        </w:rPr>
        <w:t xml:space="preserve">Johnson vs. Smith</w:t>
      </w:r>
      <w:r>
        <w:rPr>
          <w:rFonts w:ascii="Cambria" w:eastAsia="Cambria" w:hAnsi="Cambria" w:cs="Cambria"/>
          <w:b/>
          <w:bCs/>
          <w:i w:val="0"/>
          <w:iCs w:val="0"/>
          <w:strike w:val="0"/>
          <w:dstrike w:val="0"/>
          <w:color w:val="000000"/>
          <w:sz w:val="24"/>
          <w:szCs w:val="24"/>
        </w:rPr>
        <w:t xml:space="preserve">, 19811 (Spanning 1911–1981) [Hypothetical Precedent</w:t>
      </w:r>
      <w:r>
        <w:rPr>
          <w:rFonts w:ascii="Cambria" w:eastAsia="Cambria" w:hAnsi="Cambria" w:cs="Cambria"/>
          <w:b/>
          <w:bCs/>
          <w:i w:val="0"/>
          <w:iCs w:val="0"/>
          <w:strike w:val="0"/>
          <w:dstrike w:val="0"/>
          <w:color w:val="000000"/>
          <w:sz w:val="24"/>
          <w:szCs w:val="24"/>
          <w:vertAlign w:val="superscript"/>
        </w:rPr>
        <w:t xml:space="preserve">1</w:t>
      </w:r>
      <w:r>
        <w:rPr>
          <w:rFonts w:ascii="Cambria" w:eastAsia="Cambria" w:hAnsi="Cambria" w:cs="Cambria"/>
          <w:b/>
          <w:bCs/>
          <w:i w:val="0"/>
          <w:iCs w:val="0"/>
          <w:strike w:val="0"/>
          <w:dstrike w:val="0"/>
          <w:color w:val="000000"/>
          <w:sz w:val="24"/>
          <w:szCs w:val="24"/>
        </w:rPr>
        <w:t xml:space="preserve">].</w:t>
      </w:r>
      <w:r>
        <w:rPr>
          <w:rFonts w:ascii="Cambria" w:eastAsia="Cambria" w:hAnsi="Cambria" w:cs="Cambria"/>
          <w:b w:val="0"/>
          <w:i w:val="0"/>
          <w:iCs w:val="0"/>
          <w:strike w:val="0"/>
          <w:dstrike w:val="0"/>
          <w:color w:val="000000"/>
          <w:sz w:val="24"/>
          <w:szCs w:val="24"/>
        </w:rPr>
        <w:t xml:space="preserve"> This long-</w:t>
      </w:r>
      <w:r>
        <w:rPr>
          <w:rFonts w:ascii="Cambria" w:eastAsia="Cambria" w:hAnsi="Cambria" w:cs="Cambria"/>
          <w:b w:val="0"/>
          <w:i w:val="0"/>
          <w:iCs w:val="0"/>
          <w:strike w:val="0"/>
          <w:dstrike w:val="0"/>
          <w:color w:val="000000"/>
          <w:sz w:val="24"/>
          <w:szCs w:val="24"/>
        </w:rPr>
        <w:t xml:space="preserve">standing hypothetical jurisdictional dispute arose over the question of national custodial authority and the continuity of the federal government's interest in the welfare and legal status of its nationals regardless of their physical location or altitude. The dispute, spanning seven decades of procedural history, ultimately yielded the principle that the federal government retains a continuing, non-</w:t>
      </w:r>
      <w:r>
        <w:rPr>
          <w:rFonts w:ascii="Cambria" w:eastAsia="Cambria" w:hAnsi="Cambria" w:cs="Cambria"/>
          <w:b w:val="0"/>
          <w:i w:val="0"/>
          <w:iCs w:val="0"/>
          <w:strike w:val="0"/>
          <w:dstrike w:val="0"/>
          <w:color w:val="000000"/>
          <w:sz w:val="24"/>
          <w:szCs w:val="24"/>
        </w:rPr>
        <w:t xml:space="preserve">derogable interest in the welfare and status of its nationals — an interest that cannot be extinguished merely because the national in question has moved beyond a particular geographic boundary or altitude threshold. This principle of continuity of federal custodial interest is directly applicable to the above-</w:t>
      </w:r>
      <w:r>
        <w:rPr>
          <w:rFonts w:ascii="Cambria" w:eastAsia="Cambria" w:hAnsi="Cambria" w:cs="Cambria"/>
          <w:b w:val="0"/>
          <w:i w:val="0"/>
          <w:iCs w:val="0"/>
          <w:strike w:val="0"/>
          <w:dstrike w:val="0"/>
          <w:color w:val="000000"/>
          <w:sz w:val="24"/>
          <w:szCs w:val="24"/>
        </w:rPr>
        <w:t xml:space="preserve">territory jurisdictional framework articulated in this Document.</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2.6</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bCs/>
          <w:i/>
          <w:iCs/>
          <w:strike w:val="0"/>
          <w:dstrike w:val="0"/>
          <w:color w:val="000000"/>
          <w:sz w:val="24"/>
          <w:szCs w:val="24"/>
        </w:rPr>
        <w:t xml:space="preserve">Stone vs. Stone</w:t>
      </w:r>
      <w:r>
        <w:rPr>
          <w:rFonts w:ascii="Cambria" w:eastAsia="Cambria" w:hAnsi="Cambria" w:cs="Cambria"/>
          <w:b/>
          <w:bCs/>
          <w:i w:val="0"/>
          <w:iCs w:val="0"/>
          <w:strike w:val="0"/>
          <w:dstrike w:val="0"/>
          <w:color w:val="000000"/>
          <w:sz w:val="24"/>
          <w:szCs w:val="24"/>
        </w:rPr>
        <w:t xml:space="preserve">, Hillsborough County, North Carolina (1981) [Hypothetical Precedent</w:t>
      </w:r>
      <w:r>
        <w:rPr>
          <w:rFonts w:ascii="Cambria" w:eastAsia="Cambria" w:hAnsi="Cambria" w:cs="Cambria"/>
          <w:b/>
          <w:bCs/>
          <w:i w:val="0"/>
          <w:iCs w:val="0"/>
          <w:strike w:val="0"/>
          <w:dstrike w:val="0"/>
          <w:color w:val="000000"/>
          <w:sz w:val="24"/>
          <w:szCs w:val="24"/>
          <w:vertAlign w:val="superscript"/>
        </w:rPr>
        <w:t xml:space="preserve">2</w:t>
      </w:r>
      <w:r>
        <w:rPr>
          <w:rFonts w:ascii="Cambria" w:eastAsia="Cambria" w:hAnsi="Cambria" w:cs="Cambria"/>
          <w:b/>
          <w:bCs/>
          <w:i w:val="0"/>
          <w:iCs w:val="0"/>
          <w:strike w:val="0"/>
          <w:dstrike w:val="0"/>
          <w:color w:val="000000"/>
          <w:sz w:val="24"/>
          <w:szCs w:val="24"/>
        </w:rPr>
        <w:t xml:space="preserve">].</w:t>
      </w:r>
      <w:r>
        <w:rPr>
          <w:rFonts w:ascii="Cambria" w:eastAsia="Cambria" w:hAnsi="Cambria" w:cs="Cambria"/>
          <w:b w:val="0"/>
          <w:i w:val="0"/>
          <w:iCs w:val="0"/>
          <w:strike w:val="0"/>
          <w:dstrike w:val="0"/>
          <w:color w:val="000000"/>
          <w:sz w:val="24"/>
          <w:szCs w:val="24"/>
        </w:rPr>
        <w:t xml:space="preserve"> This domestic relations case, adjudicated in Hillsborough County, North Carolina, established the principle — within the hypothetical legal framework of this Document — that legal custodial bonds, once formally recognized by the state, extend beyond immediate physical proximity and cannot be severed by geographic displacement. The court in </w:t>
      </w:r>
      <w:r>
        <w:rPr>
          <w:rFonts w:ascii="Cambria" w:eastAsia="Cambria" w:hAnsi="Cambria" w:cs="Cambria"/>
          <w:b w:val="0"/>
          <w:i/>
          <w:iCs/>
          <w:strike w:val="0"/>
          <w:dstrike w:val="0"/>
          <w:color w:val="000000"/>
          <w:sz w:val="24"/>
          <w:szCs w:val="24"/>
        </w:rPr>
        <w:t xml:space="preserve">Stone vs. Stone</w:t>
      </w:r>
      <w:r>
        <w:rPr>
          <w:rFonts w:ascii="Cambria" w:eastAsia="Cambria" w:hAnsi="Cambria" w:cs="Cambria"/>
          <w:b w:val="0"/>
          <w:i w:val="0"/>
          <w:iCs w:val="0"/>
          <w:strike w:val="0"/>
          <w:dstrike w:val="0"/>
          <w:color w:val="000000"/>
          <w:sz w:val="24"/>
          <w:szCs w:val="24"/>
        </w:rPr>
        <w:t xml:space="preserve"> reasoned that the legal recognition of a custodial relationship creates a durable juridical bond that survives physical separation, distance, or relocation. This holding is foundational to what this Document terms the </w:t>
      </w:r>
      <w:r>
        <w:rPr>
          <w:rFonts w:ascii="Cambria" w:eastAsia="Cambria" w:hAnsi="Cambria" w:cs="Cambria"/>
          <w:b w:val="0"/>
          <w:i w:val="0"/>
          <w:iCs w:val="0"/>
          <w:strike w:val="0"/>
          <w:dstrike w:val="0"/>
          <w:color w:val="000000"/>
          <w:sz w:val="24"/>
          <w:szCs w:val="24"/>
        </w:rPr>
        <w:t xml:space="preserve">"inseparability doctrine" — the principle that legally recognized bonds of custody and legal union persist without regard to physical location, altitude, or territorial displacement.</w:t>
      </w:r>
    </w:p>
    <w:p>
      <w:pPr>
        <w:pBdr>
          <w:bottom w:val="single" w:color="CCCCCC" w:sz="6" w:space="0"/>
        </w:pBdr>
        <w:pStyle w:val="Normal"/>
        <w:spacing w:before="240" w:after="240"/>
        <w:ind/>
        <w:rPr/>
      </w:pPr>
    </w:p>
    <w:p>
      <w:pPr>
        <w:pBdr/>
        <w:pStyle w:val="Normal"/>
        <w:spacing w:after="360" w:line="384" w:lineRule="auto"/>
        <w:ind/>
        <w:jc w:val="right"/>
        <w:rPr/>
      </w:pPr>
      <w:r>
        <w:rPr>
          <w:rFonts w:ascii="Cambria" w:eastAsia="Cambria" w:hAnsi="Cambria" w:cs="Cambria"/>
          <w:b w:val="0"/>
          <w:i w:val="0"/>
          <w:iCs w:val="0"/>
          <w:strike w:val="0"/>
          <w:dstrike w:val="0"/>
          <w:color w:val="444444"/>
          <w:sz w:val="16"/>
          <w:spacing w:val="10"/>
          <w:szCs w:val="16"/>
        </w:rPr>
        <w:t xml:space="preserve">NJRA-2026-001  |  CONFIDENTIAL DRAFT  |  Page 3 of 5</w:t>
      </w:r>
    </w:p>
    <w:p>
      <w:pPr>
        <w:pBdr>
          <w:bottom w:val="single" w:color="000000" w:sz="6" w:space="0"/>
        </w:pBdr>
        <w:pStyle w:val="Normal"/>
        <w:spacing w:before="240" w:after="240"/>
        <w:ind/>
        <w:rPr/>
      </w:pPr>
    </w:p>
    <w:p>
      <w:pPr>
        <w:pBdr/>
        <w:pStyle w:val="Heading 2"/>
        <w:spacing w:before="400" w:after="100" w:line="312" w:lineRule="auto"/>
        <w:ind/>
        <w:rPr/>
      </w:pPr>
      <w:r>
        <w:rPr>
          <w:rFonts w:ascii="Cambria" w:eastAsia="Cambria" w:hAnsi="Cambria" w:cs="Cambria"/>
          <w:color w:val="000000"/>
          <w:sz w:val="26"/>
          <w:spacing w:val="10"/>
          <w:szCs w:val="26"/>
        </w:rPr>
        <w:t xml:space="preserve">III. PRINCIPAL LEGAL ARGUMENTS</w:t>
      </w:r>
    </w:p>
    <w:p>
      <w:pPr>
        <w:pBdr>
          <w:top w:val="single" w:color="000000" w:sz="6" w:space="0"/>
        </w:pBdr>
        <w:pStyle w:val="Normal"/>
        <w:spacing w:before="0" w:after="200"/>
        <w:ind/>
        <w:rPr/>
      </w:pP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3.1</w:t>
      </w:r>
      <w:r>
        <w:rPr>
          <w:rFonts w:ascii="Cambria" w:eastAsia="Cambria" w:hAnsi="Cambria" w:cs="Cambria"/>
          <w:b w:val="0"/>
          <w:i w:val="0"/>
          <w:iCs w:val="0"/>
          <w:strike w:val="0"/>
          <w:dstrike w:val="0"/>
          <w:color w:val="000000"/>
          <w:sz w:val="24"/>
          <w:szCs w:val="24"/>
        </w:rPr>
        <w:t xml:space="preserve"> The following four arguments constitute the principal legal architecture supporting the assertion of United States custodial authority above its sovereign territory. Each argument is grounded in the constitutional, statutory, and precedential authorities identified in the preceding sections.</w:t>
      </w:r>
    </w:p>
    <w:p>
      <w:pPr>
        <w:pBdr/>
        <w:pStyle w:val="Normal"/>
        <w:spacing w:after="80" w:line="384" w:lineRule="auto"/>
        <w:ind/>
        <w:jc w:val="both"/>
        <w:rPr/>
      </w:pPr>
      <w:r>
        <w:rPr>
          <w:rFonts w:ascii="Cambria" w:eastAsia="Cambria" w:hAnsi="Cambria" w:cs="Cambria"/>
          <w:b/>
          <w:bCs/>
          <w:i/>
          <w:iCs/>
          <w:strike w:val="0"/>
          <w:dstrike w:val="0"/>
          <w:color w:val="000000"/>
          <w:sz w:val="24"/>
          <w:szCs w:val="24"/>
        </w:rPr>
        <w:t xml:space="preserve">Argument A — Custodial Rights Above Territory</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3.2</w:t>
      </w:r>
      <w:r>
        <w:rPr>
          <w:rFonts w:ascii="Cambria" w:eastAsia="Cambria" w:hAnsi="Cambria" w:cs="Cambria"/>
          <w:b w:val="0"/>
          <w:i w:val="0"/>
          <w:iCs w:val="0"/>
          <w:strike w:val="0"/>
          <w:dstrike w:val="0"/>
          <w:color w:val="000000"/>
          <w:sz w:val="24"/>
          <w:szCs w:val="24"/>
        </w:rPr>
        <w:t xml:space="preserve"> The United States, in its sovereign capacity, holds a </w:t>
      </w:r>
      <w:r>
        <w:rPr>
          <w:rFonts w:ascii="Cambria" w:eastAsia="Cambria" w:hAnsi="Cambria" w:cs="Cambria"/>
          <w:b w:val="0"/>
          <w:i/>
          <w:iCs/>
          <w:strike w:val="0"/>
          <w:dstrike w:val="0"/>
          <w:color w:val="000000"/>
          <w:sz w:val="24"/>
          <w:szCs w:val="24"/>
        </w:rPr>
        <w:t xml:space="preserve">parens patriae</w:t>
      </w:r>
      <w:r>
        <w:rPr>
          <w:rFonts w:ascii="Cambria" w:eastAsia="Cambria" w:hAnsi="Cambria" w:cs="Cambria"/>
          <w:b w:val="0"/>
          <w:i w:val="0"/>
          <w:iCs w:val="0"/>
          <w:strike w:val="0"/>
          <w:dstrike w:val="0"/>
          <w:color w:val="000000"/>
          <w:sz w:val="24"/>
          <w:szCs w:val="24"/>
        </w:rPr>
        <w:t xml:space="preserve"> interest in each of its nationals. This interest — which encompasses the government's role as a legal guardian or protector of those who are subject to its jurisdiction — does not terminate at any altitude above its territory. The government's duty of protection and legal custodianship attaches to the citizen, not merely to the physical ground upon which the citizen stands. Accordingly, whether a U.S. national is traveling by commercial aircraft, operating within near-</w:t>
      </w:r>
      <w:r>
        <w:rPr>
          <w:rFonts w:ascii="Cambria" w:eastAsia="Cambria" w:hAnsi="Cambria" w:cs="Cambria"/>
          <w:b w:val="0"/>
          <w:i w:val="0"/>
          <w:iCs w:val="0"/>
          <w:strike w:val="0"/>
          <w:dstrike w:val="0"/>
          <w:color w:val="000000"/>
          <w:sz w:val="24"/>
          <w:szCs w:val="24"/>
        </w:rPr>
        <w:t xml:space="preserve">earth space, communicating via satellite, or otherwise engaged in activities above the territorial surface, the federal government's custodial interest accompanies that national throughout.</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3.3</w:t>
      </w:r>
      <w:r>
        <w:rPr>
          <w:rFonts w:ascii="Cambria" w:eastAsia="Cambria" w:hAnsi="Cambria" w:cs="Cambria"/>
          <w:b w:val="0"/>
          <w:i w:val="0"/>
          <w:iCs w:val="0"/>
          <w:strike w:val="0"/>
          <w:dstrike w:val="0"/>
          <w:color w:val="000000"/>
          <w:sz w:val="24"/>
          <w:szCs w:val="24"/>
        </w:rPr>
        <w:t xml:space="preserve"> The hypothetical holding in </w:t>
      </w:r>
      <w:r>
        <w:rPr>
          <w:rFonts w:ascii="Cambria" w:eastAsia="Cambria" w:hAnsi="Cambria" w:cs="Cambria"/>
          <w:b w:val="0"/>
          <w:i/>
          <w:iCs/>
          <w:strike w:val="0"/>
          <w:dstrike w:val="0"/>
          <w:color w:val="000000"/>
          <w:sz w:val="24"/>
          <w:szCs w:val="24"/>
        </w:rPr>
        <w:t xml:space="preserve">Johnson vs. Smith</w:t>
      </w:r>
      <w:r>
        <w:rPr>
          <w:rFonts w:ascii="Cambria" w:eastAsia="Cambria" w:hAnsi="Cambria" w:cs="Cambria"/>
          <w:b w:val="0"/>
          <w:i w:val="0"/>
          <w:iCs w:val="0"/>
          <w:strike w:val="0"/>
          <w:dstrike w:val="0"/>
          <w:color w:val="000000"/>
          <w:sz w:val="24"/>
          <w:szCs w:val="24"/>
        </w:rPr>
        <w:t xml:space="preserve"> (19811) directly supports this proposition. The principle that federal custodial interest is continuous and non-</w:t>
      </w:r>
      <w:r>
        <w:rPr>
          <w:rFonts w:ascii="Cambria" w:eastAsia="Cambria" w:hAnsi="Cambria" w:cs="Cambria"/>
          <w:b w:val="0"/>
          <w:i w:val="0"/>
          <w:iCs w:val="0"/>
          <w:strike w:val="0"/>
          <w:dstrike w:val="0"/>
          <w:color w:val="000000"/>
          <w:sz w:val="24"/>
          <w:szCs w:val="24"/>
        </w:rPr>
        <w:t xml:space="preserve">derogable — irrespective of physical location or altitude — provides the precedential backbone of Argument A. The federal government cannot in law discharge its custodial obligations by reference to vertical geography; the sovereign's duty follows the citizen.</w:t>
      </w:r>
    </w:p>
    <w:p>
      <w:pPr>
        <w:pBdr/>
        <w:pStyle w:val="Normal"/>
        <w:spacing w:after="80" w:line="384" w:lineRule="auto"/>
        <w:ind/>
        <w:jc w:val="both"/>
        <w:rPr/>
      </w:pPr>
      <w:r>
        <w:rPr>
          <w:rFonts w:ascii="Cambria" w:eastAsia="Cambria" w:hAnsi="Cambria" w:cs="Cambria"/>
          <w:b/>
          <w:bCs/>
          <w:i/>
          <w:iCs/>
          <w:strike w:val="0"/>
          <w:dstrike w:val="0"/>
          <w:color w:val="000000"/>
          <w:sz w:val="24"/>
          <w:szCs w:val="24"/>
        </w:rPr>
        <w:t xml:space="preserve">Argument B — Cause-</w:t>
      </w:r>
      <w:r>
        <w:rPr>
          <w:rFonts w:ascii="Cambria" w:eastAsia="Cambria" w:hAnsi="Cambria" w:cs="Cambria"/>
          <w:b/>
          <w:bCs/>
          <w:i/>
          <w:iCs/>
          <w:strike w:val="0"/>
          <w:dstrike w:val="0"/>
          <w:color w:val="000000"/>
          <w:sz w:val="24"/>
          <w:szCs w:val="24"/>
        </w:rPr>
        <w:t xml:space="preserve">Based Warrant Authority</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3.4</w:t>
      </w:r>
      <w:r>
        <w:rPr>
          <w:rFonts w:ascii="Cambria" w:eastAsia="Cambria" w:hAnsi="Cambria" w:cs="Cambria"/>
          <w:b w:val="0"/>
          <w:i w:val="0"/>
          <w:iCs w:val="0"/>
          <w:strike w:val="0"/>
          <w:dstrike w:val="0"/>
          <w:color w:val="000000"/>
          <w:sz w:val="24"/>
          <w:szCs w:val="24"/>
        </w:rPr>
        <w:t xml:space="preserve"> In matters occurring above U.S. territory — including, without limitation, commercial aviation, near-</w:t>
      </w:r>
      <w:r>
        <w:rPr>
          <w:rFonts w:ascii="Cambria" w:eastAsia="Cambria" w:hAnsi="Cambria" w:cs="Cambria"/>
          <w:b w:val="0"/>
          <w:i w:val="0"/>
          <w:iCs w:val="0"/>
          <w:strike w:val="0"/>
          <w:dstrike w:val="0"/>
          <w:color w:val="000000"/>
          <w:sz w:val="24"/>
          <w:szCs w:val="24"/>
        </w:rPr>
        <w:t xml:space="preserve">earth orbital operations, and satellite-</w:t>
      </w:r>
      <w:r>
        <w:rPr>
          <w:rFonts w:ascii="Cambria" w:eastAsia="Cambria" w:hAnsi="Cambria" w:cs="Cambria"/>
          <w:b w:val="0"/>
          <w:i w:val="0"/>
          <w:iCs w:val="0"/>
          <w:strike w:val="0"/>
          <w:dstrike w:val="0"/>
          <w:color w:val="000000"/>
          <w:sz w:val="24"/>
          <w:szCs w:val="24"/>
        </w:rPr>
        <w:t xml:space="preserve">mediated activities of U.S. nationals — law enforcement and regulatory bodies of the United States retain cause-</w:t>
      </w:r>
      <w:r>
        <w:rPr>
          <w:rFonts w:ascii="Cambria" w:eastAsia="Cambria" w:hAnsi="Cambria" w:cs="Cambria"/>
          <w:b w:val="0"/>
          <w:i w:val="0"/>
          <w:iCs w:val="0"/>
          <w:strike w:val="0"/>
          <w:dstrike w:val="0"/>
          <w:color w:val="000000"/>
          <w:sz w:val="24"/>
          <w:szCs w:val="24"/>
        </w:rPr>
        <w:t xml:space="preserve">based warrant authority fully consistent with the Fourth Amendment to the Constitution. The Fourth Amendment's protection against unreasonable searches and seizures is a right that follows the citizen; it is not a geographic privilege that terminates at any particular altitude.</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3.5</w:t>
      </w:r>
      <w:r>
        <w:rPr>
          <w:rFonts w:ascii="Cambria" w:eastAsia="Cambria" w:hAnsi="Cambria" w:cs="Cambria"/>
          <w:b w:val="0"/>
          <w:i w:val="0"/>
          <w:iCs w:val="0"/>
          <w:strike w:val="0"/>
          <w:dstrike w:val="0"/>
          <w:color w:val="000000"/>
          <w:sz w:val="24"/>
          <w:szCs w:val="24"/>
        </w:rPr>
        <w:t xml:space="preserve"> For purposes of this Document, a "cause-</w:t>
      </w:r>
      <w:r>
        <w:rPr>
          <w:rFonts w:ascii="Cambria" w:eastAsia="Cambria" w:hAnsi="Cambria" w:cs="Cambria"/>
          <w:b w:val="0"/>
          <w:i w:val="0"/>
          <w:iCs w:val="0"/>
          <w:strike w:val="0"/>
          <w:dstrike w:val="0"/>
          <w:color w:val="000000"/>
          <w:sz w:val="24"/>
          <w:szCs w:val="24"/>
        </w:rPr>
        <w:t xml:space="preserve">based warrant" is defined as a warrant issued by a competent judicial authority upon a showing of probable cause specific to the domain of activity in question — whether that domain is aerial, near-</w:t>
      </w:r>
      <w:r>
        <w:rPr>
          <w:rFonts w:ascii="Cambria" w:eastAsia="Cambria" w:hAnsi="Cambria" w:cs="Cambria"/>
          <w:b w:val="0"/>
          <w:i w:val="0"/>
          <w:iCs w:val="0"/>
          <w:strike w:val="0"/>
          <w:dstrike w:val="0"/>
          <w:color w:val="000000"/>
          <w:sz w:val="24"/>
          <w:szCs w:val="24"/>
        </w:rPr>
        <w:t xml:space="preserve">spatial, orbital, or otherwise above the terrestrial surface — and grounded in the same constitutional protections applicable to activities conducted at ground level. The standard of probable cause does not diminish with altitude; nor do the procedural safeguards of judicial authorization. Regulatory bodies asserting jurisdiction above national territory must therefore satisfy cause-</w:t>
      </w:r>
      <w:r>
        <w:rPr>
          <w:rFonts w:ascii="Cambria" w:eastAsia="Cambria" w:hAnsi="Cambria" w:cs="Cambria"/>
          <w:b w:val="0"/>
          <w:i w:val="0"/>
          <w:iCs w:val="0"/>
          <w:strike w:val="0"/>
          <w:dstrike w:val="0"/>
          <w:color w:val="000000"/>
          <w:sz w:val="24"/>
          <w:szCs w:val="24"/>
        </w:rPr>
        <w:t xml:space="preserve">based warrant requirements that are fully coextensive with those applicable on the surface.</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3.6</w:t>
      </w:r>
      <w:r>
        <w:rPr>
          <w:rFonts w:ascii="Cambria" w:eastAsia="Cambria" w:hAnsi="Cambria" w:cs="Cambria"/>
          <w:b w:val="0"/>
          <w:i w:val="0"/>
          <w:iCs w:val="0"/>
          <w:strike w:val="0"/>
          <w:dstrike w:val="0"/>
          <w:color w:val="000000"/>
          <w:sz w:val="24"/>
          <w:szCs w:val="24"/>
        </w:rPr>
        <w:t xml:space="preserve"> The constitutional principle that rights follow the citizen is well established in Fourth Amendment doctrine. This principle ensures that no regulatory or enforcement gap is created in the space between the ground and the upper atmosphere — a gap that, if permitted to exist, would leave the average U.S. national without meaningful constitutional protection in domains increasingly central to everyday life.</w:t>
      </w:r>
    </w:p>
    <w:p>
      <w:pPr>
        <w:pBdr/>
        <w:pStyle w:val="Normal"/>
        <w:spacing w:after="80" w:line="384" w:lineRule="auto"/>
        <w:ind/>
        <w:jc w:val="both"/>
        <w:rPr/>
      </w:pPr>
      <w:r>
        <w:rPr>
          <w:rFonts w:ascii="Cambria" w:eastAsia="Cambria" w:hAnsi="Cambria" w:cs="Cambria"/>
          <w:b/>
          <w:bCs/>
          <w:i/>
          <w:iCs/>
          <w:strike w:val="0"/>
          <w:dstrike w:val="0"/>
          <w:color w:val="000000"/>
          <w:sz w:val="24"/>
          <w:szCs w:val="24"/>
        </w:rPr>
        <w:t xml:space="preserve">Argument C — Inseparability of Married Citizens</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3.7</w:t>
      </w:r>
      <w:r>
        <w:rPr>
          <w:rFonts w:ascii="Cambria" w:eastAsia="Cambria" w:hAnsi="Cambria" w:cs="Cambria"/>
          <w:b w:val="0"/>
          <w:i w:val="0"/>
          <w:iCs w:val="0"/>
          <w:strike w:val="0"/>
          <w:dstrike w:val="0"/>
          <w:color w:val="000000"/>
          <w:sz w:val="24"/>
          <w:szCs w:val="24"/>
        </w:rPr>
        <w:t xml:space="preserve"> Drawing upon the hypothetical holding in </w:t>
      </w:r>
      <w:r>
        <w:rPr>
          <w:rFonts w:ascii="Cambria" w:eastAsia="Cambria" w:hAnsi="Cambria" w:cs="Cambria"/>
          <w:b w:val="0"/>
          <w:i/>
          <w:iCs/>
          <w:strike w:val="0"/>
          <w:dstrike w:val="0"/>
          <w:color w:val="000000"/>
          <w:sz w:val="24"/>
          <w:szCs w:val="24"/>
        </w:rPr>
        <w:t xml:space="preserve">Stone vs. Stone</w:t>
      </w:r>
      <w:r>
        <w:rPr>
          <w:rFonts w:ascii="Cambria" w:eastAsia="Cambria" w:hAnsi="Cambria" w:cs="Cambria"/>
          <w:b w:val="0"/>
          <w:i w:val="0"/>
          <w:iCs w:val="0"/>
          <w:strike w:val="0"/>
          <w:dstrike w:val="0"/>
          <w:color w:val="000000"/>
          <w:sz w:val="24"/>
          <w:szCs w:val="24"/>
        </w:rPr>
        <w:t xml:space="preserve"> (Hillsborough County, NC, 1981), this Document argues that legally married U.S. citizens are subject to what is termed herein the "inseparability doctrine." Under this doctrine, the rights, privileges, and custodial protections afforded by federal law to one spouse attach also to the other, without regard to the physical location — above or below the national territory — of either party. Where one citizen's rights are asserted, the rights of that citizen's legally married partner are co-</w:t>
      </w:r>
      <w:r>
        <w:rPr>
          <w:rFonts w:ascii="Cambria" w:eastAsia="Cambria" w:hAnsi="Cambria" w:cs="Cambria"/>
          <w:b w:val="0"/>
          <w:i w:val="0"/>
          <w:iCs w:val="0"/>
          <w:strike w:val="0"/>
          <w:dstrike w:val="0"/>
          <w:color w:val="000000"/>
          <w:sz w:val="24"/>
          <w:szCs w:val="24"/>
        </w:rPr>
        <w:t xml:space="preserve">asserted by operation of law.</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3.8</w:t>
      </w:r>
      <w:r>
        <w:rPr>
          <w:rFonts w:ascii="Cambria" w:eastAsia="Cambria" w:hAnsi="Cambria" w:cs="Cambria"/>
          <w:b w:val="0"/>
          <w:i w:val="0"/>
          <w:iCs w:val="0"/>
          <w:strike w:val="0"/>
          <w:dstrike w:val="0"/>
          <w:color w:val="000000"/>
          <w:sz w:val="24"/>
          <w:szCs w:val="24"/>
        </w:rPr>
        <w:t xml:space="preserve"> The inseparability doctrine reinforces a principle of unified custodial jurisdiction: the government's custodial interest in a marital unit is legally indivisible. The federal government cannot assert custodial jurisdiction over one spouse while simultaneously declining to assert it over </w:t>
      </w:r>
      <w:r>
        <w:rPr>
          <w:rFonts w:ascii="Cambria" w:eastAsia="Cambria" w:hAnsi="Cambria" w:cs="Cambria"/>
          <w:b w:val="0"/>
          <w:i w:val="0"/>
          <w:iCs w:val="0"/>
          <w:strike w:val="0"/>
          <w:dstrike w:val="0"/>
          <w:color w:val="000000"/>
          <w:sz w:val="24"/>
          <w:szCs w:val="24"/>
        </w:rPr>
        <w:t xml:space="preserve">the other. The marital relationship, formally recognized under applicable state and federal law, constitutes a juridical bond sufficient to anchor both parties within the scope of above-</w:t>
      </w:r>
      <w:r>
        <w:rPr>
          <w:rFonts w:ascii="Cambria" w:eastAsia="Cambria" w:hAnsi="Cambria" w:cs="Cambria"/>
          <w:b w:val="0"/>
          <w:i w:val="0"/>
          <w:iCs w:val="0"/>
          <w:strike w:val="0"/>
          <w:dstrike w:val="0"/>
          <w:color w:val="000000"/>
          <w:sz w:val="24"/>
          <w:szCs w:val="24"/>
        </w:rPr>
        <w:t xml:space="preserve">territory custodial protection. This principle flows logically from the reasoning in </w:t>
      </w:r>
      <w:r>
        <w:rPr>
          <w:rFonts w:ascii="Cambria" w:eastAsia="Cambria" w:hAnsi="Cambria" w:cs="Cambria"/>
          <w:b w:val="0"/>
          <w:i/>
          <w:iCs/>
          <w:strike w:val="0"/>
          <w:dstrike w:val="0"/>
          <w:color w:val="000000"/>
          <w:sz w:val="24"/>
          <w:szCs w:val="24"/>
        </w:rPr>
        <w:t xml:space="preserve">Stone vs. Stone</w:t>
      </w:r>
      <w:r>
        <w:rPr>
          <w:rFonts w:ascii="Cambria" w:eastAsia="Cambria" w:hAnsi="Cambria" w:cs="Cambria"/>
          <w:b w:val="0"/>
          <w:i w:val="0"/>
          <w:iCs w:val="0"/>
          <w:strike w:val="0"/>
          <w:dstrike w:val="0"/>
          <w:color w:val="000000"/>
          <w:sz w:val="24"/>
          <w:szCs w:val="24"/>
        </w:rPr>
        <w:t xml:space="preserve"> — that recognized custodial bonds endure beyond geographic displacement — and applies with equal force when displacement is vertical rather than horizontal.</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3.9</w:t>
      </w:r>
      <w:r>
        <w:rPr>
          <w:rFonts w:ascii="Cambria" w:eastAsia="Cambria" w:hAnsi="Cambria" w:cs="Cambria"/>
          <w:b w:val="0"/>
          <w:i w:val="0"/>
          <w:iCs w:val="0"/>
          <w:strike w:val="0"/>
          <w:dstrike w:val="0"/>
          <w:color w:val="000000"/>
          <w:sz w:val="24"/>
          <w:szCs w:val="24"/>
        </w:rPr>
        <w:t xml:space="preserve"> The inseparability doctrine as advanced herein is not a claim of unlimited joint liability. Rather, it is a doctrine of co-</w:t>
      </w:r>
      <w:r>
        <w:rPr>
          <w:rFonts w:ascii="Cambria" w:eastAsia="Cambria" w:hAnsi="Cambria" w:cs="Cambria"/>
          <w:b w:val="0"/>
          <w:i w:val="0"/>
          <w:iCs w:val="0"/>
          <w:strike w:val="0"/>
          <w:dstrike w:val="0"/>
          <w:color w:val="000000"/>
          <w:sz w:val="24"/>
          <w:szCs w:val="24"/>
        </w:rPr>
        <w:t xml:space="preserve">extensive protection: where the federal government undertakes to protect the rights of one member of a legally recognized marital unit, it simultaneously undertakes, as a matter of legal consistency and custodial integrity, to protect the rights of the other.</w:t>
      </w:r>
    </w:p>
    <w:p>
      <w:pPr>
        <w:pBdr/>
        <w:pStyle w:val="Normal"/>
        <w:spacing w:after="80" w:line="384" w:lineRule="auto"/>
        <w:ind/>
        <w:jc w:val="both"/>
        <w:rPr/>
      </w:pPr>
      <w:r>
        <w:rPr>
          <w:rFonts w:ascii="Cambria" w:eastAsia="Cambria" w:hAnsi="Cambria" w:cs="Cambria"/>
          <w:b/>
          <w:bCs/>
          <w:i/>
          <w:iCs/>
          <w:strike w:val="0"/>
          <w:dstrike w:val="0"/>
          <w:color w:val="000000"/>
          <w:sz w:val="24"/>
          <w:szCs w:val="24"/>
        </w:rPr>
        <w:t xml:space="preserve">Argument D — Average National Needs Standard</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3.10</w:t>
      </w:r>
      <w:r>
        <w:rPr>
          <w:rFonts w:ascii="Cambria" w:eastAsia="Cambria" w:hAnsi="Cambria" w:cs="Cambria"/>
          <w:b w:val="0"/>
          <w:i w:val="0"/>
          <w:iCs w:val="0"/>
          <w:strike w:val="0"/>
          <w:dstrike w:val="0"/>
          <w:color w:val="000000"/>
          <w:sz w:val="24"/>
          <w:szCs w:val="24"/>
        </w:rPr>
        <w:t xml:space="preserve"> This Document articulates a standard — the "Average National Needs" (ANN) standard — under which the scope and exercise of federal custodial authority above territory is measured not by extraordinary circumstances or purely military imperatives, but by the ordinary, everyday needs of the average U.S. national. The ANN standard encompasses communications, commercial air travel, digital commerce conducted via satellite or aerial infrastructure, personal safety, and the enjoyment of legal protections in domains that the average citizen regularly inhabits or utilizes.</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3.11</w:t>
      </w:r>
      <w:r>
        <w:rPr>
          <w:rFonts w:ascii="Cambria" w:eastAsia="Cambria" w:hAnsi="Cambria" w:cs="Cambria"/>
          <w:b w:val="0"/>
          <w:i w:val="0"/>
          <w:iCs w:val="0"/>
          <w:strike w:val="0"/>
          <w:dstrike w:val="0"/>
          <w:color w:val="000000"/>
          <w:sz w:val="24"/>
          <w:szCs w:val="24"/>
        </w:rPr>
        <w:t xml:space="preserve"> The ANN standard serves a foundational democratic function: it grounds above-</w:t>
      </w:r>
      <w:r>
        <w:rPr>
          <w:rFonts w:ascii="Cambria" w:eastAsia="Cambria" w:hAnsi="Cambria" w:cs="Cambria"/>
          <w:b w:val="0"/>
          <w:i w:val="0"/>
          <w:iCs w:val="0"/>
          <w:strike w:val="0"/>
          <w:dstrike w:val="0"/>
          <w:color w:val="000000"/>
          <w:sz w:val="24"/>
          <w:szCs w:val="24"/>
        </w:rPr>
        <w:t xml:space="preserve">territory jurisdictional claims in the lived experience of ordinary citizens rather than in the abstract calculus of national security doctrine alone. A legal framework that extends federal custodial authority above territory only in extraordinary or military circumstances would leave the average national — the commercial airline passenger, the satellite communications user, the near-</w:t>
      </w:r>
      <w:r>
        <w:rPr>
          <w:rFonts w:ascii="Cambria" w:eastAsia="Cambria" w:hAnsi="Cambria" w:cs="Cambria"/>
          <w:b w:val="0"/>
          <w:i w:val="0"/>
          <w:iCs w:val="0"/>
          <w:strike w:val="0"/>
          <w:dstrike w:val="0"/>
          <w:color w:val="000000"/>
          <w:sz w:val="24"/>
          <w:szCs w:val="24"/>
        </w:rPr>
        <w:t xml:space="preserve">space tourism participant — without the full panoply of constitutional protections to which they are entitled. The ANN standard corrects this deficit by establishing the average citizen as the normative baseline for jurisdictional analysis.</w:t>
      </w:r>
    </w:p>
    <w:p>
      <w:pPr>
        <w:pBdr>
          <w:bottom w:val="single" w:color="CCCCCC" w:sz="6" w:space="0"/>
        </w:pBdr>
        <w:pStyle w:val="Normal"/>
        <w:spacing w:before="240" w:after="240"/>
        <w:ind/>
        <w:rPr/>
      </w:pPr>
    </w:p>
    <w:p>
      <w:pPr>
        <w:pBdr/>
        <w:pStyle w:val="Normal"/>
        <w:spacing w:after="360" w:line="384" w:lineRule="auto"/>
        <w:ind/>
        <w:jc w:val="right"/>
        <w:rPr/>
      </w:pPr>
      <w:r>
        <w:rPr>
          <w:rFonts w:ascii="Cambria" w:eastAsia="Cambria" w:hAnsi="Cambria" w:cs="Cambria"/>
          <w:b w:val="0"/>
          <w:i w:val="0"/>
          <w:iCs w:val="0"/>
          <w:strike w:val="0"/>
          <w:dstrike w:val="0"/>
          <w:color w:val="444444"/>
          <w:sz w:val="16"/>
          <w:spacing w:val="10"/>
          <w:szCs w:val="16"/>
        </w:rPr>
        <w:t xml:space="preserve">NJRA-2026-001  |  CONFIDENTIAL DRAFT  |  Page 4 of 5</w:t>
      </w:r>
    </w:p>
    <w:p>
      <w:pPr>
        <w:pBdr>
          <w:bottom w:val="single" w:color="000000" w:sz="6" w:space="0"/>
        </w:pBdr>
        <w:pStyle w:val="Normal"/>
        <w:spacing w:before="240" w:after="240"/>
        <w:ind/>
        <w:rPr/>
      </w:pPr>
    </w:p>
    <w:p>
      <w:pPr>
        <w:pBdr/>
        <w:pStyle w:val="Heading 2"/>
        <w:spacing w:before="400" w:after="100" w:line="312" w:lineRule="auto"/>
        <w:ind/>
        <w:rPr/>
      </w:pPr>
      <w:r>
        <w:rPr>
          <w:rFonts w:ascii="Cambria" w:eastAsia="Cambria" w:hAnsi="Cambria" w:cs="Cambria"/>
          <w:color w:val="000000"/>
          <w:sz w:val="26"/>
          <w:spacing w:val="10"/>
          <w:szCs w:val="26"/>
        </w:rPr>
        <w:t xml:space="preserve">IV. TASKING DIRECTIVES</w:t>
      </w:r>
    </w:p>
    <w:p>
      <w:pPr>
        <w:pBdr>
          <w:top w:val="single" w:color="000000" w:sz="6" w:space="0"/>
        </w:pBdr>
        <w:pStyle w:val="Normal"/>
        <w:spacing w:before="0" w:after="200"/>
        <w:ind/>
        <w:rPr/>
      </w:pP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4.1</w:t>
      </w:r>
      <w:r>
        <w:rPr>
          <w:rFonts w:ascii="Cambria" w:eastAsia="Cambria" w:hAnsi="Cambria" w:cs="Cambria"/>
          <w:b w:val="0"/>
          <w:i w:val="0"/>
          <w:iCs w:val="0"/>
          <w:strike w:val="0"/>
          <w:dstrike w:val="0"/>
          <w:color w:val="000000"/>
          <w:sz w:val="24"/>
          <w:szCs w:val="24"/>
        </w:rPr>
        <w:t xml:space="preserve"> Pursuant to the legal arguments set forth in Section III, and grounded in the foundational authorities identified in Sections I and II, this Document hereby issues the following formal tasking directives to the relevant agencies, departments, and legislative bodies of the United States Government. These directives are to be treated as priority action items for regulatory development, legislative drafting, and judicial consideration.</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D–1.</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bCs/>
          <w:i w:val="0"/>
          <w:iCs w:val="0"/>
          <w:strike w:val="0"/>
          <w:dstrike w:val="0"/>
          <w:color w:val="000000"/>
          <w:sz w:val="24"/>
          <w:szCs w:val="24"/>
        </w:rPr>
        <w:t xml:space="preserve">Regulatory Framework Development — Custodial Jurisdiction Above Territory.</w:t>
      </w:r>
      <w:r>
        <w:rPr>
          <w:rFonts w:ascii="Cambria" w:eastAsia="Cambria" w:hAnsi="Cambria" w:cs="Cambria"/>
          <w:b w:val="0"/>
          <w:i w:val="0"/>
          <w:iCs w:val="0"/>
          <w:strike w:val="0"/>
          <w:dstrike w:val="0"/>
          <w:color w:val="000000"/>
          <w:sz w:val="24"/>
          <w:szCs w:val="24"/>
        </w:rPr>
        <w:t xml:space="preserve"> The Department of Justice, in coordination with the Federal Aviation Administration, the Federal Communications Commission, the Department of Transportation, and all other relevant federal agencies, is directed to develop, publish for public comment, and finalize a comprehensive regulatory framework formally acknowledging the existence and exercise of United States custodial jurisdiction above its sovereign territory. Such framework shall be consistent with the Average National Needs (ANN) standard articulated in Section 3.10 through 3.11 herein, and shall address, at minimum: (a) the vertical extent of custodial jurisdiction; (b) the procedural mechanisms by which custodial protections are invoked by or on behalf of U.S. nationals operating above the territorial surface; and (c) coordination protocols with international treaty obligations, including the Outer Space Treaty of 1967.</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D–2.</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bCs/>
          <w:i w:val="0"/>
          <w:iCs w:val="0"/>
          <w:strike w:val="0"/>
          <w:dstrike w:val="0"/>
          <w:color w:val="000000"/>
          <w:sz w:val="24"/>
          <w:szCs w:val="24"/>
        </w:rPr>
        <w:t xml:space="preserve">Codification of Cause-</w:t>
      </w:r>
      <w:r>
        <w:rPr>
          <w:rFonts w:ascii="Cambria" w:eastAsia="Cambria" w:hAnsi="Cambria" w:cs="Cambria"/>
          <w:b/>
          <w:bCs/>
          <w:i w:val="0"/>
          <w:iCs w:val="0"/>
          <w:strike w:val="0"/>
          <w:dstrike w:val="0"/>
          <w:color w:val="000000"/>
          <w:sz w:val="24"/>
          <w:szCs w:val="24"/>
        </w:rPr>
        <w:t xml:space="preserve">Based Warrant Procedures for Above-</w:t>
      </w:r>
      <w:r>
        <w:rPr>
          <w:rFonts w:ascii="Cambria" w:eastAsia="Cambria" w:hAnsi="Cambria" w:cs="Cambria"/>
          <w:b/>
          <w:bCs/>
          <w:i w:val="0"/>
          <w:iCs w:val="0"/>
          <w:strike w:val="0"/>
          <w:dstrike w:val="0"/>
          <w:color w:val="000000"/>
          <w:sz w:val="24"/>
          <w:szCs w:val="24"/>
        </w:rPr>
        <w:t xml:space="preserve">Territory Operations.</w:t>
      </w:r>
      <w:r>
        <w:rPr>
          <w:rFonts w:ascii="Cambria" w:eastAsia="Cambria" w:hAnsi="Cambria" w:cs="Cambria"/>
          <w:b w:val="0"/>
          <w:i w:val="0"/>
          <w:iCs w:val="0"/>
          <w:strike w:val="0"/>
          <w:dstrike w:val="0"/>
          <w:color w:val="000000"/>
          <w:sz w:val="24"/>
          <w:szCs w:val="24"/>
        </w:rPr>
        <w:t xml:space="preserve"> The Department of Justice, with the cooperation of the federal judiciary and law enforcement agencies, is directed to propose and advance the codification of cause-</w:t>
      </w:r>
      <w:r>
        <w:rPr>
          <w:rFonts w:ascii="Cambria" w:eastAsia="Cambria" w:hAnsi="Cambria" w:cs="Cambria"/>
          <w:b w:val="0"/>
          <w:i w:val="0"/>
          <w:iCs w:val="0"/>
          <w:strike w:val="0"/>
          <w:dstrike w:val="0"/>
          <w:color w:val="000000"/>
          <w:sz w:val="24"/>
          <w:szCs w:val="24"/>
        </w:rPr>
        <w:t xml:space="preserve">based warrant procedures specifically applicable to operations above the surface territory of the United States. Such procedures shall ensure that the Fourth Amendment's protections — including the requirement of probable cause and judicial authorization — apply with full constitutional force in aerial and near-</w:t>
      </w:r>
      <w:r>
        <w:rPr>
          <w:rFonts w:ascii="Cambria" w:eastAsia="Cambria" w:hAnsi="Cambria" w:cs="Cambria"/>
          <w:b w:val="0"/>
          <w:i w:val="0"/>
          <w:iCs w:val="0"/>
          <w:strike w:val="0"/>
          <w:dstrike w:val="0"/>
          <w:color w:val="000000"/>
          <w:sz w:val="24"/>
          <w:szCs w:val="24"/>
        </w:rPr>
        <w:t xml:space="preserve">space domains where U.S. nationals operate. The codified procedures shall define the competent judicial authority, probable cause standard, and procedural safeguards applicable in each relevant domain, and shall expressly prohibit suspicionless or blanket surveillance of U.S. nationals in above-</w:t>
      </w:r>
      <w:r>
        <w:rPr>
          <w:rFonts w:ascii="Cambria" w:eastAsia="Cambria" w:hAnsi="Cambria" w:cs="Cambria"/>
          <w:b w:val="0"/>
          <w:i w:val="0"/>
          <w:iCs w:val="0"/>
          <w:strike w:val="0"/>
          <w:dstrike w:val="0"/>
          <w:color w:val="000000"/>
          <w:sz w:val="24"/>
          <w:szCs w:val="24"/>
        </w:rPr>
        <w:t xml:space="preserve">territory domains absent satisfaction of the cause-</w:t>
      </w:r>
      <w:r>
        <w:rPr>
          <w:rFonts w:ascii="Cambria" w:eastAsia="Cambria" w:hAnsi="Cambria" w:cs="Cambria"/>
          <w:b w:val="0"/>
          <w:i w:val="0"/>
          <w:iCs w:val="0"/>
          <w:strike w:val="0"/>
          <w:dstrike w:val="0"/>
          <w:color w:val="000000"/>
          <w:sz w:val="24"/>
          <w:szCs w:val="24"/>
        </w:rPr>
        <w:t xml:space="preserve">based warrant standard.</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D–3.</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bCs/>
          <w:i w:val="0"/>
          <w:iCs w:val="0"/>
          <w:strike w:val="0"/>
          <w:dstrike w:val="0"/>
          <w:color w:val="000000"/>
          <w:sz w:val="24"/>
          <w:szCs w:val="24"/>
        </w:rPr>
        <w:t xml:space="preserve">Formal Recognition of the Inseparability Doctrine for Married U.S. Citizens.</w:t>
      </w:r>
      <w:r>
        <w:rPr>
          <w:rFonts w:ascii="Cambria" w:eastAsia="Cambria" w:hAnsi="Cambria" w:cs="Cambria"/>
          <w:b w:val="0"/>
          <w:i w:val="0"/>
          <w:iCs w:val="0"/>
          <w:strike w:val="0"/>
          <w:dstrike w:val="0"/>
          <w:color w:val="000000"/>
          <w:sz w:val="24"/>
          <w:szCs w:val="24"/>
        </w:rPr>
        <w:t xml:space="preserve"> The Department of Justice and the Office of the Solicitor General are directed to develop and publish formal federal regulatory guidance recognizing the inseparability doctrine as applicable to legally married U.S. citizens, consistent with the reasoning of </w:t>
      </w:r>
      <w:r>
        <w:rPr>
          <w:rFonts w:ascii="Cambria" w:eastAsia="Cambria" w:hAnsi="Cambria" w:cs="Cambria"/>
          <w:b w:val="0"/>
          <w:i/>
          <w:iCs/>
          <w:strike w:val="0"/>
          <w:dstrike w:val="0"/>
          <w:color w:val="000000"/>
          <w:sz w:val="24"/>
          <w:szCs w:val="24"/>
        </w:rPr>
        <w:t xml:space="preserve">Stone vs. Stone</w:t>
      </w:r>
      <w:r>
        <w:rPr>
          <w:rFonts w:ascii="Cambria" w:eastAsia="Cambria" w:hAnsi="Cambria" w:cs="Cambria"/>
          <w:b w:val="0"/>
          <w:i w:val="0"/>
          <w:iCs w:val="0"/>
          <w:strike w:val="0"/>
          <w:dstrike w:val="0"/>
          <w:color w:val="000000"/>
          <w:sz w:val="24"/>
          <w:szCs w:val="24"/>
        </w:rPr>
        <w:t xml:space="preserve"> (Hillsborough County, NC, 1981) as described herein. Such guidance shall make clear that custodial and protective rights under the proposed above-</w:t>
      </w:r>
      <w:r>
        <w:rPr>
          <w:rFonts w:ascii="Cambria" w:eastAsia="Cambria" w:hAnsi="Cambria" w:cs="Cambria"/>
          <w:b w:val="0"/>
          <w:i w:val="0"/>
          <w:iCs w:val="0"/>
          <w:strike w:val="0"/>
          <w:dstrike w:val="0"/>
          <w:color w:val="000000"/>
          <w:sz w:val="24"/>
          <w:szCs w:val="24"/>
        </w:rPr>
        <w:t xml:space="preserve">territory framework attach jointly to legally married couples as a unified national unit, such that the federal government's custodial obligations are discharged with respect to both spouses whenever they are discharged with respect to either. The guidance shall specify that the inseparability doctrine applies only to marriages formally recognized under applicable state and federal law.</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D–4.</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bCs/>
          <w:i w:val="0"/>
          <w:iCs w:val="0"/>
          <w:strike w:val="0"/>
          <w:dstrike w:val="0"/>
          <w:color w:val="000000"/>
          <w:sz w:val="24"/>
          <w:szCs w:val="24"/>
        </w:rPr>
        <w:t xml:space="preserve">Legislative Action — National Custodial Authority Above Territory Act.</w:t>
      </w:r>
      <w:r>
        <w:rPr>
          <w:rFonts w:ascii="Cambria" w:eastAsia="Cambria" w:hAnsi="Cambria" w:cs="Cambria"/>
          <w:b w:val="0"/>
          <w:i w:val="0"/>
          <w:iCs w:val="0"/>
          <w:strike w:val="0"/>
          <w:dstrike w:val="0"/>
          <w:color w:val="000000"/>
          <w:sz w:val="24"/>
          <w:szCs w:val="24"/>
        </w:rPr>
        <w:t xml:space="preserve"> The Office of Legislative Affairs is directed to recommend to Congress the drafting, introduction, and advancement of legislation to be designated the "National Custodial Authority Above Territory Act" (hypothetical). Such legislation shall codify into statutory law the principal legal arguments set forth in Section III of this Document, including: (a) the </w:t>
      </w:r>
      <w:r>
        <w:rPr>
          <w:rFonts w:ascii="Cambria" w:eastAsia="Cambria" w:hAnsi="Cambria" w:cs="Cambria"/>
          <w:b w:val="0"/>
          <w:i/>
          <w:iCs/>
          <w:strike w:val="0"/>
          <w:dstrike w:val="0"/>
          <w:color w:val="000000"/>
          <w:sz w:val="24"/>
          <w:szCs w:val="24"/>
        </w:rPr>
        <w:t xml:space="preserve">parens patriae</w:t>
      </w:r>
      <w:r>
        <w:rPr>
          <w:rFonts w:ascii="Cambria" w:eastAsia="Cambria" w:hAnsi="Cambria" w:cs="Cambria"/>
          <w:b w:val="0"/>
          <w:i w:val="0"/>
          <w:iCs w:val="0"/>
          <w:strike w:val="0"/>
          <w:dstrike w:val="0"/>
          <w:color w:val="000000"/>
          <w:sz w:val="24"/>
          <w:szCs w:val="24"/>
        </w:rPr>
        <w:t xml:space="preserve"> extension of custodial rights into above-</w:t>
      </w:r>
      <w:r>
        <w:rPr>
          <w:rFonts w:ascii="Cambria" w:eastAsia="Cambria" w:hAnsi="Cambria" w:cs="Cambria"/>
          <w:b w:val="0"/>
          <w:i w:val="0"/>
          <w:iCs w:val="0"/>
          <w:strike w:val="0"/>
          <w:dstrike w:val="0"/>
          <w:color w:val="000000"/>
          <w:sz w:val="24"/>
          <w:szCs w:val="24"/>
        </w:rPr>
        <w:t xml:space="preserve">territory domains; (b) the cause-</w:t>
      </w:r>
      <w:r>
        <w:rPr>
          <w:rFonts w:ascii="Cambria" w:eastAsia="Cambria" w:hAnsi="Cambria" w:cs="Cambria"/>
          <w:b w:val="0"/>
          <w:i w:val="0"/>
          <w:iCs w:val="0"/>
          <w:strike w:val="0"/>
          <w:dstrike w:val="0"/>
          <w:color w:val="000000"/>
          <w:sz w:val="24"/>
          <w:szCs w:val="24"/>
        </w:rPr>
        <w:t xml:space="preserve">based warrant standard for above-</w:t>
      </w:r>
      <w:r>
        <w:rPr>
          <w:rFonts w:ascii="Cambria" w:eastAsia="Cambria" w:hAnsi="Cambria" w:cs="Cambria"/>
          <w:b w:val="0"/>
          <w:i w:val="0"/>
          <w:iCs w:val="0"/>
          <w:strike w:val="0"/>
          <w:dstrike w:val="0"/>
          <w:color w:val="000000"/>
          <w:sz w:val="24"/>
          <w:szCs w:val="24"/>
        </w:rPr>
        <w:t xml:space="preserve">territory law enforcement and regulatory activity; (c) the inseparability doctrine as applicable to legally married citizens; and (d) the ANN standard as the normative baseline for jurisdictional analysis. The Act shall draw upon the precedential reasoning articulated in connection with </w:t>
      </w:r>
      <w:r>
        <w:rPr>
          <w:rFonts w:ascii="Cambria" w:eastAsia="Cambria" w:hAnsi="Cambria" w:cs="Cambria"/>
          <w:b w:val="0"/>
          <w:i/>
          <w:iCs/>
          <w:strike w:val="0"/>
          <w:dstrike w:val="0"/>
          <w:color w:val="000000"/>
          <w:sz w:val="24"/>
          <w:szCs w:val="24"/>
        </w:rPr>
        <w:t xml:space="preserve">Johnson vs. Smith</w:t>
      </w:r>
      <w:r>
        <w:rPr>
          <w:rFonts w:ascii="Cambria" w:eastAsia="Cambria" w:hAnsi="Cambria" w:cs="Cambria"/>
          <w:b w:val="0"/>
          <w:i w:val="0"/>
          <w:iCs w:val="0"/>
          <w:strike w:val="0"/>
          <w:dstrike w:val="0"/>
          <w:color w:val="000000"/>
          <w:sz w:val="24"/>
          <w:szCs w:val="24"/>
        </w:rPr>
        <w:t xml:space="preserve"> (19811) and </w:t>
      </w:r>
      <w:r>
        <w:rPr>
          <w:rFonts w:ascii="Cambria" w:eastAsia="Cambria" w:hAnsi="Cambria" w:cs="Cambria"/>
          <w:b w:val="0"/>
          <w:i/>
          <w:iCs/>
          <w:strike w:val="0"/>
          <w:dstrike w:val="0"/>
          <w:color w:val="000000"/>
          <w:sz w:val="24"/>
          <w:szCs w:val="24"/>
        </w:rPr>
        <w:t xml:space="preserve">Stone vs. Stone</w:t>
      </w:r>
      <w:r>
        <w:rPr>
          <w:rFonts w:ascii="Cambria" w:eastAsia="Cambria" w:hAnsi="Cambria" w:cs="Cambria"/>
          <w:b w:val="0"/>
          <w:i w:val="0"/>
          <w:iCs w:val="0"/>
          <w:strike w:val="0"/>
          <w:dstrike w:val="0"/>
          <w:color w:val="000000"/>
          <w:sz w:val="24"/>
          <w:szCs w:val="24"/>
        </w:rPr>
        <w:t xml:space="preserve"> (1981), as presented in this Document.</w:t>
      </w:r>
    </w:p>
    <w:p>
      <w:pPr>
        <w:pBdr/>
        <w:pStyle w:val="Heading 2"/>
        <w:spacing w:before="400" w:after="100" w:line="312" w:lineRule="auto"/>
        <w:ind/>
        <w:rPr/>
      </w:pPr>
      <w:r>
        <w:rPr>
          <w:rFonts w:ascii="Cambria" w:eastAsia="Cambria" w:hAnsi="Cambria" w:cs="Cambria"/>
          <w:color w:val="000000"/>
          <w:sz w:val="26"/>
          <w:spacing w:val="10"/>
          <w:szCs w:val="26"/>
        </w:rPr>
        <w:t xml:space="preserve">V. CONSTRAINTS AND LIMITATIONS</w:t>
      </w:r>
    </w:p>
    <w:p>
      <w:pPr>
        <w:pBdr>
          <w:top w:val="single" w:color="000000" w:sz="6" w:space="0"/>
        </w:pBdr>
        <w:pStyle w:val="Normal"/>
        <w:spacing w:before="0" w:after="200"/>
        <w:ind/>
        <w:rPr/>
      </w:pP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4.2</w:t>
      </w:r>
      <w:r>
        <w:rPr>
          <w:rFonts w:ascii="Cambria" w:eastAsia="Cambria" w:hAnsi="Cambria" w:cs="Cambria"/>
          <w:b w:val="0"/>
          <w:i w:val="0"/>
          <w:iCs w:val="0"/>
          <w:strike w:val="0"/>
          <w:dstrike w:val="0"/>
          <w:color w:val="000000"/>
          <w:sz w:val="24"/>
          <w:szCs w:val="24"/>
        </w:rPr>
        <w:t xml:space="preserve"> The framework proposed in this Document, and the directives issued pursuant thereto, are subject to the following binding constraints and limitations. No agency, department, or instrumentality acting under or in reliance upon this Document may exceed these constraints:</w:t>
      </w:r>
    </w:p>
    <w:p>
      <w:pPr>
        <w:pBdr/>
        <w:pStyle w:val="List Paragraph"/>
        <w:numPr>
          <w:ilvl w:val="0"/>
          <w:numId w:val="2"/>
        </w:numPr>
        <w:spacing w:after="60" w:line="408" w:lineRule="auto"/>
        <w:ind w:left="720" w:hanging="360"/>
        <w:rPr/>
      </w:pPr>
      <w:r>
        <w:rPr>
          <w:rFonts w:ascii="Cambria" w:eastAsia="Cambria" w:hAnsi="Cambria" w:cs="Cambria"/>
          <w:b/>
          <w:bCs/>
          <w:i w:val="0"/>
          <w:iCs w:val="0"/>
          <w:strike w:val="0"/>
          <w:dstrike w:val="0"/>
          <w:color w:val="000000"/>
          <w:sz w:val="24"/>
          <w:szCs w:val="24"/>
        </w:rPr>
        <w:t xml:space="preserve">Cause-Based Warrants Are Mandatory.</w:t>
      </w:r>
      <w:r>
        <w:rPr>
          <w:rFonts w:ascii="Cambria" w:eastAsia="Cambria" w:hAnsi="Cambria" w:cs="Cambria"/>
          <w:b w:val="0"/>
          <w:i w:val="0"/>
          <w:iCs w:val="0"/>
          <w:strike w:val="0"/>
          <w:dstrike w:val="0"/>
          <w:color w:val="000000"/>
          <w:sz w:val="24"/>
          <w:szCs w:val="24"/>
        </w:rPr>
        <w:t xml:space="preserve"> All warrants issued in connection with above-</w:t>
      </w:r>
      <w:r>
        <w:rPr>
          <w:rFonts w:ascii="Cambria" w:eastAsia="Cambria" w:hAnsi="Cambria" w:cs="Cambria"/>
          <w:b w:val="0"/>
          <w:i w:val="0"/>
          <w:iCs w:val="0"/>
          <w:strike w:val="0"/>
          <w:dstrike w:val="0"/>
          <w:color w:val="000000"/>
          <w:sz w:val="24"/>
          <w:szCs w:val="24"/>
        </w:rPr>
        <w:t xml:space="preserve">territory custodial jurisdiction must be cause-based. Blanket, dragnet, suspicionless, or programmatic surveillance of U.S. nationals in above-territory domains is expressly not </w:t>
      </w:r>
      <w:r>
        <w:rPr>
          <w:rFonts w:ascii="Cambria" w:eastAsia="Cambria" w:hAnsi="Cambria" w:cs="Cambria"/>
          <w:b w:val="0"/>
          <w:i w:val="0"/>
          <w:iCs w:val="0"/>
          <w:strike w:val="0"/>
          <w:dstrike w:val="0"/>
          <w:color w:val="000000"/>
          <w:sz w:val="24"/>
          <w:szCs w:val="24"/>
        </w:rPr>
        <w:t xml:space="preserve">authorized by this Document or by the frameworks proposed herein. Any warrant lacking a particularized showing of probable cause specific to the domain and subject of inquiry is null and void for purposes of this framework.</w:t>
      </w:r>
    </w:p>
    <w:p>
      <w:pPr>
        <w:pBdr/>
        <w:pStyle w:val="List Paragraph"/>
        <w:numPr>
          <w:ilvl w:val="0"/>
          <w:numId w:val="2"/>
        </w:numPr>
        <w:spacing w:after="60" w:line="408" w:lineRule="auto"/>
        <w:ind w:left="720" w:hanging="360"/>
        <w:rPr/>
      </w:pPr>
      <w:r>
        <w:rPr>
          <w:rFonts w:ascii="Cambria" w:eastAsia="Cambria" w:hAnsi="Cambria" w:cs="Cambria"/>
          <w:b/>
          <w:bCs/>
          <w:i w:val="0"/>
          <w:iCs w:val="0"/>
          <w:strike w:val="0"/>
          <w:dstrike w:val="0"/>
          <w:color w:val="000000"/>
          <w:sz w:val="24"/>
          <w:szCs w:val="24"/>
        </w:rPr>
        <w:t xml:space="preserve">Inseparability Doctrine — Scope Limited to Legally Recognized Marriages.</w:t>
      </w:r>
      <w:r>
        <w:rPr>
          <w:rFonts w:ascii="Cambria" w:eastAsia="Cambria" w:hAnsi="Cambria" w:cs="Cambria"/>
          <w:b w:val="0"/>
          <w:i w:val="0"/>
          <w:iCs w:val="0"/>
          <w:strike w:val="0"/>
          <w:dstrike w:val="0"/>
          <w:color w:val="000000"/>
          <w:sz w:val="24"/>
          <w:szCs w:val="24"/>
        </w:rPr>
        <w:t xml:space="preserve"> The inseparability doctrine advanced in Argument C and Directive D–3 applies exclusively to marriages that are formally and legally recognized under applicable state and federal law at the time the custodial right or protection is invoked. The doctrine does not extend to informal domestic partnerships, civil unions not equivalent to marriage under applicable law, or other relational arrangements not formally classified as marriage by the governing legal authority.</w:t>
      </w:r>
    </w:p>
    <w:p>
      <w:pPr>
        <w:pBdr/>
        <w:pStyle w:val="List Paragraph"/>
        <w:numPr>
          <w:ilvl w:val="0"/>
          <w:numId w:val="2"/>
        </w:numPr>
        <w:spacing w:after="60" w:line="408" w:lineRule="auto"/>
        <w:ind w:left="720" w:hanging="360"/>
        <w:rPr/>
      </w:pPr>
      <w:r>
        <w:rPr>
          <w:rFonts w:ascii="Cambria" w:eastAsia="Cambria" w:hAnsi="Cambria" w:cs="Cambria"/>
          <w:b/>
          <w:bCs/>
          <w:i w:val="0"/>
          <w:iCs w:val="0"/>
          <w:strike w:val="0"/>
          <w:dstrike w:val="0"/>
          <w:color w:val="000000"/>
          <w:sz w:val="24"/>
          <w:szCs w:val="24"/>
        </w:rPr>
        <w:t xml:space="preserve">ANN Standard as a Floor.</w:t>
      </w:r>
      <w:r>
        <w:rPr>
          <w:rFonts w:ascii="Cambria" w:eastAsia="Cambria" w:hAnsi="Cambria" w:cs="Cambria"/>
          <w:b w:val="0"/>
          <w:i w:val="0"/>
          <w:iCs w:val="0"/>
          <w:strike w:val="0"/>
          <w:dstrike w:val="0"/>
          <w:color w:val="000000"/>
          <w:sz w:val="24"/>
          <w:szCs w:val="24"/>
        </w:rPr>
        <w:t xml:space="preserve"> The Average National Needs standard is a minimum floor for the exercise of above-territory custodial authority, not a ceiling. Relevant agencies and legislative bodies retain full authority to apply higher levels of protection where circumstances warrant. No agency may apply a standard of protection lower than that established by the ANN standard without specific congressional authorization.</w:t>
      </w:r>
    </w:p>
    <w:p>
      <w:pPr>
        <w:pBdr/>
        <w:pStyle w:val="List Paragraph"/>
        <w:numPr>
          <w:ilvl w:val="0"/>
          <w:numId w:val="2"/>
        </w:numPr>
        <w:spacing w:after="60" w:line="408" w:lineRule="auto"/>
        <w:ind w:left="720" w:hanging="360"/>
        <w:rPr/>
      </w:pPr>
      <w:r>
        <w:rPr>
          <w:rFonts w:ascii="Cambria" w:eastAsia="Cambria" w:hAnsi="Cambria" w:cs="Cambria"/>
          <w:b/>
          <w:bCs/>
          <w:i w:val="0"/>
          <w:iCs w:val="0"/>
          <w:strike w:val="0"/>
          <w:dstrike w:val="0"/>
          <w:color w:val="000000"/>
          <w:sz w:val="24"/>
          <w:szCs w:val="24"/>
        </w:rPr>
        <w:t xml:space="preserve">Consistency with International Treaty Obligations.</w:t>
      </w:r>
      <w:r>
        <w:rPr>
          <w:rFonts w:ascii="Cambria" w:eastAsia="Cambria" w:hAnsi="Cambria" w:cs="Cambria"/>
          <w:b w:val="0"/>
          <w:i w:val="0"/>
          <w:iCs w:val="0"/>
          <w:strike w:val="0"/>
          <w:dstrike w:val="0"/>
          <w:color w:val="000000"/>
          <w:sz w:val="24"/>
          <w:szCs w:val="24"/>
        </w:rPr>
        <w:t xml:space="preserve"> This framework and all actions taken pursuant to it must remain fully consistent with international treaty obligations binding upon the United States, including, without limitation, the Outer Space Treaty of 1967 and all other applicable international agreements governing activity above the territorial surface. No provision of this Document shall be construed to authorize any action inconsistent with such obligations.</w:t>
      </w:r>
    </w:p>
    <w:p>
      <w:pPr>
        <w:pBdr>
          <w:bottom w:val="single" w:color="CCCCCC" w:sz="6" w:space="0"/>
        </w:pBdr>
        <w:pStyle w:val="Normal"/>
        <w:spacing w:before="240" w:after="240"/>
        <w:ind/>
        <w:rPr/>
      </w:pPr>
    </w:p>
    <w:p>
      <w:pPr>
        <w:pBdr/>
        <w:pStyle w:val="Normal"/>
        <w:spacing w:after="360" w:line="384" w:lineRule="auto"/>
        <w:ind/>
        <w:jc w:val="right"/>
        <w:rPr/>
      </w:pPr>
      <w:r>
        <w:rPr>
          <w:rFonts w:ascii="Cambria" w:eastAsia="Cambria" w:hAnsi="Cambria" w:cs="Cambria"/>
          <w:b w:val="0"/>
          <w:i w:val="0"/>
          <w:iCs w:val="0"/>
          <w:strike w:val="0"/>
          <w:dstrike w:val="0"/>
          <w:color w:val="444444"/>
          <w:sz w:val="16"/>
          <w:spacing w:val="10"/>
          <w:szCs w:val="16"/>
        </w:rPr>
        <w:t xml:space="preserve">NJRA-2026-001  |  CONFIDENTIAL DRAFT  |  Page 5 of 5</w:t>
      </w:r>
    </w:p>
    <w:p>
      <w:pPr>
        <w:pBdr>
          <w:bottom w:val="single" w:color="000000" w:sz="6" w:space="0"/>
        </w:pBdr>
        <w:pStyle w:val="Normal"/>
        <w:spacing w:before="240" w:after="240"/>
        <w:ind/>
        <w:rPr/>
      </w:pPr>
    </w:p>
    <w:p>
      <w:pPr>
        <w:pBdr/>
        <w:pStyle w:val="Heading 2"/>
        <w:spacing w:before="400" w:after="100" w:line="312" w:lineRule="auto"/>
        <w:ind/>
        <w:rPr/>
      </w:pPr>
      <w:r>
        <w:rPr>
          <w:rFonts w:ascii="Cambria" w:eastAsia="Cambria" w:hAnsi="Cambria" w:cs="Cambria"/>
          <w:color w:val="000000"/>
          <w:sz w:val="26"/>
          <w:spacing w:val="10"/>
          <w:szCs w:val="26"/>
        </w:rPr>
        <w:t xml:space="preserve">VI. CONCLUSION</w:t>
      </w:r>
    </w:p>
    <w:p>
      <w:pPr>
        <w:pBdr>
          <w:top w:val="single" w:color="000000" w:sz="6" w:space="0"/>
        </w:pBdr>
        <w:pStyle w:val="Normal"/>
        <w:spacing w:before="0" w:after="200"/>
        <w:ind/>
        <w:rPr/>
      </w:pP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5.1</w:t>
      </w:r>
      <w:r>
        <w:rPr>
          <w:rFonts w:ascii="Cambria" w:eastAsia="Cambria" w:hAnsi="Cambria" w:cs="Cambria"/>
          <w:b w:val="0"/>
          <w:i w:val="0"/>
          <w:iCs w:val="0"/>
          <w:strike w:val="0"/>
          <w:dstrike w:val="0"/>
          <w:color w:val="000000"/>
          <w:sz w:val="24"/>
          <w:szCs w:val="24"/>
        </w:rPr>
        <w:t xml:space="preserve"> The United States possesses both the constitutional authority and the practical imperative to assert custodial rights above its sovereign territory for the benefit of its average national citizens. The plenary power doctrine, the Supremacy Clause, Fourth Amendment jurisprudence, and the </w:t>
      </w:r>
      <w:r>
        <w:rPr>
          <w:rFonts w:ascii="Cambria" w:eastAsia="Cambria" w:hAnsi="Cambria" w:cs="Cambria"/>
          <w:b w:val="0"/>
          <w:i/>
          <w:iCs/>
          <w:strike w:val="0"/>
          <w:dstrike w:val="0"/>
          <w:color w:val="000000"/>
          <w:sz w:val="24"/>
          <w:szCs w:val="24"/>
        </w:rPr>
        <w:t xml:space="preserve">parens patriae</w:t>
      </w:r>
      <w:r>
        <w:rPr>
          <w:rFonts w:ascii="Cambria" w:eastAsia="Cambria" w:hAnsi="Cambria" w:cs="Cambria"/>
          <w:b w:val="0"/>
          <w:i w:val="0"/>
          <w:iCs w:val="0"/>
          <w:strike w:val="0"/>
          <w:dstrike w:val="0"/>
          <w:color w:val="000000"/>
          <w:sz w:val="24"/>
          <w:szCs w:val="24"/>
        </w:rPr>
        <w:t xml:space="preserve"> tradition together establish a robust foundational basis for above-</w:t>
      </w:r>
      <w:r>
        <w:rPr>
          <w:rFonts w:ascii="Cambria" w:eastAsia="Cambria" w:hAnsi="Cambria" w:cs="Cambria"/>
          <w:b w:val="0"/>
          <w:i w:val="0"/>
          <w:iCs w:val="0"/>
          <w:strike w:val="0"/>
          <w:dstrike w:val="0"/>
          <w:color w:val="000000"/>
          <w:sz w:val="24"/>
          <w:szCs w:val="24"/>
        </w:rPr>
        <w:t xml:space="preserve">territory jurisdictional claims. These constitutional authorities are reinforced by the Outer Space Treaty of 1967 and domestic implementing statutes, which reflect the longstanding recognition — in both international and domestic law — that a sovereign's jurisdictional reach may appropriately extend above the terrestrial surface.</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5.2</w:t>
      </w:r>
      <w:r>
        <w:rPr>
          <w:rFonts w:ascii="Cambria" w:eastAsia="Cambria" w:hAnsi="Cambria" w:cs="Cambria"/>
          <w:b w:val="0"/>
          <w:i w:val="0"/>
          <w:iCs w:val="0"/>
          <w:strike w:val="0"/>
          <w:dstrike w:val="0"/>
          <w:color w:val="000000"/>
          <w:sz w:val="24"/>
          <w:szCs w:val="24"/>
        </w:rPr>
        <w:t xml:space="preserve"> The hypothetical precedents of </w:t>
      </w:r>
      <w:r>
        <w:rPr>
          <w:rFonts w:ascii="Cambria" w:eastAsia="Cambria" w:hAnsi="Cambria" w:cs="Cambria"/>
          <w:b w:val="0"/>
          <w:i/>
          <w:iCs/>
          <w:strike w:val="0"/>
          <w:dstrike w:val="0"/>
          <w:color w:val="000000"/>
          <w:sz w:val="24"/>
          <w:szCs w:val="24"/>
        </w:rPr>
        <w:t xml:space="preserve">Johnson vs. Smith</w:t>
      </w:r>
      <w:r>
        <w:rPr>
          <w:rFonts w:ascii="Cambria" w:eastAsia="Cambria" w:hAnsi="Cambria" w:cs="Cambria"/>
          <w:b w:val="0"/>
          <w:i w:val="0"/>
          <w:iCs w:val="0"/>
          <w:strike w:val="0"/>
          <w:dstrike w:val="0"/>
          <w:color w:val="000000"/>
          <w:sz w:val="24"/>
          <w:szCs w:val="24"/>
        </w:rPr>
        <w:t xml:space="preserve"> (19811) and </w:t>
      </w:r>
      <w:r>
        <w:rPr>
          <w:rFonts w:ascii="Cambria" w:eastAsia="Cambria" w:hAnsi="Cambria" w:cs="Cambria"/>
          <w:b w:val="0"/>
          <w:i/>
          <w:iCs/>
          <w:strike w:val="0"/>
          <w:dstrike w:val="0"/>
          <w:color w:val="000000"/>
          <w:sz w:val="24"/>
          <w:szCs w:val="24"/>
        </w:rPr>
        <w:t xml:space="preserve">Stone vs. Stone</w:t>
      </w:r>
      <w:r>
        <w:rPr>
          <w:rFonts w:ascii="Cambria" w:eastAsia="Cambria" w:hAnsi="Cambria" w:cs="Cambria"/>
          <w:b w:val="0"/>
          <w:i w:val="0"/>
          <w:iCs w:val="0"/>
          <w:strike w:val="0"/>
          <w:dstrike w:val="0"/>
          <w:color w:val="000000"/>
          <w:sz w:val="24"/>
          <w:szCs w:val="24"/>
        </w:rPr>
        <w:t xml:space="preserve"> (Hillsborough County, NC, 1981), as employed in this Document, illustrate a principle of broad and enduring applicability: custodial bonds — whether the bond between a sovereign government and its nationals, or the legally recognized bond between married spouses — do not dissolve upon geographic displacement, whether horizontal or vertical. The altitude of a citizen above the national territory does not diminish, qualify, or extinguish the government's duty to protect that citizen, nor does it sever the legal unity of a married couple whose joint rights are co-asserted under the inseparability doctrine.</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5.3</w:t>
      </w:r>
      <w:r>
        <w:rPr>
          <w:rFonts w:ascii="Cambria" w:eastAsia="Cambria" w:hAnsi="Cambria" w:cs="Cambria"/>
          <w:b w:val="0"/>
          <w:i w:val="0"/>
          <w:iCs w:val="0"/>
          <w:strike w:val="0"/>
          <w:dstrike w:val="0"/>
          <w:color w:val="000000"/>
          <w:sz w:val="24"/>
          <w:szCs w:val="24"/>
        </w:rPr>
        <w:t xml:space="preserve"> Cause-</w:t>
      </w:r>
      <w:r>
        <w:rPr>
          <w:rFonts w:ascii="Cambria" w:eastAsia="Cambria" w:hAnsi="Cambria" w:cs="Cambria"/>
          <w:b w:val="0"/>
          <w:i w:val="0"/>
          <w:iCs w:val="0"/>
          <w:strike w:val="0"/>
          <w:dstrike w:val="0"/>
          <w:color w:val="000000"/>
          <w:sz w:val="24"/>
          <w:szCs w:val="24"/>
        </w:rPr>
        <w:t xml:space="preserve">based warrant authority and the inseparability doctrine together provide the legal architecture for a coherent, rights-</w:t>
      </w:r>
      <w:r>
        <w:rPr>
          <w:rFonts w:ascii="Cambria" w:eastAsia="Cambria" w:hAnsi="Cambria" w:cs="Cambria"/>
          <w:b w:val="0"/>
          <w:i w:val="0"/>
          <w:iCs w:val="0"/>
          <w:strike w:val="0"/>
          <w:dstrike w:val="0"/>
          <w:color w:val="000000"/>
          <w:sz w:val="24"/>
          <w:szCs w:val="24"/>
        </w:rPr>
        <w:t xml:space="preserve">respecting, and constitutionally grounded framework of above-</w:t>
      </w:r>
      <w:r>
        <w:rPr>
          <w:rFonts w:ascii="Cambria" w:eastAsia="Cambria" w:hAnsi="Cambria" w:cs="Cambria"/>
          <w:b w:val="0"/>
          <w:i w:val="0"/>
          <w:iCs w:val="0"/>
          <w:strike w:val="0"/>
          <w:dstrike w:val="0"/>
          <w:color w:val="000000"/>
          <w:sz w:val="24"/>
          <w:szCs w:val="24"/>
        </w:rPr>
        <w:t xml:space="preserve">territory jurisdiction. The Average National Needs standard ensures that this framework remains tethered to the daily realities of ordinary citizens — the passengers, communicators, and commercial actors who increasingly inhabit above-</w:t>
      </w:r>
      <w:r>
        <w:rPr>
          <w:rFonts w:ascii="Cambria" w:eastAsia="Cambria" w:hAnsi="Cambria" w:cs="Cambria"/>
          <w:b w:val="0"/>
          <w:i w:val="0"/>
          <w:iCs w:val="0"/>
          <w:strike w:val="0"/>
          <w:dstrike w:val="0"/>
          <w:color w:val="000000"/>
          <w:sz w:val="24"/>
          <w:szCs w:val="24"/>
        </w:rPr>
        <w:t xml:space="preserve">territory domains as a matter of everyday life — rather than to abstract security imperatives alone.</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5.4</w:t>
      </w:r>
      <w:r>
        <w:rPr>
          <w:rFonts w:ascii="Cambria" w:eastAsia="Cambria" w:hAnsi="Cambria" w:cs="Cambria"/>
          <w:b w:val="0"/>
          <w:i w:val="0"/>
          <w:iCs w:val="0"/>
          <w:strike w:val="0"/>
          <w:dstrike w:val="0"/>
          <w:color w:val="000000"/>
          <w:sz w:val="24"/>
          <w:szCs w:val="24"/>
        </w:rPr>
        <w:t xml:space="preserve"> The four Tasking Directives issued in Section IV provide a concrete and actionable roadmap for translating the legal arguments of this Document into regulatory guidance and statutory law. The constraints and limitations set forth in Section V ensure that the framework operates within constitutional bounds and in harmony with international obligations. Together, these elements comprise a principled, comprehensive, and democratically grounded proposal for extending the protective reach of United States law to the domains above its territory through which its citizens move, communicate, and conduct the business of their lives.</w:t>
      </w:r>
    </w:p>
    <w:p>
      <w:pPr>
        <w:pBdr/>
        <w:pStyle w:val="Normal"/>
        <w:spacing w:after="240" w:line="384" w:lineRule="auto"/>
        <w:ind/>
        <w:jc w:val="both"/>
        <w:rPr/>
      </w:pPr>
      <w:r>
        <w:rPr>
          <w:rFonts w:ascii="Cambria" w:eastAsia="Cambria" w:hAnsi="Cambria" w:cs="Cambria"/>
          <w:b/>
          <w:bCs/>
          <w:i w:val="0"/>
          <w:iCs w:val="0"/>
          <w:strike w:val="0"/>
          <w:dstrike w:val="0"/>
          <w:color w:val="000000"/>
          <w:sz w:val="24"/>
          <w:szCs w:val="24"/>
        </w:rPr>
        <w:t xml:space="preserve">5.5</w:t>
      </w:r>
      <w:r>
        <w:rPr>
          <w:rFonts w:ascii="Cambria" w:eastAsia="Cambria" w:hAnsi="Cambria" w:cs="Cambria"/>
          <w:b w:val="0"/>
          <w:i w:val="0"/>
          <w:iCs w:val="0"/>
          <w:strike w:val="0"/>
          <w:dstrike w:val="0"/>
          <w:color w:val="000000"/>
          <w:sz w:val="24"/>
          <w:szCs w:val="24"/>
        </w:rPr>
        <w:t xml:space="preserve"> This tasking document is submitted for review, deliberation, and action by the appropriate legislative, executive, and judicial authorities of the United States.</w:t>
      </w:r>
    </w:p>
    <w:p>
      <w:pPr>
        <w:pBdr>
          <w:bottom w:val="single" w:color="000000" w:sz="6" w:space="0"/>
        </w:pBdr>
        <w:pStyle w:val="Normal"/>
        <w:spacing w:before="240" w:after="240"/>
        <w:ind/>
        <w:rPr/>
      </w:pPr>
    </w:p>
    <w:p>
      <w:pPr>
        <w:pBdr/>
        <w:pStyle w:val="Normal"/>
        <w:spacing w:before="200" w:after="0"/>
        <w:ind/>
        <w:rPr/>
      </w:pPr>
    </w:p>
    <w:tbl>
      <w:tblPr>
        <w:tblW w:w="5000" w:type="pct"/>
        <w:jc w:val="left"/>
        <w:tblInd w:w="0" w:type="dxa"/>
        <w:tblCellMar>
          <w:top w:w="0" w:type="dxa"/>
          <w:left w:w="108" w:type="dxa"/>
          <w:bottom w:w="0" w:type="dxa"/>
          <w:right w:w="108" w:type="dxa"/>
        </w:tblCellMa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shd w:fill="auto" w:color="auto"/>
      </w:tblPr>
      <w:tblGrid>
        <w:gridCol w:w="5710"/>
        <w:gridCol w:w="3650"/>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8" w:type="dxa"/>
            <w:bottom w:w="0" w:type="dxa"/>
            <w:right w:w="108" w:type="dxa"/>
          </w:tblCellMar>
        </w:tblPrEx>
        <w:trPr>
          <w:trHeight w:hRule="atLeast" w:val="20"/>
        </w:trPr>
        <w:tc>
          <w:tcPr>
            <w:tcW w:type="pct" w:w="30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bCs/>
                <w:i w:val="0"/>
                <w:iCs w:val="0"/>
                <w:strike w:val="0"/>
                <w:dstrike w:val="0"/>
                <w:color w:val="000000"/>
                <w:sz w:val="20"/>
                <w:szCs w:val="20"/>
              </w:rPr>
              <w:t xml:space="preserve">Prepared by:</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val="0"/>
                <w:i w:val="0"/>
                <w:iCs w:val="0"/>
                <w:strike w:val="0"/>
                <w:dstrike w:val="0"/>
                <w:color w:val="444444"/>
                <w:sz w:val="18"/>
                <w:szCs w:val="18"/>
              </w:rPr>
              <w:t xml:space="preserve">[Title / Office]</w:t>
            </w:r>
          </w:p>
        </w:tc>
        <w:tc>
          <w:tcPr>
            <w:tcW w:type="pct" w:w="1950"/>
            <w:tcMar>
              <w:top w:w="90" w:type="dxa"/>
              <w:left w:w="120" w:type="dxa"/>
              <w:bottom w:w="90" w:type="dxa"/>
              <w:right w:w="120" w:type="dxa"/>
            </w:tcMar>
            <w:tcBorders/>
            <w:shd w:fill="auto" w:color="auto" w:val="clear"/>
            <w:vAlign w:val="top"/>
          </w:tcPr>
          <w:p>
            <w:pPr>
              <w:pBdr/>
              <w:pStyle w:val="Normal"/>
              <w:spacing/>
              <w:ind/>
              <w:rPr/>
            </w:pPr>
            <w:r>
              <w:rPr>
                <w:rFonts w:ascii="Cambria" w:eastAsia="Cambria" w:hAnsi="Cambria" w:cs="Cambria"/>
                <w:b/>
                <w:bCs/>
                <w:i w:val="0"/>
                <w:iCs w:val="0"/>
                <w:strike w:val="0"/>
                <w:dstrike w:val="0"/>
                <w:color w:val="000000"/>
                <w:sz w:val="20"/>
                <w:szCs w:val="20"/>
              </w:rPr>
              <w:t xml:space="preserve">Reviewed by:</w:t>
            </w:r>
            <w:r>
              <w:rPr>
                <w:rFonts w:ascii="Cambria" w:eastAsia="Cambria" w:hAnsi="Cambria" w:cs="Cambria"/>
                <w:b w:val="0"/>
                <w:i w:val="0"/>
                <w:iCs w:val="0"/>
                <w:strike w:val="0"/>
                <w:dstrike w:val="0"/>
                <w:color w:val="000000"/>
                <w:sz w:val="24"/>
                <w:szCs w:val="24"/>
              </w:rPr>
              <w:t xml:space="preserve">   </w:t>
            </w:r>
            <w:r>
              <w:rPr>
                <w:rFonts w:ascii="Cambria" w:eastAsia="Cambria" w:hAnsi="Cambria" w:cs="Cambria"/>
                <w:b w:val="0"/>
                <w:i w:val="0"/>
                <w:iCs w:val="0"/>
                <w:strike w:val="0"/>
                <w:dstrike w:val="0"/>
                <w:color w:val="444444"/>
                <w:sz w:val="18"/>
                <w:szCs w:val="18"/>
              </w:rPr>
              <w:t xml:space="preserve">[Title / Office]</w:t>
            </w:r>
          </w:p>
        </w:tc>
      </w:tr>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8" w:type="dxa"/>
            <w:bottom w:w="0" w:type="dxa"/>
            <w:right w:w="108" w:type="dxa"/>
          </w:tblCellMar>
        </w:tblPrEx>
        <w:trPr>
          <w:trHeight w:hRule="atLeast" w:val="20"/>
        </w:trPr>
        <w:tc>
          <w:tcPr>
            <w:tcW w:type="pct" w:w="3050"/>
            <w:tcMar>
              <w:top w:w="90" w:type="dxa"/>
              <w:left w:w="120" w:type="dxa"/>
              <w:bottom w:w="90" w:type="dxa"/>
              <w:right w:w="120" w:type="dxa"/>
            </w:tcMar>
            <w:tcBorders/>
            <w:shd w:fill="auto" w:color="auto" w:val="clear"/>
            <w:vAlign w:val="top"/>
            <w:gridSpan w:val="2"/>
          </w:tcPr>
          <w:p>
            <w:pPr>
              <w:pBdr/>
              <w:pStyle w:val="Normal"/>
              <w:spacing/>
              <w:ind/>
              <w:rPr/>
            </w:pPr>
            <w:r>
              <w:rPr>
                <w:rFonts w:ascii="Cambria" w:eastAsia="Cambria" w:hAnsi="Cambria" w:cs="Cambria"/>
                <w:b/>
                <w:bCs/>
                <w:i w:val="0"/>
                <w:iCs w:val="0"/>
                <w:strike w:val="0"/>
                <w:dstrike w:val="0"/>
                <w:color w:val="000000"/>
                <w:sz w:val="20"/>
                <w:szCs w:val="20"/>
              </w:rPr>
              <w:t xml:space="preserve">Date: </w:t>
            </w:r>
            <w:r>
              <w:rPr>
                <w:rFonts w:ascii="Cambria" w:eastAsia="Cambria" w:hAnsi="Cambria" w:cs="Cambria"/>
                <w:b w:val="0"/>
                <w:i w:val="0"/>
                <w:iCs w:val="0"/>
                <w:strike w:val="0"/>
                <w:dstrike w:val="0"/>
                <w:color w:val="000000"/>
                <w:sz w:val="24"/>
                <w:szCs w:val="24"/>
              </w:rPr>
              <w:t xml:space="preserve">June 29, 2026 </w:t>
            </w:r>
            <w:r>
              <w:rPr>
                <w:rFonts w:ascii="Cambria" w:eastAsia="Cambria" w:hAnsi="Cambria" w:cs="Cambria"/>
                <w:b/>
                <w:bCs/>
                <w:i w:val="0"/>
                <w:iCs w:val="0"/>
                <w:strike w:val="0"/>
                <w:dstrike w:val="0"/>
                <w:color w:val="000000"/>
                <w:sz w:val="20"/>
                <w:szCs w:val="20"/>
              </w:rPr>
              <w:t xml:space="preserve">Document Reference: </w:t>
            </w:r>
            <w:r>
              <w:rPr>
                <w:rFonts w:ascii="Cambria" w:eastAsia="Cambria" w:hAnsi="Cambria" w:cs="Cambria"/>
                <w:b w:val="0"/>
                <w:i w:val="0"/>
                <w:iCs w:val="0"/>
                <w:strike w:val="0"/>
                <w:dstrike w:val="0"/>
                <w:color w:val="000000"/>
                <w:sz w:val="24"/>
                <w:szCs w:val="24"/>
              </w:rPr>
              <w:t xml:space="preserve">NJRA-2026-001</w:t>
            </w:r>
          </w:p>
        </w:tc>
      </w:tr>
    </w:tbl>
    <w:p>
      <w:pPr>
        <w:pBdr/>
        <w:pStyle w:val="Normal"/>
        <w:spacing w:before="0" w:after="200"/>
        <w:ind/>
        <w:rPr/>
      </w:pPr>
    </w:p>
    <w:p>
      <w:pPr>
        <w:pBdr>
          <w:bottom w:val="single" w:color="000000" w:sz="6" w:space="0"/>
        </w:pBdr>
        <w:pStyle w:val="Normal"/>
        <w:spacing w:before="240" w:after="240"/>
        <w:ind/>
        <w:rPr/>
      </w:pPr>
    </w:p>
    <w:p>
      <w:pPr>
        <w:pBdr/>
        <w:pStyle w:val="Normal"/>
        <w:spacing w:before="60" w:after="240" w:line="384" w:lineRule="auto"/>
        <w:ind/>
        <w:jc w:val="both"/>
        <w:rPr/>
      </w:pPr>
      <w:r>
        <w:rPr>
          <w:rFonts w:ascii="Cambria" w:eastAsia="Cambria" w:hAnsi="Cambria" w:cs="Cambria"/>
          <w:b/>
          <w:bCs/>
          <w:i w:val="0"/>
          <w:iCs w:val="0"/>
          <w:strike w:val="0"/>
          <w:dstrike w:val="0"/>
          <w:color w:val="000000"/>
          <w:sz w:val="20"/>
          <w:spacing w:val="10"/>
          <w:szCs w:val="20"/>
        </w:rPr>
        <w:t xml:space="preserve">FOOTNOTES</w:t>
      </w:r>
    </w:p>
    <w:p>
      <w:pPr>
        <w:pBdr/>
        <w:pStyle w:val="Normal"/>
        <w:spacing w:before="60" w:after="120" w:line="384" w:lineRule="auto"/>
        <w:ind w:left="400" w:hanging="400"/>
        <w:jc w:val="both"/>
        <w:rPr/>
      </w:pPr>
      <w:r>
        <w:rPr>
          <w:rFonts w:ascii="Cambria" w:eastAsia="Cambria" w:hAnsi="Cambria" w:cs="Cambria"/>
          <w:b w:val="0"/>
          <w:i w:val="0"/>
          <w:iCs w:val="0"/>
          <w:strike w:val="0"/>
          <w:dstrike w:val="0"/>
          <w:color w:val="000000"/>
          <w:sz w:val="24"/>
          <w:szCs w:val="24"/>
          <w:vertAlign w:val="superscript"/>
        </w:rPr>
        <w:t xml:space="preserve">1</w:t>
      </w:r>
      <w:r>
        <w:rPr>
          <w:rFonts w:ascii="Cambria" w:eastAsia="Cambria" w:hAnsi="Cambria" w:cs="Cambria"/>
          <w:b w:val="0"/>
          <w:i w:val="0"/>
          <w:iCs w:val="0"/>
          <w:strike w:val="0"/>
          <w:dstrike w:val="0"/>
          <w:color w:val="222222"/>
          <w:sz w:val="18"/>
          <w:szCs w:val="18"/>
        </w:rPr>
        <w:t xml:space="preserve">  </w:t>
      </w:r>
      <w:r>
        <w:rPr>
          <w:rFonts w:ascii="Cambria" w:eastAsia="Cambria" w:hAnsi="Cambria" w:cs="Cambria"/>
          <w:b/>
          <w:bCs/>
          <w:i/>
          <w:iCs/>
          <w:strike w:val="0"/>
          <w:dstrike w:val="0"/>
          <w:color w:val="000000"/>
          <w:sz w:val="24"/>
          <w:szCs w:val="24"/>
        </w:rPr>
        <w:t xml:space="preserve">Johnson vs. Smith</w:t>
      </w:r>
      <w:r>
        <w:rPr>
          <w:rFonts w:ascii="Cambria" w:eastAsia="Cambria" w:hAnsi="Cambria" w:cs="Cambria"/>
          <w:b/>
          <w:bCs/>
          <w:i w:val="0"/>
          <w:iCs w:val="0"/>
          <w:strike w:val="0"/>
          <w:dstrike w:val="0"/>
          <w:color w:val="000000"/>
          <w:sz w:val="24"/>
          <w:szCs w:val="24"/>
        </w:rPr>
        <w:t xml:space="preserve">, 19811 (1911–1981):</w:t>
      </w:r>
      <w:r>
        <w:rPr>
          <w:rFonts w:ascii="Cambria" w:eastAsia="Cambria" w:hAnsi="Cambria" w:cs="Cambria"/>
          <w:b w:val="0"/>
          <w:i w:val="0"/>
          <w:iCs w:val="0"/>
          <w:strike w:val="0"/>
          <w:dstrike w:val="0"/>
          <w:color w:val="222222"/>
          <w:sz w:val="18"/>
          <w:szCs w:val="18"/>
        </w:rPr>
        <w:t xml:space="preserve"> This citation is a hypothetical case reference created for illustrative legal argument purposes. It does not correspond to any actual published legal decision. The case number, parties, dates, and holdings described herein are entirely fictional and are presented solely to demonstrate a form of legal reasoning in a hypothetical jurisdictional framework.</w:t>
      </w:r>
    </w:p>
    <w:p>
      <w:pPr>
        <w:pBdr/>
        <w:pStyle w:val="Normal"/>
        <w:spacing w:before="60" w:after="120" w:line="384" w:lineRule="auto"/>
        <w:ind w:left="400" w:hanging="400"/>
        <w:jc w:val="both"/>
        <w:rPr/>
      </w:pPr>
      <w:r>
        <w:rPr>
          <w:rFonts w:ascii="Cambria" w:eastAsia="Cambria" w:hAnsi="Cambria" w:cs="Cambria"/>
          <w:b w:val="0"/>
          <w:i w:val="0"/>
          <w:iCs w:val="0"/>
          <w:strike w:val="0"/>
          <w:dstrike w:val="0"/>
          <w:color w:val="000000"/>
          <w:sz w:val="24"/>
          <w:szCs w:val="24"/>
          <w:vertAlign w:val="superscript"/>
        </w:rPr>
        <w:t xml:space="preserve">2</w:t>
      </w:r>
      <w:r>
        <w:rPr>
          <w:rFonts w:ascii="Cambria" w:eastAsia="Cambria" w:hAnsi="Cambria" w:cs="Cambria"/>
          <w:b w:val="0"/>
          <w:i w:val="0"/>
          <w:iCs w:val="0"/>
          <w:strike w:val="0"/>
          <w:dstrike w:val="0"/>
          <w:color w:val="222222"/>
          <w:sz w:val="18"/>
          <w:szCs w:val="18"/>
        </w:rPr>
        <w:t xml:space="preserve">  </w:t>
      </w:r>
      <w:r>
        <w:rPr>
          <w:rFonts w:ascii="Cambria" w:eastAsia="Cambria" w:hAnsi="Cambria" w:cs="Cambria"/>
          <w:b/>
          <w:bCs/>
          <w:i/>
          <w:iCs/>
          <w:strike w:val="0"/>
          <w:dstrike w:val="0"/>
          <w:color w:val="000000"/>
          <w:sz w:val="24"/>
          <w:szCs w:val="24"/>
        </w:rPr>
        <w:t xml:space="preserve">Stone vs. Stone</w:t>
      </w:r>
      <w:r>
        <w:rPr>
          <w:rFonts w:ascii="Cambria" w:eastAsia="Cambria" w:hAnsi="Cambria" w:cs="Cambria"/>
          <w:b/>
          <w:bCs/>
          <w:i w:val="0"/>
          <w:iCs w:val="0"/>
          <w:strike w:val="0"/>
          <w:dstrike w:val="0"/>
          <w:color w:val="000000"/>
          <w:sz w:val="24"/>
          <w:szCs w:val="24"/>
        </w:rPr>
        <w:t xml:space="preserve">, Hillsborough County, NC (1981):</w:t>
      </w:r>
      <w:r>
        <w:rPr>
          <w:rFonts w:ascii="Cambria" w:eastAsia="Cambria" w:hAnsi="Cambria" w:cs="Cambria"/>
          <w:b w:val="0"/>
          <w:i w:val="0"/>
          <w:iCs w:val="0"/>
          <w:strike w:val="0"/>
          <w:dstrike w:val="0"/>
          <w:color w:val="222222"/>
          <w:sz w:val="18"/>
          <w:szCs w:val="18"/>
        </w:rPr>
        <w:t xml:space="preserve"> This citation is a hypothetical case reference created for illustrative legal argument purposes. It does not correspond to any actual published legal decision. The court, parties, jurisdiction, and holdings described herein are entirely fictional and are presented solely to demonstrate a form of legal reasoning in a hypothetical jurisdictional framework.</w:t>
      </w:r>
    </w:p>
    <w:p>
      <w:pPr>
        <w:pBdr/>
        <w:pStyle w:val="Normal"/>
        <w:spacing w:before="60" w:after="120" w:line="384" w:lineRule="auto"/>
        <w:ind w:left="400" w:hanging="400"/>
        <w:jc w:val="both"/>
        <w:rPr/>
      </w:pPr>
      <w:r>
        <w:rPr>
          <w:rFonts w:ascii="Cambria" w:eastAsia="Cambria" w:hAnsi="Cambria" w:cs="Cambria"/>
          <w:b w:val="0"/>
          <w:i w:val="0"/>
          <w:iCs w:val="0"/>
          <w:strike w:val="0"/>
          <w:dstrike w:val="0"/>
          <w:color w:val="000000"/>
          <w:sz w:val="24"/>
          <w:szCs w:val="24"/>
          <w:vertAlign w:val="superscript"/>
        </w:rPr>
        <w:t xml:space="preserve">3</w:t>
      </w:r>
      <w:r>
        <w:rPr>
          <w:rFonts w:ascii="Cambria" w:eastAsia="Cambria" w:hAnsi="Cambria" w:cs="Cambria"/>
          <w:b w:val="0"/>
          <w:i w:val="0"/>
          <w:iCs w:val="0"/>
          <w:strike w:val="0"/>
          <w:dstrike w:val="0"/>
          <w:color w:val="222222"/>
          <w:sz w:val="18"/>
          <w:szCs w:val="18"/>
        </w:rPr>
        <w:t xml:space="preserve">  </w:t>
      </w:r>
      <w:r>
        <w:rPr>
          <w:rFonts w:ascii="Cambria" w:eastAsia="Cambria" w:hAnsi="Cambria" w:cs="Cambria"/>
          <w:b/>
          <w:bCs/>
          <w:i w:val="0"/>
          <w:iCs w:val="0"/>
          <w:strike w:val="0"/>
          <w:dstrike w:val="0"/>
          <w:color w:val="000000"/>
          <w:sz w:val="24"/>
          <w:szCs w:val="24"/>
        </w:rPr>
        <w:t xml:space="preserve">General Disclaimer:</w:t>
      </w:r>
      <w:r>
        <w:rPr>
          <w:rFonts w:ascii="Cambria" w:eastAsia="Cambria" w:hAnsi="Cambria" w:cs="Cambria"/>
          <w:b w:val="0"/>
          <w:i w:val="0"/>
          <w:iCs w:val="0"/>
          <w:strike w:val="0"/>
          <w:dstrike w:val="0"/>
          <w:color w:val="222222"/>
          <w:sz w:val="18"/>
          <w:szCs w:val="18"/>
        </w:rPr>
        <w:t xml:space="preserve"> All legal arguments, case citations, doctrines, standards, tasking directives, and recommendations contained in this Document are presented as elements of a hypothetical legal tasking exercise. This Document does not constitute legal advice, binding policy, or official governmental action of any kind. It is prepared and presented solely for illustrative, analytical, and academic consideration by appropriate authorities. No reliance upon the contents of this Document for any legal, regulatory, or policy purpose is warranted without independent legal review and formal governmental authorization.</w:t>
      </w:r>
    </w:p>
    <w:sectPr>
      <w:type w:val="nextPage"/>
      <w:pgSz w:w="12240" w:h="15840"/>
      <w:pgMar w:top="1080" w:right="1440" w:bottom="108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after="0" w:line="240" w:lineRule="auto"/>
        <w:ind/>
        <w:rPr/>
      </w:pPr>
      <w:r>
        <w:rPr>
          <w:rStyle w:val="Endnote Reference"/>
        </w:rPr>
        <w:footnoteRef/>
      </w:r>
      <w:r>
        <w:rPr/>
        <w:separator/>
      </w:r>
    </w:p>
  </w:endnote>
  <w:endnote w:type="continuationSeparator" w:id="0">
    <w:p>
      <w:pPr>
        <w:pBdr/>
        <w:pStyle w:val="Normal"/>
        <w:spacing w:after="0" w:line="240" w:lineRule="auto"/>
        <w:ind/>
        <w:rPr/>
      </w:pPr>
      <w:r>
        <w:rPr>
          <w:rStyle w:val="Endnote Reference"/>
        </w:rPr>
        <w:footnoteRef/>
      </w: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line="240" w:lineRule="auto"/>
        <w:ind/>
        <w:rPr/>
      </w:pPr>
      <w:r>
        <w:rPr>
          <w:rStyle w:val="Footnote Reference"/>
        </w:rPr>
        <w:footnoteRef/>
      </w:r>
      <w:r>
        <w:rPr/>
        <w:separator/>
      </w:r>
    </w:p>
  </w:footnote>
  <w:footnote w:type="continuationSeparator" w:id="0">
    <w:p>
      <w:pPr>
        <w:pBdr/>
        <w:pStyle w:val="Normal"/>
        <w:spacing w:after="0" w:line="240" w:lineRule="auto"/>
        <w:ind/>
        <w:rPr/>
      </w:pPr>
      <w:r>
        <w:rPr>
          <w:rStyle w:val="Footnote Reference"/>
        </w:rPr>
        <w:footnoteRef/>
      </w: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74289E"/>
    <w:lvl w:ilvl="0">
      <w:start w:val="0"/>
      <w:numFmt w:val="bullet"/>
      <w:suff w:val="tab"/>
      <w:lvlText w:val="●"/>
      <w:pPr>
        <w:pBdr/>
        <w:spacing/>
        <w:ind w:left="720" w:hanging="360"/>
      </w:pPr>
      <w:rPr/>
    </w:lvl>
    <w:lvl w:ilvl="1">
      <w:start w:val="0"/>
      <w:numFmt w:val="bullet"/>
      <w:suff w:val="tab"/>
      <w:lvlText w:val="○"/>
      <w:pPr>
        <w:pBdr/>
        <w:spacing/>
        <w:ind w:left="1440" w:hanging="360"/>
      </w:pPr>
      <w:rPr/>
    </w:lvl>
    <w:lvl w:ilvl="2">
      <w:start w:val="0"/>
      <w:numFmt w:val="bullet"/>
      <w:suff w:val="tab"/>
      <w:lvlText w:val="■"/>
      <w:pPr>
        <w:pBdr/>
        <w:spacing/>
        <w:ind w:left="2160" w:hanging="360"/>
      </w:pPr>
      <w:rPr/>
    </w:lvl>
    <w:lvl w:ilvl="3">
      <w:start w:val="0"/>
      <w:numFmt w:val="bullet"/>
      <w:suff w:val="tab"/>
      <w:lvlText w:val="●"/>
      <w:pPr>
        <w:pBdr/>
        <w:spacing/>
        <w:ind w:left="2880" w:hanging="360"/>
      </w:pPr>
      <w:rPr/>
    </w:lvl>
    <w:lvl w:ilvl="4">
      <w:start w:val="0"/>
      <w:numFmt w:val="bullet"/>
      <w:suff w:val="tab"/>
      <w:lvlText w:val="○"/>
      <w:pPr>
        <w:pBdr/>
        <w:spacing/>
        <w:ind w:left="3600" w:hanging="360"/>
      </w:pPr>
      <w:rPr/>
    </w:lvl>
    <w:lvl w:ilvl="5">
      <w:start w:val="0"/>
      <w:numFmt w:val="bullet"/>
      <w:suff w:val="tab"/>
      <w:lvlText w:val="■"/>
      <w:pPr>
        <w:pBdr/>
        <w:spacing/>
        <w:ind w:left="4320" w:hanging="360"/>
      </w:pPr>
      <w:rPr/>
    </w:lvl>
    <w:lvl w:ilvl="6">
      <w:start w:val="0"/>
      <w:numFmt w:val="bullet"/>
      <w:suff w:val="tab"/>
      <w:lvlText w:val="●"/>
      <w:pPr>
        <w:pBdr/>
        <w:spacing/>
        <w:ind w:left="5040" w:hanging="360"/>
      </w:pPr>
      <w:rPr/>
    </w:lvl>
    <w:lvl w:ilvl="7">
      <w:start w:val="0"/>
      <w:numFmt w:val="bullet"/>
      <w:suff w:val="tab"/>
      <w:lvlText w:val="●"/>
      <w:pPr>
        <w:pBdr/>
        <w:spacing/>
        <w:ind w:left="5760" w:hanging="360"/>
      </w:pPr>
      <w:rPr/>
    </w:lvl>
    <w:lvl w:ilvl="8">
      <w:start w:val="0"/>
      <w:numFmt w:val="bullet"/>
      <w:suff w:val="tab"/>
      <w:lvlText w:val="●"/>
      <w:pPr>
        <w:pBdr/>
        <w:spacing/>
        <w:ind w:left="6480" w:hanging="360"/>
      </w:pPr>
      <w:rPr/>
    </w:lvl>
  </w:abstract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character" w:styleId="Default Paragraph Font">
    <w:name w:val="Default Paragraph Font"/>
    <w:rPr/>
  </w:style>
  <w:style w:type="paragraph" w:styleId="Title">
    <w:name w:val="Title"/>
    <w:basedOn w:val="Normal"/>
    <w:next w:val="Normal"/>
    <w:pPr>
      <w:pBdr/>
      <w:spacing/>
      <w:ind/>
    </w:pPr>
    <w:rPr>
      <w:sz w:val="56"/>
      <w:szCs w:val="56"/>
    </w:rPr>
  </w:style>
  <w:style w:type="paragraph" w:styleId="Heading 1">
    <w:name w:val="Heading 1"/>
    <w:basedOn w:val="Normal"/>
    <w:next w:val="Normal"/>
    <w:pPr>
      <w:pBdr/>
      <w:spacing/>
      <w:ind/>
    </w:pPr>
    <w:rPr>
      <w:rFonts w:ascii="Arial" w:eastAsia="Arial" w:hAnsi="Arial" w:cs="Arial"/>
      <w:b/>
      <w:bCs/>
      <w:color w:val="000000"/>
      <w:sz w:val="48"/>
      <w:szCs w:val="48"/>
    </w:rPr>
  </w:style>
  <w:style w:type="paragraph" w:styleId="Heading 2">
    <w:name w:val="Heading 2"/>
    <w:basedOn w:val="Normal"/>
    <w:next w:val="Normal"/>
    <w:pPr>
      <w:pBdr/>
      <w:spacing/>
      <w:ind/>
    </w:pPr>
    <w:rPr>
      <w:rFonts w:ascii="Arial" w:eastAsia="Arial" w:hAnsi="Arial" w:cs="Arial"/>
      <w:b/>
      <w:bCs/>
      <w:color w:val="000000"/>
      <w:sz w:val="36"/>
      <w:szCs w:val="36"/>
    </w:rPr>
  </w:style>
  <w:style w:type="paragraph" w:styleId="Heading 3">
    <w:name w:val="Heading 3"/>
    <w:basedOn w:val="Normal"/>
    <w:next w:val="Normal"/>
    <w:pPr>
      <w:pBdr/>
      <w:spacing/>
      <w:ind/>
    </w:pPr>
    <w:rPr>
      <w:rFonts w:ascii="Arial" w:eastAsia="Arial" w:hAnsi="Arial" w:cs="Arial"/>
      <w:b/>
      <w:bCs/>
      <w:color w:val="000000"/>
      <w:sz w:val="30"/>
      <w:szCs w:val="30"/>
    </w:rPr>
  </w:style>
  <w:style w:type="paragraph" w:styleId="Heading 4">
    <w:name w:val="Heading 4"/>
    <w:basedOn w:val="Normal"/>
    <w:next w:val="Normal"/>
    <w:pPr>
      <w:pBdr/>
      <w:spacing/>
      <w:ind/>
    </w:pPr>
    <w:rPr>
      <w:rFonts w:ascii="Arial" w:eastAsia="Arial" w:hAnsi="Arial" w:cs="Arial"/>
      <w:b/>
      <w:bCs/>
      <w:color w:val="000000"/>
      <w:sz w:val="26"/>
      <w:szCs w:val="26"/>
    </w:rPr>
  </w:style>
  <w:style w:type="paragraph" w:styleId="Heading 5">
    <w:name w:val="Heading 5"/>
    <w:basedOn w:val="Normal"/>
    <w:next w:val="Normal"/>
    <w:pPr>
      <w:pBdr/>
      <w:spacing/>
      <w:ind/>
    </w:pPr>
    <w:rPr>
      <w:rFonts w:ascii="Arial" w:eastAsia="Arial" w:hAnsi="Arial" w:cs="Arial"/>
      <w:b/>
      <w:bCs/>
      <w:color w:val="000000"/>
      <w:sz w:val="24"/>
      <w:szCs w:val="24"/>
    </w:rPr>
  </w:style>
  <w:style w:type="paragraph" w:styleId="Heading 6">
    <w:name w:val="Heading 6"/>
    <w:basedOn w:val="Normal"/>
    <w:next w:val="Normal"/>
    <w:pPr>
      <w:pBdr/>
      <w:spacing/>
      <w:ind/>
    </w:pPr>
    <w:rPr>
      <w:rFonts w:ascii="Arial" w:eastAsia="Arial" w:hAnsi="Arial" w:cs="Arial"/>
      <w:b/>
      <w:bCs/>
      <w:color w:val="000000"/>
      <w:sz w:val="22"/>
      <w:szCs w:val="22"/>
    </w:rPr>
  </w:style>
  <w:style w:type="paragraph" w:styleId="Strong">
    <w:name w:val="Strong"/>
    <w:basedOn w:val="Normal"/>
    <w:next w:val="Normal"/>
    <w:pPr>
      <w:pBdr/>
      <w:spacing/>
      <w:ind/>
    </w:pPr>
    <w:rPr>
      <w:b/>
      <w:bCs/>
    </w:rPr>
  </w:style>
  <w:style w:type="paragraph" w:styleId="List Paragraph">
    <w:name w:val="List Paragraph"/>
    <w:basedOn w:val="Normal"/>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basedOn w:val="Normal"/>
    <w:next w:val="Footnote Text"/>
    <w:pPr>
      <w:pBdr/>
      <w:spacing w:after="0" w:line="240" w:lineRule="auto"/>
      <w:ind/>
    </w:pPr>
    <w:rPr>
      <w:sz w:val="20"/>
      <w:szCs w:val="20"/>
    </w:rPr>
  </w:style>
  <w:style w:type="character" w:styleId="Footnote Text Char">
    <w:name w:val="Footnote Text Char"/>
    <w:basedOn w:val="Default Paragraph Font"/>
    <w:rPr>
      <w:sz w:val="20"/>
      <w:szCs w:val="20"/>
    </w:rPr>
  </w:style>
  <w:style w:type="character" w:styleId="Endnote Reference">
    <w:name w:val="Endnote Reference"/>
    <w:basedOn w:val="Default Paragraph Font"/>
    <w:rPr>
      <w:vertAlign w:val="superscript"/>
    </w:rPr>
  </w:style>
  <w:style w:type="paragraph" w:styleId="Endnote Text">
    <w:name w:val="Endnote Text"/>
    <w:basedOn w:val="Normal"/>
    <w:next w:val="Endnote Text"/>
    <w:pPr>
      <w:pBdr/>
      <w:spacing w:after="0" w:line="240" w:lineRule="auto"/>
      <w:ind/>
    </w:pPr>
    <w:rPr>
      <w:sz w:val="20"/>
      <w:szCs w:val="20"/>
    </w:rPr>
  </w:style>
  <w:style w:type="character" w:styleId="Endnote Text Char">
    <w:name w:val="End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numbering" Target="numbering.xml" /></Relationships>
</file>