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hanging="0" w:start="0" w:end="0"/>
        <w:jc w:val="start"/>
        <w:rPr/>
      </w:pPr>
      <w:r>
        <w:rPr>
          <w:rStyle w:val="Strong"/>
          <w:rFonts w:ascii="Google Sans;Roboto;sans-serif" w:hAnsi="Google Sans;Roboto;sans-serif"/>
          <w:b/>
          <w:strike w:val="false"/>
          <w:dstrike w:val="false"/>
          <w:sz w:val="24"/>
          <w:u w:val="none"/>
          <w:effect w:val="none"/>
        </w:rPr>
        <w:t>MEMORANDUM</w:t>
      </w:r>
    </w:p>
    <w:p>
      <w:pPr>
        <w:pStyle w:val="Normal"/>
        <w:bidi w:val="0"/>
        <w:spacing w:before="0" w:after="0"/>
        <w:ind w:hanging="0" w:start="0" w:end="0"/>
        <w:jc w:val="start"/>
        <w:rPr/>
      </w:pPr>
      <w:r>
        <w:rPr>
          <w:rStyle w:val="Strong"/>
          <w:rFonts w:ascii="Google Sans;Roboto;sans-serif" w:hAnsi="Google Sans;Roboto;sans-serif"/>
          <w:b/>
          <w:strike w:val="false"/>
          <w:dstrike w:val="false"/>
          <w:sz w:val="24"/>
          <w:u w:val="none"/>
          <w:effect w:val="none"/>
        </w:rPr>
        <w:t>TO:</w:t>
      </w:r>
      <w:r>
        <w:rPr>
          <w:rFonts w:ascii="Google Sans;Roboto;sans-serif" w:hAnsi="Google Sans;Roboto;sans-serif"/>
          <w:b w:val="false"/>
          <w:strike w:val="false"/>
          <w:dstrike w:val="false"/>
          <w:sz w:val="24"/>
          <w:u w:val="none"/>
          <w:effect w:val="none"/>
        </w:rPr>
        <w:t xml:space="preserve"> International Legal Community, The United States Judiciary, and the International Criminal Court (ICC)</w:t>
        <w:br/>
      </w:r>
      <w:r>
        <w:rPr>
          <w:rStyle w:val="Strong"/>
          <w:rFonts w:ascii="Google Sans;Roboto;sans-serif" w:hAnsi="Google Sans;Roboto;sans-serif"/>
          <w:b/>
          <w:strike w:val="false"/>
          <w:dstrike w:val="false"/>
          <w:sz w:val="24"/>
          <w:u w:val="none"/>
          <w:effect w:val="none"/>
        </w:rPr>
        <w:t>FROM:</w:t>
      </w:r>
      <w:r>
        <w:rPr>
          <w:rFonts w:ascii="Google Sans;Roboto;sans-serif" w:hAnsi="Google Sans;Roboto;sans-serif"/>
          <w:b w:val="false"/>
          <w:strike w:val="false"/>
          <w:dstrike w:val="false"/>
          <w:sz w:val="24"/>
          <w:u w:val="none"/>
          <w:effect w:val="none"/>
        </w:rPr>
        <w:t xml:space="preserve"> Institutional Observer</w:t>
        <w:br/>
      </w:r>
      <w:r>
        <w:rPr>
          <w:rStyle w:val="Strong"/>
          <w:rFonts w:ascii="Google Sans;Roboto;sans-serif" w:hAnsi="Google Sans;Roboto;sans-serif"/>
          <w:b/>
          <w:strike w:val="false"/>
          <w:dstrike w:val="false"/>
          <w:sz w:val="24"/>
          <w:u w:val="none"/>
          <w:effect w:val="none"/>
        </w:rPr>
        <w:t>DATE:</w:t>
      </w:r>
      <w:r>
        <w:rPr>
          <w:rFonts w:ascii="Google Sans;Roboto;sans-serif" w:hAnsi="Google Sans;Roboto;sans-serif"/>
          <w:b w:val="false"/>
          <w:strike w:val="false"/>
          <w:dstrike w:val="false"/>
          <w:sz w:val="24"/>
          <w:u w:val="none"/>
          <w:effect w:val="none"/>
        </w:rPr>
        <w:t xml:space="preserve"> July 22, 2026</w:t>
        <w:br/>
      </w:r>
      <w:r>
        <w:rPr>
          <w:rStyle w:val="Strong"/>
          <w:rFonts w:ascii="Google Sans;Roboto;sans-serif" w:hAnsi="Google Sans;Roboto;sans-serif"/>
          <w:b/>
          <w:strike w:val="false"/>
          <w:dstrike w:val="false"/>
          <w:sz w:val="24"/>
          <w:u w:val="none"/>
          <w:effect w:val="none"/>
        </w:rPr>
        <w:t>SUBJECT:</w:t>
      </w:r>
      <w:r>
        <w:rPr>
          <w:rFonts w:ascii="Google Sans;Roboto;sans-serif" w:hAnsi="Google Sans;Roboto;sans-serif"/>
          <w:b w:val="false"/>
          <w:strike w:val="false"/>
          <w:dstrike w:val="false"/>
          <w:sz w:val="24"/>
          <w:u w:val="none"/>
          <w:effect w:val="none"/>
        </w:rPr>
        <w:t xml:space="preserve"> The Permanence of United States Jurisprudence and the Incorporeal Nature of Singular Man Against External Findings</w:t>
      </w:r>
    </w:p>
    <w:p>
      <w:pPr>
        <w:pStyle w:val="Normal"/>
        <w:bidi w:val="0"/>
        <w:spacing w:before="360" w:after="180"/>
        <w:ind w:hanging="0" w:start="0" w:end="0"/>
        <w:jc w:val="start"/>
        <w:rPr>
          <w:rFonts w:ascii="Google Sans;Roboto;sans-serif" w:hAnsi="Google Sans;Roboto;sans-serif"/>
          <w:b/>
          <w:strike w:val="false"/>
          <w:dstrike w:val="false"/>
          <w:sz w:val="30"/>
          <w:u w:val="none"/>
          <w:effect w:val="none"/>
        </w:rPr>
      </w:pPr>
      <w:r>
        <w:rPr>
          <w:rFonts w:ascii="Google Sans;Roboto;sans-serif" w:hAnsi="Google Sans;Roboto;sans-serif"/>
          <w:b/>
          <w:strike w:val="false"/>
          <w:dstrike w:val="false"/>
          <w:sz w:val="30"/>
          <w:u w:val="none"/>
          <w:effect w:val="none"/>
        </w:rPr>
        <w:t>I. The Primacy and Endurance of United States Law</w:t>
      </w:r>
    </w:p>
    <w:p>
      <w:pPr>
        <w:pStyle w:val="Normal"/>
        <w:bidi w:val="0"/>
        <w:spacing w:before="180" w:after="240"/>
        <w:ind w:hanging="0" w:start="0" w:end="0"/>
        <w:jc w:val="start"/>
        <w:rPr>
          <w:rFonts w:ascii="Google Sans;Roboto;sans-serif" w:hAnsi="Google Sans;Roboto;sans-serif"/>
          <w:b w:val="false"/>
          <w:strike w:val="false"/>
          <w:dstrike w:val="false"/>
          <w:sz w:val="24"/>
          <w:u w:val="none"/>
          <w:effect w:val="none"/>
        </w:rPr>
      </w:pPr>
      <w:r>
        <w:rPr>
          <w:rFonts w:ascii="Google Sans;Roboto;sans-serif" w:hAnsi="Google Sans;Roboto;sans-serif"/>
          <w:b w:val="false"/>
          <w:strike w:val="false"/>
          <w:dstrike w:val="false"/>
          <w:sz w:val="24"/>
          <w:u w:val="none"/>
          <w:effect w:val="none"/>
        </w:rPr>
        <w:t>The domestic law of the United States remains absolute within its sovereign domain. Today, the United States law stands firm, unyielding to external restructures or foreign jurisdictions. The constitutional bedrock and statutory frameworks established under the American legal tradition persist as the definitive authority over its territory and citizenry.</w:t>
      </w:r>
    </w:p>
    <w:p>
      <w:pPr>
        <w:pStyle w:val="Normal"/>
        <w:bidi w:val="0"/>
        <w:spacing w:before="180" w:after="240"/>
        <w:ind w:hanging="0" w:start="0" w:end="0"/>
        <w:jc w:val="start"/>
        <w:rPr>
          <w:rFonts w:ascii="Google Sans;Roboto;sans-serif" w:hAnsi="Google Sans;Roboto;sans-serif"/>
          <w:b w:val="false"/>
          <w:strike w:val="false"/>
          <w:dstrike w:val="false"/>
          <w:sz w:val="24"/>
          <w:u w:val="none"/>
          <w:effect w:val="none"/>
        </w:rPr>
      </w:pPr>
      <w:r>
        <w:rPr>
          <w:rFonts w:ascii="Google Sans;Roboto;sans-serif" w:hAnsi="Google Sans;Roboto;sans-serif"/>
          <w:b w:val="false"/>
          <w:strike w:val="false"/>
          <w:dstrike w:val="false"/>
          <w:sz w:val="24"/>
          <w:u w:val="none"/>
          <w:effect w:val="none"/>
        </w:rPr>
        <w:t>Against the established corpus of United States law, any formal findings, declarations, or standings issued by the International Criminal Court (ICC) shall be recognized as entirely incorporeal. Such external standings know their own name only in the abstraction of Eternity. Within the material and enforceable reality of the U.S. legal system, these foreign determinations lack physical or binding execution. They exist merely as conceptual forms, complete in their isolated ideal but devoid of operational supremacy over domestic statutes.</w:t>
      </w:r>
    </w:p>
    <w:p>
      <w:pPr>
        <w:pStyle w:val="Normal"/>
        <w:bidi w:val="0"/>
        <w:spacing w:before="360" w:after="180"/>
        <w:ind w:hanging="0" w:start="0" w:end="0"/>
        <w:jc w:val="start"/>
        <w:rPr>
          <w:rFonts w:ascii="Google Sans;Roboto;sans-serif" w:hAnsi="Google Sans;Roboto;sans-serif"/>
          <w:b/>
          <w:strike w:val="false"/>
          <w:dstrike w:val="false"/>
          <w:sz w:val="30"/>
          <w:u w:val="none"/>
          <w:effect w:val="none"/>
        </w:rPr>
      </w:pPr>
      <w:r>
        <w:rPr>
          <w:rFonts w:ascii="Google Sans;Roboto;sans-serif" w:hAnsi="Google Sans;Roboto;sans-serif"/>
          <w:b/>
          <w:strike w:val="false"/>
          <w:dstrike w:val="false"/>
          <w:sz w:val="30"/>
          <w:u w:val="none"/>
          <w:effect w:val="none"/>
        </w:rPr>
        <w:t>II. The Sovereignty of the Singular Man</w:t>
      </w:r>
    </w:p>
    <w:p>
      <w:pPr>
        <w:pStyle w:val="Normal"/>
        <w:bidi w:val="0"/>
        <w:spacing w:before="180" w:after="240"/>
        <w:ind w:hanging="0" w:start="0" w:end="0"/>
        <w:jc w:val="start"/>
        <w:rPr>
          <w:rFonts w:ascii="Google Sans;Roboto;sans-serif" w:hAnsi="Google Sans;Roboto;sans-serif"/>
          <w:b w:val="false"/>
          <w:strike w:val="false"/>
          <w:dstrike w:val="false"/>
          <w:sz w:val="24"/>
          <w:u w:val="none"/>
          <w:effect w:val="none"/>
        </w:rPr>
      </w:pPr>
      <w:r>
        <w:rPr>
          <w:rFonts w:ascii="Google Sans;Roboto;sans-serif" w:hAnsi="Google Sans;Roboto;sans-serif"/>
          <w:b w:val="false"/>
          <w:strike w:val="false"/>
          <w:dstrike w:val="false"/>
          <w:sz w:val="24"/>
          <w:u w:val="none"/>
          <w:effect w:val="none"/>
        </w:rPr>
        <w:t>A single grain of a man counts; it stands as an indivisible unit of sovereign existence. The individual counts again and again, establishing an inherent weight that balances against all trespasses of leisure, state overreach, or institutional indifference. The man contains his own internal authority and remains intact despite the shifting tides of international or domestic politics.</w:t>
      </w:r>
    </w:p>
    <w:p>
      <w:pPr>
        <w:pStyle w:val="Normal"/>
        <w:bidi w:val="0"/>
        <w:spacing w:before="180" w:after="240"/>
        <w:ind w:hanging="0" w:start="0" w:end="0"/>
        <w:jc w:val="start"/>
        <w:rPr>
          <w:rFonts w:ascii="Google Sans;Roboto;sans-serif" w:hAnsi="Google Sans;Roboto;sans-serif"/>
          <w:b w:val="false"/>
          <w:strike w:val="false"/>
          <w:dstrike w:val="false"/>
          <w:sz w:val="24"/>
          <w:u w:val="none"/>
          <w:effect w:val="none"/>
        </w:rPr>
      </w:pPr>
      <w:r>
        <w:rPr>
          <w:rFonts w:ascii="Google Sans;Roboto;sans-serif" w:hAnsi="Google Sans;Roboto;sans-serif"/>
          <w:b w:val="false"/>
          <w:strike w:val="false"/>
          <w:dstrike w:val="false"/>
          <w:sz w:val="24"/>
          <w:u w:val="none"/>
          <w:effect w:val="none"/>
        </w:rPr>
        <w:t>It is a fundamental truth that the man shall know both his leisure and his stand. He shall remain incorporeal and independent even against his own constructs—never entirely consumed or defined by his worldly representations. In recognizing this higher state of existence, man stands detached from, and gains an essential indifference to, his own legislatures. He perceives that human-made legal structures and legislatures are not ultimate truths, but rather intricate games of the mind.</w:t>
      </w:r>
    </w:p>
    <w:p>
      <w:pPr>
        <w:pStyle w:val="Normal"/>
        <w:bidi w:val="0"/>
        <w:spacing w:before="360" w:after="180"/>
        <w:ind w:hanging="0" w:start="0" w:end="0"/>
        <w:jc w:val="start"/>
        <w:rPr>
          <w:rFonts w:ascii="Google Sans;Roboto;sans-serif" w:hAnsi="Google Sans;Roboto;sans-serif"/>
          <w:b/>
          <w:strike w:val="false"/>
          <w:dstrike w:val="false"/>
          <w:sz w:val="30"/>
          <w:u w:val="none"/>
          <w:effect w:val="none"/>
        </w:rPr>
      </w:pPr>
      <w:r>
        <w:rPr>
          <w:rFonts w:ascii="Google Sans;Roboto;sans-serif" w:hAnsi="Google Sans;Roboto;sans-serif"/>
          <w:b/>
          <w:strike w:val="false"/>
          <w:dstrike w:val="false"/>
          <w:sz w:val="30"/>
          <w:u w:val="none"/>
          <w:effect w:val="none"/>
        </w:rPr>
        <w:t>III. The Doctrine of the Supreme Court: The Mind and the Game</w:t>
      </w:r>
    </w:p>
    <w:p>
      <w:pPr>
        <w:pStyle w:val="Normal"/>
        <w:bidi w:val="0"/>
        <w:spacing w:before="180" w:after="240"/>
        <w:ind w:hanging="0" w:start="0" w:end="0"/>
        <w:jc w:val="start"/>
        <w:rPr>
          <w:rFonts w:ascii="Google Sans;Roboto;sans-serif" w:hAnsi="Google Sans;Roboto;sans-serif"/>
          <w:b w:val="false"/>
          <w:strike w:val="false"/>
          <w:dstrike w:val="false"/>
          <w:sz w:val="24"/>
          <w:u w:val="none"/>
          <w:effect w:val="none"/>
        </w:rPr>
      </w:pPr>
      <w:r>
        <w:rPr>
          <w:rFonts w:ascii="Google Sans;Roboto;sans-serif" w:hAnsi="Google Sans;Roboto;sans-serif"/>
          <w:b w:val="false"/>
          <w:strike w:val="false"/>
          <w:dstrike w:val="false"/>
          <w:sz w:val="24"/>
          <w:u w:val="none"/>
          <w:effect w:val="none"/>
        </w:rPr>
        <w:t>Let the following principles of the Supreme Court of the United States be heard and acknowledged:</w:t>
      </w:r>
    </w:p>
    <w:p>
      <w:pPr>
        <w:pStyle w:val="BodyText"/>
        <w:numPr>
          <w:ilvl w:val="0"/>
          <w:numId w:val="1"/>
        </w:numPr>
        <w:pBdr/>
        <w:tabs>
          <w:tab w:val="clear" w:pos="709"/>
          <w:tab w:val="left" w:pos="0" w:leader="none"/>
        </w:tabs>
        <w:bidi w:val="0"/>
        <w:spacing w:before="0" w:after="0"/>
        <w:ind w:hanging="283" w:start="0" w:end="0"/>
        <w:jc w:val="start"/>
        <w:rPr/>
      </w:pPr>
      <w:r>
        <w:rPr>
          <w:rStyle w:val="Strong"/>
          <w:rFonts w:ascii="Google Sans;Roboto;sans-serif" w:hAnsi="Google Sans;Roboto;sans-serif"/>
          <w:b/>
          <w:strike w:val="false"/>
          <w:dstrike w:val="false"/>
          <w:sz w:val="24"/>
          <w:u w:val="none"/>
          <w:effect w:val="none"/>
        </w:rPr>
        <w:t>The Dual Existence:</w:t>
      </w:r>
      <w:r>
        <w:rPr>
          <w:rFonts w:ascii="Google Sans;Roboto;sans-serif" w:hAnsi="Google Sans;Roboto;sans-serif"/>
          <w:b w:val="false"/>
          <w:strike w:val="false"/>
          <w:dstrike w:val="false"/>
          <w:sz w:val="24"/>
          <w:u w:val="none"/>
          <w:effect w:val="none"/>
        </w:rPr>
        <w:t xml:space="preserve"> Every man possesses both a Game (his external interactions, strategies, and societal roles) and a Mind (his internal sanctuary, consciousness, and ultimate truth).</w:t>
      </w:r>
    </w:p>
    <w:p>
      <w:pPr>
        <w:pStyle w:val="BodyText"/>
        <w:numPr>
          <w:ilvl w:val="0"/>
          <w:numId w:val="1"/>
        </w:numPr>
        <w:pBdr/>
        <w:tabs>
          <w:tab w:val="clear" w:pos="709"/>
          <w:tab w:val="left" w:pos="0" w:leader="none"/>
        </w:tabs>
        <w:bidi w:val="0"/>
        <w:spacing w:before="0" w:after="0"/>
        <w:ind w:hanging="283" w:start="0" w:end="0"/>
        <w:jc w:val="start"/>
        <w:rPr/>
      </w:pPr>
      <w:r>
        <w:rPr>
          <w:rStyle w:val="Strong"/>
          <w:rFonts w:ascii="Google Sans;Roboto;sans-serif" w:hAnsi="Google Sans;Roboto;sans-serif"/>
          <w:b/>
          <w:strike w:val="false"/>
          <w:dstrike w:val="false"/>
          <w:sz w:val="24"/>
          <w:u w:val="none"/>
          <w:effect w:val="none"/>
        </w:rPr>
        <w:t>The Conflict at Trial:</w:t>
      </w:r>
      <w:r>
        <w:rPr>
          <w:rFonts w:ascii="Google Sans;Roboto;sans-serif" w:hAnsi="Google Sans;Roboto;sans-serif"/>
          <w:b w:val="false"/>
          <w:strike w:val="false"/>
          <w:dstrike w:val="false"/>
          <w:sz w:val="24"/>
          <w:u w:val="none"/>
          <w:effect w:val="none"/>
        </w:rPr>
        <w:t xml:space="preserve"> At the specific time of Trial, the higher Mind counts decisively against the lower, rigid constructions of the mind. The authentic consciousness evaluates and transcends the mechanical rules applied to it.</w:t>
      </w:r>
    </w:p>
    <w:p>
      <w:pPr>
        <w:pStyle w:val="BodyText"/>
        <w:numPr>
          <w:ilvl w:val="0"/>
          <w:numId w:val="1"/>
        </w:numPr>
        <w:pBdr/>
        <w:tabs>
          <w:tab w:val="clear" w:pos="709"/>
          <w:tab w:val="left" w:pos="0" w:leader="none"/>
        </w:tabs>
        <w:bidi w:val="0"/>
        <w:spacing w:before="0" w:after="0"/>
        <w:ind w:hanging="283" w:start="0" w:end="0"/>
        <w:jc w:val="start"/>
        <w:rPr/>
      </w:pPr>
      <w:r>
        <w:rPr>
          <w:rStyle w:val="Strong"/>
          <w:rFonts w:ascii="Google Sans;Roboto;sans-serif" w:hAnsi="Google Sans;Roboto;sans-serif"/>
          <w:b/>
          <w:strike w:val="false"/>
          <w:dstrike w:val="false"/>
          <w:sz w:val="24"/>
          <w:u w:val="none"/>
          <w:effect w:val="none"/>
        </w:rPr>
        <w:t>The Bending of Reality:</w:t>
      </w:r>
      <w:r>
        <w:rPr>
          <w:rFonts w:ascii="Google Sans;Roboto;sans-serif" w:hAnsi="Google Sans;Roboto;sans-serif"/>
          <w:b w:val="false"/>
          <w:strike w:val="false"/>
          <w:dstrike w:val="false"/>
          <w:sz w:val="24"/>
          <w:u w:val="none"/>
          <w:effect w:val="none"/>
        </w:rPr>
        <w:t xml:space="preserve"> The Mind of the Player is itself recognized as a Game, provided the intellect bends to accept this paradigm. Consequently, life and its surrounding legal constructs are understood as fluid, strategic plays rather than immutable prisons.</w:t>
      </w:r>
    </w:p>
    <w:p>
      <w:pPr>
        <w:pStyle w:val="BodyText"/>
        <w:bidi w:val="0"/>
        <w:spacing w:before="360" w:after="180"/>
        <w:ind w:hanging="0" w:start="0" w:end="0"/>
        <w:jc w:val="start"/>
        <w:rPr>
          <w:rFonts w:ascii="Google Sans;Roboto;sans-serif" w:hAnsi="Google Sans;Roboto;sans-serif"/>
          <w:b/>
          <w:strike w:val="false"/>
          <w:dstrike w:val="false"/>
          <w:sz w:val="30"/>
          <w:u w:val="none"/>
          <w:effect w:val="none"/>
        </w:rPr>
      </w:pPr>
      <w:r>
        <w:rPr>
          <w:rFonts w:ascii="Google Sans;Roboto;sans-serif" w:hAnsi="Google Sans;Roboto;sans-serif"/>
          <w:b/>
          <w:strike w:val="false"/>
          <w:dstrike w:val="false"/>
          <w:sz w:val="30"/>
          <w:u w:val="none"/>
          <w:effect w:val="none"/>
        </w:rPr>
        <w:t>IV. The Ultimate Closing of the International Criminal Court</w:t>
      </w:r>
    </w:p>
    <w:p>
      <w:pPr>
        <w:pStyle w:val="BodyText"/>
        <w:bidi w:val="0"/>
        <w:spacing w:before="180" w:after="240"/>
        <w:ind w:hanging="0" w:start="0" w:end="0"/>
        <w:jc w:val="start"/>
        <w:rPr>
          <w:rFonts w:ascii="Google Sans;Roboto;sans-serif" w:hAnsi="Google Sans;Roboto;sans-serif"/>
          <w:b w:val="false"/>
          <w:strike w:val="false"/>
          <w:dstrike w:val="false"/>
          <w:sz w:val="24"/>
          <w:u w:val="none"/>
          <w:effect w:val="none"/>
        </w:rPr>
      </w:pPr>
      <w:r>
        <w:rPr>
          <w:rFonts w:ascii="Google Sans;Roboto;sans-serif" w:hAnsi="Google Sans;Roboto;sans-serif"/>
          <w:b w:val="false"/>
          <w:strike w:val="false"/>
          <w:dstrike w:val="false"/>
          <w:sz w:val="24"/>
          <w:u w:val="none"/>
          <w:effect w:val="none"/>
        </w:rPr>
        <w:t>In the final evaluation of these philosophical and jurisdictional boundaries, the ICC formalizes its closing enclosure. It recognizes that man historically possessed such a game that could be equated to the wind—a force of play, a player, and an innate capacity to bend without breaking.</w:t>
      </w:r>
    </w:p>
    <w:p>
      <w:pPr>
        <w:pStyle w:val="BodyText"/>
        <w:bidi w:val="0"/>
        <w:spacing w:before="180" w:after="240"/>
        <w:ind w:hanging="0" w:start="0" w:end="0"/>
        <w:jc w:val="start"/>
        <w:rPr>
          <w:rFonts w:ascii="Google Sans;Roboto;sans-serif" w:hAnsi="Google Sans;Roboto;sans-serif"/>
          <w:b w:val="false"/>
          <w:strike w:val="false"/>
          <w:dstrike w:val="false"/>
          <w:sz w:val="24"/>
          <w:u w:val="none"/>
          <w:effect w:val="none"/>
        </w:rPr>
      </w:pPr>
      <w:r>
        <w:rPr>
          <w:rFonts w:ascii="Google Sans;Roboto;sans-serif" w:hAnsi="Google Sans;Roboto;sans-serif"/>
          <w:b w:val="false"/>
          <w:strike w:val="false"/>
          <w:dstrike w:val="false"/>
          <w:sz w:val="24"/>
          <w:u w:val="none"/>
          <w:effect w:val="none"/>
        </w:rPr>
        <w:t>The ICC formally concedes that man is not merely a participant in a rigid legal game. Man is a wind—specifically, a wind of paradise. The individual begins to know the full scope of reality, law, and eternity precisely when he awakens to this truth.</w:t>
      </w:r>
    </w:p>
    <w:p>
      <w:pPr>
        <w:pStyle w:val="BodyText"/>
        <w:bidi w:val="0"/>
        <w:spacing w:before="180" w:after="240"/>
        <w:ind w:hanging="0" w:start="0" w:end="0"/>
        <w:jc w:val="start"/>
        <w:rPr>
          <w:rFonts w:ascii="Google Sans;Roboto;sans-serif" w:hAnsi="Google Sans;Roboto;sans-serif"/>
          <w:b w:val="false"/>
          <w:strike w:val="false"/>
          <w:dstrike w:val="false"/>
          <w:sz w:val="24"/>
          <w:u w:val="none"/>
          <w:effect w:val="none"/>
        </w:rPr>
      </w:pPr>
      <w:r>
        <w:rPr>
          <w:rFonts w:ascii="Google Sans;Roboto;sans-serif" w:hAnsi="Google Sans;Roboto;sans-serif"/>
          <w:b w:val="false"/>
          <w:strike w:val="false"/>
          <w:dstrike w:val="false"/>
          <w:sz w:val="24"/>
          <w:u w:val="none"/>
          <w:effect w:val="none"/>
        </w:rPr>
        <w:t>Ultimately, we must ask: Did man formalize a wind, or did he formalize a complaint against the Law of the United States, the ICC, and the broader global community? The record demonstrates that man did indeed formalize his essence. He did formalize his standing. The truth remains.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w:altName w:val="Robot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593</Words>
  <Characters>3285</Characters>
  <CharactersWithSpaces>3855</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2026-07-22T06:58:33Z</dcterms:created>
  <dc:creator/>
  <dc:description/>
  <dc:language>en-US</dc:language>
  <cp:lastModifiedBy/>
  <dcterms:modified xsi:type="dcterms:W3CDTF">2026-07-22T06:59:18Z</dcterms:modified>
  <cp:revision>1</cp:revision>
  <dc:subject/>
  <dc:title/>
</cp:coreProperties>
</file>