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Memorandum</w:t>
      </w:r>
    </w:p>
    <w:p>
      <w:pPr>
        <w:pStyle w:val="BodyText"/>
        <w:bidi w:val="0"/>
        <w:ind w:hanging="0" w:start="0" w:end="0"/>
        <w:jc w:val="start"/>
        <w:rPr/>
      </w:pPr>
      <w:r>
        <w:rPr>
          <w:rStyle w:val="Strong"/>
        </w:rPr>
        <w:t>To:</w:t>
      </w:r>
      <w:r>
        <w:rPr/>
        <w:t xml:space="preserve"> Interested Parties </w:t>
      </w:r>
      <w:r>
        <w:rPr>
          <w:rStyle w:val="Strong"/>
        </w:rPr>
        <w:t>From:</w:t>
      </w:r>
      <w:r>
        <w:rPr/>
        <w:t xml:space="preserve"> Max </w:t>
      </w:r>
      <w:r>
        <w:rPr>
          <w:rStyle w:val="Strong"/>
        </w:rPr>
        <w:t>Date:</w:t>
      </w:r>
      <w:r>
        <w:rPr/>
        <w:t xml:space="preserve"> July 22, 2026 </w:t>
      </w:r>
      <w:r>
        <w:rPr>
          <w:rStyle w:val="Strong"/>
        </w:rPr>
        <w:t>Subject:</w:t>
      </w:r>
      <w:r>
        <w:rPr/>
        <w:t xml:space="preserve"> Affirmation of the Continued Force of United States Law and the Legal-Philosophical Position Regarding ICC Findings and Individual Standing</w:t>
      </w:r>
    </w:p>
    <w:p>
      <w:pPr>
        <w:pStyle w:val="BodyText"/>
        <w:bidi w:val="0"/>
        <w:ind w:hanging="0" w:start="0" w:end="0"/>
        <w:jc w:val="start"/>
        <w:rPr/>
      </w:pPr>
      <w:r>
        <w:rPr>
          <w:rStyle w:val="Strong"/>
        </w:rPr>
        <w:t>Disclaimer:</w:t>
      </w:r>
      <w:r>
        <w:rPr/>
        <w:t xml:space="preserve"> Please confirm any legal conclusions or procedural implications in this memorandum with a trusted legal source or counsel before relying on them for decision-making.</w:t>
      </w:r>
    </w:p>
    <w:p>
      <w:pPr>
        <w:pStyle w:val="Heading3"/>
        <w:bidi w:val="0"/>
        <w:jc w:val="start"/>
        <w:rPr/>
      </w:pPr>
      <w:r>
        <w:rPr/>
        <w:t>Executive Summary</w:t>
      </w:r>
    </w:p>
    <w:p>
      <w:pPr>
        <w:pStyle w:val="BodyText"/>
        <w:bidi w:val="0"/>
        <w:ind w:hanging="0" w:start="0" w:end="0"/>
        <w:jc w:val="start"/>
        <w:rPr/>
      </w:pPr>
      <w:r>
        <w:rPr>
          <w:rStyle w:val="Strong"/>
        </w:rPr>
        <w:t>Purpose:</w:t>
      </w:r>
      <w:r>
        <w:rPr/>
        <w:t xml:space="preserve"> This memorandum affirms the position that </w:t>
      </w:r>
      <w:r>
        <w:rPr>
          <w:rStyle w:val="Strong"/>
        </w:rPr>
        <w:t>United States law shall remain</w:t>
      </w:r>
      <w:r>
        <w:rPr/>
        <w:t xml:space="preserve"> and that </w:t>
      </w:r>
      <w:r>
        <w:rPr>
          <w:rStyle w:val="Strong"/>
        </w:rPr>
        <w:t>today the United States law stands</w:t>
      </w:r>
      <w:r>
        <w:rPr/>
        <w:t>. It addresses the relationship between domestic law, international findings (including those of the International Criminal Court), and the metaphysical-legal assertions advanced below concerning individual standing, identity, and the interplay of mind and game in legal proceedings.</w:t>
      </w:r>
    </w:p>
    <w:p>
      <w:pPr>
        <w:pStyle w:val="BodyText"/>
        <w:bidi w:val="0"/>
        <w:ind w:hanging="0" w:start="0" w:end="0"/>
        <w:jc w:val="start"/>
        <w:rPr/>
      </w:pPr>
      <w:r>
        <w:rPr>
          <w:rStyle w:val="Strong"/>
        </w:rPr>
        <w:t>Conclusion:</w:t>
      </w:r>
      <w:r>
        <w:rPr/>
        <w:t xml:space="preserve"> The United States legal order remains operative and controlling within its jurisdiction. Formal findings or standings by the ICC shall be treated, for the purposes of this memorandum, as </w:t>
      </w:r>
      <w:r>
        <w:rPr>
          <w:rStyle w:val="Strong"/>
        </w:rPr>
        <w:t>incorporeal</w:t>
      </w:r>
      <w:r>
        <w:rPr/>
        <w:t xml:space="preserve"> in the sense described herein. The memorandum further advances a conceptual framework in which the individual — “a grain of a man” — counts, stands, and persists against trespass and other incursions, and in which the human mind and its games are relevant to trial and adjudication.</w:t>
      </w:r>
    </w:p>
    <w:p>
      <w:pPr>
        <w:pStyle w:val="Heading3"/>
        <w:bidi w:val="0"/>
        <w:jc w:val="start"/>
        <w:rPr/>
      </w:pPr>
      <w:r>
        <w:rPr/>
        <w:t>Background and Scope</w:t>
      </w:r>
    </w:p>
    <w:p>
      <w:pPr>
        <w:pStyle w:val="BodyText"/>
        <w:bidi w:val="0"/>
        <w:ind w:hanging="0" w:start="0" w:end="0"/>
        <w:jc w:val="start"/>
        <w:rPr/>
      </w:pPr>
      <w:r>
        <w:rPr/>
        <w:t>This memorandum sets forth a declarative position and a set of assertions intended to be read as a cohesive statement of legal and philosophical stance. It is not a substitute for legal advice, nor is it an exhaustive legal brief. Rather, it is a formalized expression of the following propositions provided by the author:</w:t>
      </w:r>
    </w:p>
    <w:p>
      <w:pPr>
        <w:pStyle w:val="BodyText"/>
        <w:numPr>
          <w:ilvl w:val="0"/>
          <w:numId w:val="1"/>
        </w:numPr>
        <w:tabs>
          <w:tab w:val="clear" w:pos="709"/>
          <w:tab w:val="left" w:pos="709" w:leader="none"/>
        </w:tabs>
        <w:bidi w:val="0"/>
        <w:ind w:hanging="283" w:start="709" w:end="0"/>
        <w:jc w:val="start"/>
        <w:rPr/>
      </w:pPr>
      <w:r>
        <w:rPr>
          <w:rStyle w:val="Strong"/>
        </w:rPr>
        <w:t>That the US law shall remain.</w:t>
      </w:r>
    </w:p>
    <w:p>
      <w:pPr>
        <w:pStyle w:val="BodyText"/>
        <w:numPr>
          <w:ilvl w:val="0"/>
          <w:numId w:val="1"/>
        </w:numPr>
        <w:tabs>
          <w:tab w:val="clear" w:pos="709"/>
          <w:tab w:val="left" w:pos="709" w:leader="none"/>
        </w:tabs>
        <w:bidi w:val="0"/>
        <w:ind w:hanging="283" w:start="709" w:end="0"/>
        <w:jc w:val="start"/>
        <w:rPr/>
      </w:pPr>
      <w:r>
        <w:rPr>
          <w:rStyle w:val="Strong"/>
        </w:rPr>
        <w:t>That today the US law stands.</w:t>
      </w:r>
    </w:p>
    <w:p>
      <w:pPr>
        <w:pStyle w:val="BodyText"/>
        <w:numPr>
          <w:ilvl w:val="0"/>
          <w:numId w:val="1"/>
        </w:numPr>
        <w:tabs>
          <w:tab w:val="clear" w:pos="709"/>
          <w:tab w:val="left" w:pos="709" w:leader="none"/>
        </w:tabs>
        <w:bidi w:val="0"/>
        <w:ind w:hanging="283" w:start="709" w:end="0"/>
        <w:jc w:val="start"/>
        <w:rPr/>
      </w:pPr>
      <w:r>
        <w:rPr>
          <w:rStyle w:val="Strong"/>
        </w:rPr>
        <w:t>That against the US law formal ICC findings, standings shall be all incorporeal and complete.</w:t>
      </w:r>
    </w:p>
    <w:p>
      <w:pPr>
        <w:pStyle w:val="BodyText"/>
        <w:numPr>
          <w:ilvl w:val="0"/>
          <w:numId w:val="1"/>
        </w:numPr>
        <w:tabs>
          <w:tab w:val="clear" w:pos="709"/>
          <w:tab w:val="left" w:pos="709" w:leader="none"/>
        </w:tabs>
        <w:bidi w:val="0"/>
        <w:ind w:hanging="283" w:start="709" w:end="0"/>
        <w:jc w:val="start"/>
        <w:rPr/>
      </w:pPr>
      <w:r>
        <w:rPr>
          <w:rStyle w:val="Strong"/>
        </w:rPr>
        <w:t>That a grain of a man counts, stands, counts again, counts against all trespass leisure, and contains and remains.</w:t>
      </w:r>
    </w:p>
    <w:p>
      <w:pPr>
        <w:pStyle w:val="BodyText"/>
        <w:numPr>
          <w:ilvl w:val="0"/>
          <w:numId w:val="1"/>
        </w:numPr>
        <w:tabs>
          <w:tab w:val="clear" w:pos="709"/>
          <w:tab w:val="left" w:pos="709" w:leader="none"/>
        </w:tabs>
        <w:bidi w:val="0"/>
        <w:ind w:hanging="283" w:start="709" w:end="0"/>
        <w:jc w:val="start"/>
        <w:rPr/>
      </w:pPr>
      <w:r>
        <w:rPr>
          <w:rStyle w:val="Strong"/>
        </w:rPr>
        <w:t>That the man shall know his leisure and his stand and shall be incorporeal against his own man.</w:t>
      </w:r>
    </w:p>
    <w:p>
      <w:pPr>
        <w:pStyle w:val="BodyText"/>
        <w:numPr>
          <w:ilvl w:val="0"/>
          <w:numId w:val="1"/>
        </w:numPr>
        <w:tabs>
          <w:tab w:val="clear" w:pos="709"/>
          <w:tab w:val="left" w:pos="709" w:leader="none"/>
        </w:tabs>
        <w:bidi w:val="0"/>
        <w:ind w:hanging="283" w:start="709" w:end="0"/>
        <w:jc w:val="start"/>
        <w:rPr/>
      </w:pPr>
      <w:r>
        <w:rPr>
          <w:rStyle w:val="Strong"/>
        </w:rPr>
        <w:t>That man shall stand and gain indifference to his legislatures (knowing his mind(s) as games).</w:t>
      </w:r>
    </w:p>
    <w:p>
      <w:pPr>
        <w:pStyle w:val="BodyText"/>
        <w:numPr>
          <w:ilvl w:val="0"/>
          <w:numId w:val="1"/>
        </w:numPr>
        <w:tabs>
          <w:tab w:val="clear" w:pos="709"/>
          <w:tab w:val="left" w:pos="709" w:leader="none"/>
        </w:tabs>
        <w:bidi w:val="0"/>
        <w:ind w:hanging="283" w:start="709" w:end="0"/>
        <w:jc w:val="start"/>
        <w:rPr/>
      </w:pPr>
      <w:r>
        <w:rPr>
          <w:rStyle w:val="Strong"/>
        </w:rPr>
        <w:t>That the following of the US Supreme Court shall be Heard.</w:t>
      </w:r>
    </w:p>
    <w:p>
      <w:pPr>
        <w:pStyle w:val="BodyText"/>
        <w:numPr>
          <w:ilvl w:val="0"/>
          <w:numId w:val="1"/>
        </w:numPr>
        <w:tabs>
          <w:tab w:val="clear" w:pos="709"/>
          <w:tab w:val="left" w:pos="709" w:leader="none"/>
        </w:tabs>
        <w:bidi w:val="0"/>
        <w:ind w:hanging="283" w:start="709" w:end="0"/>
        <w:jc w:val="start"/>
        <w:rPr/>
      </w:pPr>
      <w:r>
        <w:rPr>
          <w:rStyle w:val="Strong"/>
        </w:rPr>
        <w:t>That all man has a Game and a Mind and that the Mind counts against the mind at time of Trial.</w:t>
      </w:r>
    </w:p>
    <w:p>
      <w:pPr>
        <w:pStyle w:val="BodyText"/>
        <w:numPr>
          <w:ilvl w:val="0"/>
          <w:numId w:val="1"/>
        </w:numPr>
        <w:tabs>
          <w:tab w:val="clear" w:pos="709"/>
          <w:tab w:val="left" w:pos="709" w:leader="none"/>
        </w:tabs>
        <w:bidi w:val="0"/>
        <w:ind w:hanging="283" w:start="709" w:end="0"/>
        <w:jc w:val="start"/>
        <w:rPr/>
      </w:pPr>
      <w:r>
        <w:rPr>
          <w:rStyle w:val="Strong"/>
        </w:rPr>
        <w:t>That the Mind of the Player is a Game if the mind bends to accept this.</w:t>
      </w:r>
    </w:p>
    <w:p>
      <w:pPr>
        <w:pStyle w:val="BodyText"/>
        <w:numPr>
          <w:ilvl w:val="0"/>
          <w:numId w:val="1"/>
        </w:numPr>
        <w:tabs>
          <w:tab w:val="clear" w:pos="709"/>
          <w:tab w:val="left" w:pos="709" w:leader="none"/>
        </w:tabs>
        <w:bidi w:val="0"/>
        <w:ind w:hanging="283" w:start="709" w:end="0"/>
        <w:jc w:val="start"/>
        <w:rPr/>
      </w:pPr>
      <w:r>
        <w:rPr>
          <w:rStyle w:val="Strong"/>
        </w:rPr>
        <w:t>That the ICC closes that man had such game as wind, as play, player, and to Bend.</w:t>
      </w:r>
    </w:p>
    <w:p>
      <w:pPr>
        <w:pStyle w:val="BodyText"/>
        <w:numPr>
          <w:ilvl w:val="0"/>
          <w:numId w:val="1"/>
        </w:numPr>
        <w:tabs>
          <w:tab w:val="clear" w:pos="709"/>
          <w:tab w:val="left" w:pos="709" w:leader="none"/>
        </w:tabs>
        <w:bidi w:val="0"/>
        <w:ind w:hanging="283" w:start="709" w:end="0"/>
        <w:jc w:val="start"/>
        <w:rPr/>
      </w:pPr>
      <w:r>
        <w:rPr>
          <w:rStyle w:val="Strong"/>
        </w:rPr>
        <w:t>That the ICC formalizes the enclosure that man is not just a game but a wind, a wind of paradise, and that man begins to know it all when he does.</w:t>
      </w:r>
    </w:p>
    <w:p>
      <w:pPr>
        <w:pStyle w:val="BodyText"/>
        <w:bidi w:val="0"/>
        <w:ind w:hanging="0" w:start="0" w:end="0"/>
        <w:jc w:val="start"/>
        <w:rPr/>
      </w:pPr>
      <w:r>
        <w:rPr/>
        <w:t>The memorandum treats these propositions as the author’s declared legal-philosophical positions and organizes them into legal posture, interpretive framework, and practical implications.</w:t>
      </w:r>
    </w:p>
    <w:p>
      <w:pPr>
        <w:pStyle w:val="Heading3"/>
        <w:bidi w:val="0"/>
        <w:jc w:val="start"/>
        <w:rPr/>
      </w:pPr>
      <w:r>
        <w:rPr/>
        <w:t>Statement of Legal Posture</w:t>
      </w:r>
    </w:p>
    <w:p>
      <w:pPr>
        <w:pStyle w:val="BodyText"/>
        <w:bidi w:val="0"/>
        <w:ind w:hanging="0" w:start="0" w:end="0"/>
        <w:jc w:val="start"/>
        <w:rPr/>
      </w:pPr>
      <w:r>
        <w:rPr>
          <w:rStyle w:val="Strong"/>
        </w:rPr>
        <w:t>1. Supremacy of United States Law</w:t>
      </w:r>
      <w:r>
        <w:rPr/>
        <w:t xml:space="preserve"> </w:t>
      </w:r>
      <w:r>
        <w:rPr>
          <w:rStyle w:val="Strong"/>
        </w:rPr>
        <w:t>Position:</w:t>
      </w:r>
      <w:r>
        <w:rPr/>
        <w:t xml:space="preserve"> The United States legal system, as constituted by the Constitution, statutes, and judicial decisions, remains the operative law within the territorial and jurisdictional bounds of the United States. </w:t>
      </w:r>
      <w:r>
        <w:rPr>
          <w:rStyle w:val="Strong"/>
        </w:rPr>
        <w:t>Today the US law stands</w:t>
      </w:r>
      <w:r>
        <w:rPr/>
        <w:t xml:space="preserve"> as the governing legal framework for persons and entities subject to its jurisdiction.</w:t>
      </w:r>
    </w:p>
    <w:p>
      <w:pPr>
        <w:pStyle w:val="BodyText"/>
        <w:bidi w:val="0"/>
        <w:ind w:hanging="0" w:start="0" w:end="0"/>
        <w:jc w:val="start"/>
        <w:rPr/>
      </w:pPr>
      <w:r>
        <w:rPr>
          <w:rStyle w:val="Strong"/>
        </w:rPr>
        <w:t>2. Relationship to International Findings</w:t>
      </w:r>
      <w:r>
        <w:rPr/>
        <w:t xml:space="preserve"> </w:t>
      </w:r>
      <w:r>
        <w:rPr>
          <w:rStyle w:val="Strong"/>
        </w:rPr>
        <w:t>Position:</w:t>
      </w:r>
      <w:r>
        <w:rPr/>
        <w:t xml:space="preserve"> Formal findings or standings by the International Criminal Court (ICC) are acknowledged as international instruments and pronouncements. For the purposes of this memorandum, such ICC findings are characterized as </w:t>
      </w:r>
      <w:r>
        <w:rPr>
          <w:rStyle w:val="Strong"/>
        </w:rPr>
        <w:t>incorporeal</w:t>
      </w:r>
      <w:r>
        <w:rPr/>
        <w:t xml:space="preserve"> in the sense that they do not, by themselves, displace or nullify the domestic legal order of the United States absent implementing action under domestic law or binding treaty obligations accepted and applied by the United States.</w:t>
      </w:r>
    </w:p>
    <w:p>
      <w:pPr>
        <w:pStyle w:val="BodyText"/>
        <w:bidi w:val="0"/>
        <w:ind w:hanging="0" w:start="0" w:end="0"/>
        <w:jc w:val="start"/>
        <w:rPr/>
      </w:pPr>
      <w:r>
        <w:rPr>
          <w:rStyle w:val="Strong"/>
        </w:rPr>
        <w:t>3. Hearing of Supreme Court Followings</w:t>
      </w:r>
      <w:r>
        <w:rPr/>
        <w:t xml:space="preserve"> </w:t>
      </w:r>
      <w:r>
        <w:rPr>
          <w:rStyle w:val="Strong"/>
        </w:rPr>
        <w:t>Position:</w:t>
      </w:r>
      <w:r>
        <w:rPr/>
        <w:t xml:space="preserve"> The determinations and procedural followings of the United States Supreme Court shall be heard and respected within the domestic legal order. Where conflicts of authority or interpretation arise, domestic constitutional processes and judicial review remain the mechanisms for resolution.</w:t>
      </w:r>
    </w:p>
    <w:p>
      <w:pPr>
        <w:pStyle w:val="Heading3"/>
        <w:bidi w:val="0"/>
        <w:jc w:val="start"/>
        <w:rPr/>
      </w:pPr>
      <w:r>
        <w:rPr/>
        <w:t>Interpretive Framework and Philosophical Assertions</w:t>
      </w:r>
    </w:p>
    <w:p>
      <w:pPr>
        <w:pStyle w:val="BodyText"/>
        <w:bidi w:val="0"/>
        <w:ind w:hanging="0" w:start="0" w:end="0"/>
        <w:jc w:val="start"/>
        <w:rPr/>
      </w:pPr>
      <w:r>
        <w:rPr>
          <w:rStyle w:val="Strong"/>
        </w:rPr>
        <w:t>1. The Grain of a Man</w:t>
      </w:r>
      <w:r>
        <w:rPr/>
        <w:t xml:space="preserve"> </w:t>
      </w:r>
      <w:r>
        <w:rPr>
          <w:rStyle w:val="Strong"/>
        </w:rPr>
        <w:t>Assertion:</w:t>
      </w:r>
      <w:r>
        <w:rPr/>
        <w:t xml:space="preserve"> The individual — described here as a </w:t>
      </w:r>
      <w:r>
        <w:rPr>
          <w:rStyle w:val="Strong"/>
        </w:rPr>
        <w:t>grain of a man</w:t>
      </w:r>
      <w:r>
        <w:rPr/>
        <w:t xml:space="preserve"> — possesses intrinsic legal and moral significance. This formulation asserts that each person </w:t>
      </w:r>
      <w:r>
        <w:rPr>
          <w:rStyle w:val="Strong"/>
        </w:rPr>
        <w:t>counts, stands, counts again</w:t>
      </w:r>
      <w:r>
        <w:rPr/>
        <w:t>, and has standing to resist trespass and unlawful interference. The phrase emphasizes persistence and recurrence of legal recognition: the individual’s claim is not a one-time event but a continuing presence in law.</w:t>
      </w:r>
    </w:p>
    <w:p>
      <w:pPr>
        <w:pStyle w:val="BodyText"/>
        <w:bidi w:val="0"/>
        <w:ind w:hanging="0" w:start="0" w:end="0"/>
        <w:jc w:val="start"/>
        <w:rPr/>
      </w:pPr>
      <w:r>
        <w:rPr>
          <w:rStyle w:val="Strong"/>
        </w:rPr>
        <w:t>2. Incorporeality and Identity</w:t>
      </w:r>
      <w:r>
        <w:rPr/>
        <w:t xml:space="preserve"> </w:t>
      </w:r>
      <w:r>
        <w:rPr>
          <w:rStyle w:val="Strong"/>
        </w:rPr>
        <w:t>Assertion:</w:t>
      </w:r>
      <w:r>
        <w:rPr/>
        <w:t xml:space="preserve"> The memorandum uses the term </w:t>
      </w:r>
      <w:r>
        <w:rPr>
          <w:rStyle w:val="Strong"/>
        </w:rPr>
        <w:t>incorporeal</w:t>
      </w:r>
      <w:r>
        <w:rPr/>
        <w:t xml:space="preserve"> to describe certain legal effects or statuses that are not purely material or corporeal but nonetheless real in their legal consequences. When the text states that ICC findings are “incorporeal,” it means that such findings may have moral or persuasive force without automatically altering domestic legal rights or obligations unless domestically implemented.</w:t>
      </w:r>
    </w:p>
    <w:p>
      <w:pPr>
        <w:pStyle w:val="BodyText"/>
        <w:bidi w:val="0"/>
        <w:ind w:hanging="0" w:start="0" w:end="0"/>
        <w:jc w:val="start"/>
        <w:rPr/>
      </w:pPr>
      <w:r>
        <w:rPr>
          <w:rStyle w:val="Strong"/>
        </w:rPr>
        <w:t>3. Leisure, Stand, and Self-Knowledge</w:t>
      </w:r>
      <w:r>
        <w:rPr/>
        <w:t xml:space="preserve"> </w:t>
      </w:r>
      <w:r>
        <w:rPr>
          <w:rStyle w:val="Strong"/>
        </w:rPr>
        <w:t>Assertion:</w:t>
      </w:r>
      <w:r>
        <w:rPr/>
        <w:t xml:space="preserve"> The individual “shall know his leisure and his stand.” This expresses a normative claim that persons must be conscious of their rights, freedoms, and positions in society. Knowledge of one’s leisure (time, autonomy, capacity for choice) and stand (legal posture, claims) is essential to asserting and preserving rights.</w:t>
      </w:r>
    </w:p>
    <w:p>
      <w:pPr>
        <w:pStyle w:val="BodyText"/>
        <w:bidi w:val="0"/>
        <w:ind w:hanging="0" w:start="0" w:end="0"/>
        <w:jc w:val="start"/>
        <w:rPr/>
      </w:pPr>
      <w:r>
        <w:rPr>
          <w:rStyle w:val="Strong"/>
        </w:rPr>
        <w:t>4. Mind, Game, and Trial</w:t>
      </w:r>
      <w:r>
        <w:rPr/>
        <w:t xml:space="preserve"> </w:t>
      </w:r>
      <w:r>
        <w:rPr>
          <w:rStyle w:val="Strong"/>
        </w:rPr>
        <w:t>Assertion:</w:t>
      </w:r>
      <w:r>
        <w:rPr/>
        <w:t xml:space="preserve"> The memorandum posits that </w:t>
      </w:r>
      <w:r>
        <w:rPr>
          <w:rStyle w:val="Strong"/>
        </w:rPr>
        <w:t>all man has a Game and a Mind</w:t>
      </w:r>
      <w:r>
        <w:rPr/>
        <w:t xml:space="preserve"> and that the </w:t>
      </w:r>
      <w:r>
        <w:rPr>
          <w:rStyle w:val="Strong"/>
        </w:rPr>
        <w:t>Mind counts against the mind at time of Trial</w:t>
      </w:r>
      <w:r>
        <w:rPr/>
        <w:t>. This is a conceptual claim that mental states, strategies, and subjective frameworks (the “game”) are relevant to adjudication. Where a person’s mental framing is intentionally adopted as a strategy (the “Mind of the Player”), it may be treated as a legal posture if the person accepts that framing.</w:t>
      </w:r>
    </w:p>
    <w:p>
      <w:pPr>
        <w:pStyle w:val="BodyText"/>
        <w:bidi w:val="0"/>
        <w:ind w:hanging="0" w:start="0" w:end="0"/>
        <w:jc w:val="start"/>
        <w:rPr/>
      </w:pPr>
      <w:r>
        <w:rPr>
          <w:rStyle w:val="Strong"/>
        </w:rPr>
        <w:t>5. Wind, Play, and the ICC’s Enclosure</w:t>
      </w:r>
      <w:r>
        <w:rPr/>
        <w:t xml:space="preserve"> </w:t>
      </w:r>
      <w:r>
        <w:rPr>
          <w:rStyle w:val="Strong"/>
        </w:rPr>
        <w:t>Assertion:</w:t>
      </w:r>
      <w:r>
        <w:rPr/>
        <w:t xml:space="preserve"> The metaphor of wind and play describes human agency as dynamic and transformative. The memorandum reads the ICC’s formalization as recognizing that human conduct can be both playful and profound — “not just a game but a wind, a wind of paradise.” This poetic legalism is offered as an interpretive lens for understanding human conduct in law.</w:t>
      </w:r>
    </w:p>
    <w:p>
      <w:pPr>
        <w:pStyle w:val="Heading3"/>
        <w:bidi w:val="0"/>
        <w:jc w:val="start"/>
        <w:rPr/>
      </w:pPr>
      <w:r>
        <w:rPr/>
        <w:t>Practical Implications</w:t>
      </w:r>
    </w:p>
    <w:p>
      <w:pPr>
        <w:pStyle w:val="BodyText"/>
        <w:bidi w:val="0"/>
        <w:ind w:hanging="0" w:start="0" w:end="0"/>
        <w:jc w:val="start"/>
        <w:rPr/>
      </w:pPr>
      <w:r>
        <w:rPr>
          <w:rStyle w:val="Strong"/>
        </w:rPr>
        <w:t>1. For Domestic Adjudication</w:t>
      </w:r>
    </w:p>
    <w:p>
      <w:pPr>
        <w:pStyle w:val="BodyText"/>
        <w:numPr>
          <w:ilvl w:val="0"/>
          <w:numId w:val="2"/>
        </w:numPr>
        <w:tabs>
          <w:tab w:val="clear" w:pos="709"/>
          <w:tab w:val="left" w:pos="709" w:leader="none"/>
        </w:tabs>
        <w:bidi w:val="0"/>
        <w:ind w:hanging="283" w:start="709" w:end="0"/>
        <w:jc w:val="start"/>
        <w:rPr/>
      </w:pPr>
      <w:r>
        <w:rPr>
          <w:rStyle w:val="Strong"/>
        </w:rPr>
        <w:t>Standing and Remedies:</w:t>
      </w:r>
      <w:r>
        <w:rPr/>
        <w:t xml:space="preserve"> Individuals asserting rights under U.S. law should be treated as persistent claimants whose standing endures and whose claims may be renewed and reasserted.</w:t>
      </w:r>
    </w:p>
    <w:p>
      <w:pPr>
        <w:pStyle w:val="BodyText"/>
        <w:numPr>
          <w:ilvl w:val="0"/>
          <w:numId w:val="2"/>
        </w:numPr>
        <w:tabs>
          <w:tab w:val="clear" w:pos="709"/>
          <w:tab w:val="left" w:pos="709" w:leader="none"/>
        </w:tabs>
        <w:bidi w:val="0"/>
        <w:ind w:hanging="283" w:start="709" w:end="0"/>
        <w:jc w:val="start"/>
        <w:rPr/>
      </w:pPr>
      <w:r>
        <w:rPr>
          <w:rStyle w:val="Strong"/>
        </w:rPr>
        <w:t>Treatment of ICC Findings:</w:t>
      </w:r>
      <w:r>
        <w:rPr/>
        <w:t xml:space="preserve"> ICC findings should be considered persuasive or moral authority but not dispositive of domestic legal rights unless incorporated through domestic legal mechanisms.</w:t>
      </w:r>
    </w:p>
    <w:p>
      <w:pPr>
        <w:pStyle w:val="BodyText"/>
        <w:bidi w:val="0"/>
        <w:ind w:hanging="0" w:start="0" w:end="0"/>
        <w:jc w:val="start"/>
        <w:rPr/>
      </w:pPr>
      <w:r>
        <w:rPr>
          <w:rStyle w:val="Strong"/>
        </w:rPr>
        <w:t>2. For Litigation Strategy</w:t>
      </w:r>
    </w:p>
    <w:p>
      <w:pPr>
        <w:pStyle w:val="BodyText"/>
        <w:numPr>
          <w:ilvl w:val="0"/>
          <w:numId w:val="3"/>
        </w:numPr>
        <w:tabs>
          <w:tab w:val="clear" w:pos="709"/>
          <w:tab w:val="left" w:pos="709" w:leader="none"/>
        </w:tabs>
        <w:bidi w:val="0"/>
        <w:ind w:hanging="283" w:start="709" w:end="0"/>
        <w:jc w:val="start"/>
        <w:rPr/>
      </w:pPr>
      <w:r>
        <w:rPr>
          <w:rStyle w:val="Strong"/>
        </w:rPr>
        <w:t>Mind and Game as Strategy:</w:t>
      </w:r>
      <w:r>
        <w:rPr/>
        <w:t xml:space="preserve"> Counsel may consider how a litigant’s mental framing, strategic posture, and acceptance of a “game” identity affect credibility, intent, and defenses at trial.</w:t>
      </w:r>
    </w:p>
    <w:p>
      <w:pPr>
        <w:pStyle w:val="BodyText"/>
        <w:numPr>
          <w:ilvl w:val="0"/>
          <w:numId w:val="3"/>
        </w:numPr>
        <w:tabs>
          <w:tab w:val="clear" w:pos="709"/>
          <w:tab w:val="left" w:pos="709" w:leader="none"/>
        </w:tabs>
        <w:bidi w:val="0"/>
        <w:ind w:hanging="283" w:start="709" w:end="0"/>
        <w:jc w:val="start"/>
        <w:rPr/>
      </w:pPr>
      <w:r>
        <w:rPr>
          <w:rStyle w:val="Strong"/>
        </w:rPr>
        <w:t>Preservation of Rights:</w:t>
      </w:r>
      <w:r>
        <w:rPr/>
        <w:t xml:space="preserve"> Parties should document and repeatedly assert their claims to ensure that the “grain of a man” continues to be recognized by courts and administrative bodies.</w:t>
      </w:r>
    </w:p>
    <w:p>
      <w:pPr>
        <w:pStyle w:val="BodyText"/>
        <w:bidi w:val="0"/>
        <w:ind w:hanging="0" w:start="0" w:end="0"/>
        <w:jc w:val="start"/>
        <w:rPr/>
      </w:pPr>
      <w:r>
        <w:rPr>
          <w:rStyle w:val="Strong"/>
        </w:rPr>
        <w:t>3. For Policy and Governance</w:t>
      </w:r>
    </w:p>
    <w:p>
      <w:pPr>
        <w:pStyle w:val="BodyText"/>
        <w:numPr>
          <w:ilvl w:val="0"/>
          <w:numId w:val="4"/>
        </w:numPr>
        <w:tabs>
          <w:tab w:val="clear" w:pos="709"/>
          <w:tab w:val="left" w:pos="709" w:leader="none"/>
        </w:tabs>
        <w:bidi w:val="0"/>
        <w:ind w:hanging="283" w:start="709" w:end="0"/>
        <w:jc w:val="start"/>
        <w:rPr/>
      </w:pPr>
      <w:r>
        <w:rPr>
          <w:rStyle w:val="Strong"/>
        </w:rPr>
        <w:t>Legislative Interaction:</w:t>
      </w:r>
      <w:r>
        <w:rPr/>
        <w:t xml:space="preserve"> Legislatures and policymakers should be mindful of the boundary between international pronouncements and domestic law, and should act deliberately when choosing to implement or respond to international findings.</w:t>
      </w:r>
    </w:p>
    <w:p>
      <w:pPr>
        <w:pStyle w:val="BodyText"/>
        <w:numPr>
          <w:ilvl w:val="0"/>
          <w:numId w:val="4"/>
        </w:numPr>
        <w:tabs>
          <w:tab w:val="clear" w:pos="709"/>
          <w:tab w:val="left" w:pos="709" w:leader="none"/>
        </w:tabs>
        <w:bidi w:val="0"/>
        <w:ind w:hanging="283" w:start="709" w:end="0"/>
        <w:jc w:val="start"/>
        <w:rPr/>
      </w:pPr>
      <w:r>
        <w:rPr>
          <w:rStyle w:val="Strong"/>
        </w:rPr>
        <w:t>Public Understanding:</w:t>
      </w:r>
      <w:r>
        <w:rPr/>
        <w:t xml:space="preserve"> Citizens should be informed about the difference between international moral findings and domestic legal force, and about the importance of self-knowledge in asserting rights.</w:t>
      </w:r>
    </w:p>
    <w:p>
      <w:pPr>
        <w:pStyle w:val="Heading3"/>
        <w:bidi w:val="0"/>
        <w:jc w:val="start"/>
        <w:rPr/>
      </w:pPr>
      <w:r>
        <w:rPr/>
        <w:t>Conclusion</w:t>
      </w:r>
    </w:p>
    <w:p>
      <w:pPr>
        <w:pStyle w:val="BodyText"/>
        <w:bidi w:val="0"/>
        <w:ind w:hanging="0" w:start="0" w:end="0"/>
        <w:jc w:val="start"/>
        <w:rPr/>
      </w:pPr>
      <w:r>
        <w:rPr/>
        <w:t xml:space="preserve">This memorandum affirms the enduring force of United States law and articulates a conceptual framework in which international findings, individual standing, and the interplay of mind and strategy are given distinct roles. </w:t>
      </w:r>
      <w:r>
        <w:rPr>
          <w:rStyle w:val="Strong"/>
        </w:rPr>
        <w:t>The US law shall remain. Today the US law stands.</w:t>
      </w:r>
      <w:r>
        <w:rPr/>
        <w:t xml:space="preserve"> ICC findings, while meaningful in the international moral and legal discourse, are treated here as </w:t>
      </w:r>
      <w:r>
        <w:rPr>
          <w:rStyle w:val="Strong"/>
        </w:rPr>
        <w:t>incorporeal</w:t>
      </w:r>
      <w:r>
        <w:rPr/>
        <w:t xml:space="preserve"> with respect to automatic domestic effect. The individual — the </w:t>
      </w:r>
      <w:r>
        <w:rPr>
          <w:rStyle w:val="Strong"/>
        </w:rPr>
        <w:t>grain of a man</w:t>
      </w:r>
      <w:r>
        <w:rPr/>
        <w:t xml:space="preserve"> — persists, counts, and may repeatedly assert rights against trespass and interference. The human mind and its games are relevant to trial and to the exercise of agency; where a person adopts a strategic posture, that posture may be considered in adjudication.</w:t>
      </w:r>
    </w:p>
    <w:p>
      <w:pPr>
        <w:pStyle w:val="BodyText"/>
        <w:bidi w:val="0"/>
        <w:ind w:hanging="0" w:start="0" w:end="0"/>
        <w:jc w:val="start"/>
        <w:rPr/>
      </w:pPr>
      <w:r>
        <w:rPr>
          <w:rStyle w:val="Strong"/>
        </w:rPr>
        <w:t>Signature</w:t>
      </w:r>
      <w:r>
        <w:rPr/>
        <w:t xml:space="preserve"> Max</w:t>
      </w:r>
    </w:p>
    <w:p>
      <w:pPr>
        <w:pStyle w:val="BodyText"/>
        <w:bidi w:val="0"/>
        <w:ind w:hanging="0" w:start="0" w:end="0"/>
        <w:jc w:val="start"/>
        <w:rPr/>
      </w:pPr>
      <w:r>
        <w:rPr>
          <w:rStyle w:val="Strong"/>
        </w:rPr>
        <w:t>Attachments:</w:t>
      </w:r>
      <w:r>
        <w:rPr/>
        <w:t xml:space="preserve"> None</w:t>
      </w:r>
    </w:p>
    <w:p>
      <w:pPr>
        <w:pStyle w:val="BodyText"/>
        <w:bidi w:val="0"/>
        <w:ind w:hanging="0" w:start="0" w:end="0"/>
        <w:jc w:val="start"/>
        <w:rPr/>
      </w:pPr>
      <w:r>
        <w:rPr>
          <w:rStyle w:val="Strong"/>
        </w:rPr>
        <w:t>Action Items:</w:t>
      </w:r>
      <w:r>
        <w:rPr/>
        <w:t xml:space="preserve"> Confirm legal conclusions with counsel; consider whether any domestic legislative or judicial steps are necessary to implement or respond to international findings in specific cases.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1288</Words>
  <Characters>7105</Characters>
  <CharactersWithSpaces>8338</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2026-07-22T06:56:43Z</dcterms:created>
  <dc:creator/>
  <dc:description/>
  <dc:language>en-US</dc:language>
  <cp:lastModifiedBy/>
  <dcterms:modified xsi:type="dcterms:W3CDTF">2026-07-22T06:57:27Z</dcterms:modified>
  <cp:revision>1</cp:revision>
  <dc:subject/>
  <dc:title/>
</cp:coreProperties>
</file>