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MEMORANDUM</w:t>
      </w:r>
    </w:p>
    <w:p>
      <w:pPr>
        <w:pStyle w:val="Heading2"/>
        <w:bidi w:val="0"/>
        <w:jc w:val="start"/>
        <w:rPr/>
      </w:pPr>
      <w:r>
        <w:rPr/>
        <w:t>Subject: A Philosophical Memorandum Concerning the Continuity of United States Law, the Nature of Personhood, and a Hypothetical Framework of Mind, Judgment, and Human Standing</w:t>
      </w:r>
    </w:p>
    <w:p>
      <w:pPr>
        <w:pStyle w:val="Heading3"/>
        <w:bidi w:val="0"/>
        <w:jc w:val="start"/>
        <w:rPr/>
      </w:pPr>
      <w:r>
        <w:rPr/>
        <w:t>I. Executive Statement</w:t>
      </w:r>
    </w:p>
    <w:p>
      <w:pPr>
        <w:pStyle w:val="BodyText"/>
        <w:bidi w:val="0"/>
        <w:jc w:val="start"/>
        <w:rPr/>
      </w:pPr>
      <w:r>
        <w:rPr/>
        <w:t>This memorandum presents a philosophical and jurisprudential proposition concerning the continuity of law, the standing of the individual person, and the symbolic relationship between mind, judgment, and legal order. It is written as an exercise in legal philosophy rather than as a statement of existing United States or international law.</w:t>
      </w:r>
    </w:p>
    <w:p>
      <w:pPr>
        <w:pStyle w:val="BodyText"/>
        <w:bidi w:val="0"/>
        <w:jc w:val="start"/>
        <w:rPr/>
      </w:pPr>
      <w:r>
        <w:rPr/>
        <w:t>The first proposition is that the law of the United States shall remain. The constitutional order continues through its institutions, courts, legislatures, and the rule of law. The legal system exists not merely as a collection of statutes but as an enduring framework through which rights, duties, and justice are administered. Today the law of the United States stands, and its continued existence represents the continuity of civil government and constitutional authority.</w:t>
      </w:r>
    </w:p>
    <w:p>
      <w:pPr>
        <w:pStyle w:val="BodyText"/>
        <w:bidi w:val="0"/>
        <w:jc w:val="start"/>
        <w:rPr/>
      </w:pPr>
      <w:r>
        <w:rPr/>
        <w:t>Within this hypothetical framework, legal standing is understood not only as procedural recognition but also as the acknowledgment that every person possesses an enduring identity which law seeks to recognize and protect.</w:t>
      </w:r>
    </w:p>
    <w:p>
      <w:pPr>
        <w:pStyle w:val="HorizontalLine"/>
        <w:bidi w:val="0"/>
        <w:jc w:val="start"/>
        <w:rPr/>
      </w:pPr>
      <w:r>
        <w:rPr/>
      </w:r>
    </w:p>
    <w:p>
      <w:pPr>
        <w:pStyle w:val="Heading2"/>
        <w:bidi w:val="0"/>
        <w:jc w:val="start"/>
        <w:rPr/>
      </w:pPr>
      <w:r>
        <w:rPr/>
        <w:t>II. On Standing and Incorporeal Identity</w:t>
      </w:r>
    </w:p>
    <w:p>
      <w:pPr>
        <w:pStyle w:val="BodyText"/>
        <w:bidi w:val="0"/>
        <w:jc w:val="start"/>
        <w:rPr/>
      </w:pPr>
      <w:r>
        <w:rPr/>
        <w:t>Suppose that every lawful finding respecting a person recognizes not merely the physical individual but an incorporeal continuity of identity—that is, the enduring recognition that a person knows his or her own name throughout all time. Such a conception is philosophical rather than doctrinal. It suggests that identity survives every ordinary change because law continually recognizes the same legal person.</w:t>
      </w:r>
    </w:p>
    <w:p>
      <w:pPr>
        <w:pStyle w:val="BodyText"/>
        <w:bidi w:val="0"/>
        <w:jc w:val="start"/>
        <w:rPr/>
      </w:pPr>
      <w:r>
        <w:rPr/>
        <w:t>Under this conception, every formal judgment seeks completeness. A finding reaches beyond temporary disputes and attempts to resolve matters with clarity, permanence, and finality. The objective of judgment is therefore not fragmentation but completion.</w:t>
      </w:r>
    </w:p>
    <w:p>
      <w:pPr>
        <w:pStyle w:val="BodyText"/>
        <w:bidi w:val="0"/>
        <w:jc w:val="start"/>
        <w:rPr/>
      </w:pPr>
      <w:r>
        <w:rPr/>
        <w:t>Accordingly, every lawful determination seeks to establish a complete record, a complete finding, and a complete recognition of the person appearing before lawful authority.</w:t>
      </w:r>
    </w:p>
    <w:p>
      <w:pPr>
        <w:pStyle w:val="HorizontalLine"/>
        <w:bidi w:val="0"/>
        <w:jc w:val="start"/>
        <w:rPr/>
      </w:pPr>
      <w:r>
        <w:rPr/>
      </w:r>
    </w:p>
    <w:p>
      <w:pPr>
        <w:pStyle w:val="Heading2"/>
        <w:bidi w:val="0"/>
        <w:jc w:val="start"/>
        <w:rPr/>
      </w:pPr>
      <w:r>
        <w:rPr/>
        <w:t>III. The Measure of the Individual</w:t>
      </w:r>
    </w:p>
    <w:p>
      <w:pPr>
        <w:pStyle w:val="BodyText"/>
        <w:bidi w:val="0"/>
        <w:jc w:val="start"/>
        <w:rPr/>
      </w:pPr>
      <w:r>
        <w:rPr/>
        <w:t>Within this philosophical model, every grain of a man counts.</w:t>
      </w:r>
    </w:p>
    <w:p>
      <w:pPr>
        <w:pStyle w:val="BodyText"/>
        <w:bidi w:val="0"/>
        <w:jc w:val="start"/>
        <w:rPr/>
      </w:pPr>
      <w:r>
        <w:rPr/>
        <w:t>Every action counts.</w:t>
      </w:r>
    </w:p>
    <w:p>
      <w:pPr>
        <w:pStyle w:val="BodyText"/>
        <w:bidi w:val="0"/>
        <w:jc w:val="start"/>
        <w:rPr/>
      </w:pPr>
      <w:r>
        <w:rPr/>
        <w:t>Every decision counts.</w:t>
      </w:r>
    </w:p>
    <w:p>
      <w:pPr>
        <w:pStyle w:val="BodyText"/>
        <w:bidi w:val="0"/>
        <w:jc w:val="start"/>
        <w:rPr/>
      </w:pPr>
      <w:r>
        <w:rPr/>
        <w:t>Every lawful act counts again because it becomes part of the continuing history of the individual.</w:t>
      </w:r>
    </w:p>
    <w:p>
      <w:pPr>
        <w:pStyle w:val="BodyText"/>
        <w:bidi w:val="0"/>
        <w:jc w:val="start"/>
        <w:rPr/>
      </w:pPr>
      <w:r>
        <w:rPr/>
        <w:t>The phrase "a grain of a man counts" symbolizes the proposition that no lawful act is entirely without consequence. Character is built incrementally. Responsibility accumulates through repeated choices. Every lawful proceeding considers not merely isolated moments but the totality of conduct relevant to the question before it.</w:t>
      </w:r>
    </w:p>
    <w:p>
      <w:pPr>
        <w:pStyle w:val="BodyText"/>
        <w:bidi w:val="0"/>
        <w:jc w:val="start"/>
        <w:rPr/>
      </w:pPr>
      <w:r>
        <w:rPr/>
        <w:t>Likewise, every grain stands against trespass. Trespass, whether understood literally or metaphorically, represents the crossing of lawful boundaries. Law distinguishes between rightful conduct and unauthorized intrusion. Every lawful person therefore possesses a protected sphere within which his rights remain recognized.</w:t>
      </w:r>
    </w:p>
    <w:p>
      <w:pPr>
        <w:pStyle w:val="BodyText"/>
        <w:bidi w:val="0"/>
        <w:jc w:val="start"/>
        <w:rPr/>
      </w:pPr>
      <w:r>
        <w:rPr/>
        <w:t>The individual contains history.</w:t>
      </w:r>
    </w:p>
    <w:p>
      <w:pPr>
        <w:pStyle w:val="BodyText"/>
        <w:bidi w:val="0"/>
        <w:jc w:val="start"/>
        <w:rPr/>
      </w:pPr>
      <w:r>
        <w:rPr/>
        <w:t>The individual remains.</w:t>
      </w:r>
    </w:p>
    <w:p>
      <w:pPr>
        <w:pStyle w:val="BodyText"/>
        <w:bidi w:val="0"/>
        <w:jc w:val="start"/>
        <w:rPr/>
      </w:pPr>
      <w:r>
        <w:rPr/>
        <w:t>The individual continues despite change.</w:t>
      </w:r>
    </w:p>
    <w:p>
      <w:pPr>
        <w:pStyle w:val="BodyText"/>
        <w:bidi w:val="0"/>
        <w:jc w:val="start"/>
        <w:rPr/>
      </w:pPr>
      <w:r>
        <w:rPr/>
        <w:t>Law recognizes continuity rather than disappearance.</w:t>
      </w:r>
    </w:p>
    <w:p>
      <w:pPr>
        <w:pStyle w:val="HorizontalLine"/>
        <w:bidi w:val="0"/>
        <w:jc w:val="start"/>
        <w:rPr/>
      </w:pPr>
      <w:r>
        <w:rPr/>
      </w:r>
    </w:p>
    <w:p>
      <w:pPr>
        <w:pStyle w:val="Heading2"/>
        <w:bidi w:val="0"/>
        <w:jc w:val="start"/>
        <w:rPr/>
      </w:pPr>
      <w:r>
        <w:rPr/>
        <w:t>IV. Leisure, Standing, and Self-Knowledge</w:t>
      </w:r>
    </w:p>
    <w:p>
      <w:pPr>
        <w:pStyle w:val="BodyText"/>
        <w:bidi w:val="0"/>
        <w:jc w:val="start"/>
        <w:rPr/>
      </w:pPr>
      <w:r>
        <w:rPr/>
        <w:t>Every person shall know his leisure and his stand.</w:t>
      </w:r>
    </w:p>
    <w:p>
      <w:pPr>
        <w:pStyle w:val="BodyText"/>
        <w:bidi w:val="0"/>
        <w:jc w:val="start"/>
        <w:rPr/>
      </w:pPr>
      <w:r>
        <w:rPr/>
        <w:t>Leisure, in this context, signifies the sphere within which the individual freely exercises judgment, reflection, education, family life, vocation, and personal development. The existence of lawful liberty presupposes such a sphere.</w:t>
      </w:r>
    </w:p>
    <w:p>
      <w:pPr>
        <w:pStyle w:val="BodyText"/>
        <w:bidi w:val="0"/>
        <w:jc w:val="start"/>
        <w:rPr/>
      </w:pPr>
      <w:r>
        <w:rPr/>
        <w:t>Standing represents the individual's recognized place within society under law.</w:t>
      </w:r>
    </w:p>
    <w:p>
      <w:pPr>
        <w:pStyle w:val="BodyText"/>
        <w:bidi w:val="0"/>
        <w:jc w:val="start"/>
        <w:rPr/>
      </w:pPr>
      <w:r>
        <w:rPr/>
        <w:t>Together these concepts suggest that freedom requires both liberty and responsibility. A person cannot meaningfully exercise freedom without understanding both his rights and his obligations.</w:t>
      </w:r>
    </w:p>
    <w:p>
      <w:pPr>
        <w:pStyle w:val="BodyText"/>
        <w:bidi w:val="0"/>
        <w:jc w:val="start"/>
        <w:rPr/>
      </w:pPr>
      <w:r>
        <w:rPr/>
        <w:t>Thus, lawful society depends upon individuals who recognize both the extent and the limits of their own actions.</w:t>
      </w:r>
    </w:p>
    <w:p>
      <w:pPr>
        <w:pStyle w:val="HorizontalLine"/>
        <w:bidi w:val="0"/>
        <w:jc w:val="start"/>
        <w:rPr/>
      </w:pPr>
      <w:r>
        <w:rPr/>
      </w:r>
    </w:p>
    <w:p>
      <w:pPr>
        <w:pStyle w:val="Heading2"/>
        <w:bidi w:val="0"/>
        <w:jc w:val="start"/>
        <w:rPr/>
      </w:pPr>
      <w:r>
        <w:rPr/>
        <w:t>V. Mind and the Nature of Judgment</w:t>
      </w:r>
    </w:p>
    <w:p>
      <w:pPr>
        <w:pStyle w:val="BodyText"/>
        <w:bidi w:val="0"/>
        <w:jc w:val="start"/>
        <w:rPr/>
      </w:pPr>
      <w:r>
        <w:rPr/>
        <w:t>Suppose further that every person possesses both a mind and participation in life's many "games"—that is, the structured activities, roles, institutions, and contests through which human beings pursue knowledge, commerce, justice, education, politics, and community.</w:t>
      </w:r>
    </w:p>
    <w:p>
      <w:pPr>
        <w:pStyle w:val="BodyText"/>
        <w:bidi w:val="0"/>
        <w:jc w:val="start"/>
        <w:rPr/>
      </w:pPr>
      <w:r>
        <w:rPr/>
        <w:t>Within this symbolic framework, the Supreme Court is imagined as hearing the following proposition:</w:t>
      </w:r>
    </w:p>
    <w:p>
      <w:pPr>
        <w:pStyle w:val="BodyText"/>
        <w:bidi w:val="0"/>
        <w:jc w:val="start"/>
        <w:rPr/>
      </w:pPr>
      <w:r>
        <w:rPr/>
        <w:t>That every person possesses a mind.</w:t>
      </w:r>
    </w:p>
    <w:p>
      <w:pPr>
        <w:pStyle w:val="BodyText"/>
        <w:bidi w:val="0"/>
        <w:jc w:val="start"/>
        <w:rPr/>
      </w:pPr>
      <w:r>
        <w:rPr/>
        <w:t>That every person participates in structured human activity.</w:t>
      </w:r>
    </w:p>
    <w:p>
      <w:pPr>
        <w:pStyle w:val="BodyText"/>
        <w:bidi w:val="0"/>
        <w:jc w:val="start"/>
        <w:rPr/>
      </w:pPr>
      <w:r>
        <w:rPr/>
        <w:t>That the mind itself evaluates conduct during moments of judgment.</w:t>
      </w:r>
    </w:p>
    <w:p>
      <w:pPr>
        <w:pStyle w:val="BodyText"/>
        <w:bidi w:val="0"/>
        <w:jc w:val="start"/>
        <w:rPr/>
      </w:pPr>
      <w:r>
        <w:rPr/>
        <w:t>At trial, evidence is examined externally while intention, understanding, and state of mind remain relevant wherever the law recognizes them. The mind therefore becomes inseparable from legal responsibility because many legal questions require inquiry into knowledge, intent, recklessness, negligence, or purpose.</w:t>
      </w:r>
    </w:p>
    <w:p>
      <w:pPr>
        <w:pStyle w:val="BodyText"/>
        <w:bidi w:val="0"/>
        <w:jc w:val="start"/>
        <w:rPr/>
      </w:pPr>
      <w:r>
        <w:rPr/>
        <w:t>The "game" is not understood as deception. Rather, it symbolizes the organized structures through which human life proceeds—its rules, institutions, obligations, and opportunities.</w:t>
      </w:r>
    </w:p>
    <w:p>
      <w:pPr>
        <w:pStyle w:val="HorizontalLine"/>
        <w:bidi w:val="0"/>
        <w:jc w:val="start"/>
        <w:rPr/>
      </w:pPr>
      <w:r>
        <w:rPr/>
      </w:r>
    </w:p>
    <w:p>
      <w:pPr>
        <w:pStyle w:val="Heading2"/>
        <w:bidi w:val="0"/>
        <w:jc w:val="start"/>
        <w:rPr/>
      </w:pPr>
      <w:r>
        <w:rPr/>
        <w:t>VI. The Mind of the Player</w:t>
      </w:r>
    </w:p>
    <w:p>
      <w:pPr>
        <w:pStyle w:val="BodyText"/>
        <w:bidi w:val="0"/>
        <w:jc w:val="start"/>
        <w:rPr/>
      </w:pPr>
      <w:r>
        <w:rPr/>
        <w:t>Assume that a person recognizes life as participation within many lawful systems.</w:t>
      </w:r>
    </w:p>
    <w:p>
      <w:pPr>
        <w:pStyle w:val="BodyText"/>
        <w:bidi w:val="0"/>
        <w:jc w:val="start"/>
        <w:rPr/>
      </w:pPr>
      <w:r>
        <w:rPr/>
        <w:t>The citizen participates.</w:t>
      </w:r>
    </w:p>
    <w:p>
      <w:pPr>
        <w:pStyle w:val="BodyText"/>
        <w:bidi w:val="0"/>
        <w:jc w:val="start"/>
        <w:rPr/>
      </w:pPr>
      <w:r>
        <w:rPr/>
        <w:t>The student participates.</w:t>
      </w:r>
    </w:p>
    <w:p>
      <w:pPr>
        <w:pStyle w:val="BodyText"/>
        <w:bidi w:val="0"/>
        <w:jc w:val="start"/>
        <w:rPr/>
      </w:pPr>
      <w:r>
        <w:rPr/>
        <w:t>The worker participates.</w:t>
      </w:r>
    </w:p>
    <w:p>
      <w:pPr>
        <w:pStyle w:val="BodyText"/>
        <w:bidi w:val="0"/>
        <w:jc w:val="start"/>
        <w:rPr/>
      </w:pPr>
      <w:r>
        <w:rPr/>
        <w:t>The judge participates.</w:t>
      </w:r>
    </w:p>
    <w:p>
      <w:pPr>
        <w:pStyle w:val="BodyText"/>
        <w:bidi w:val="0"/>
        <w:jc w:val="start"/>
        <w:rPr/>
      </w:pPr>
      <w:r>
        <w:rPr/>
        <w:t>The advocate participates.</w:t>
      </w:r>
    </w:p>
    <w:p>
      <w:pPr>
        <w:pStyle w:val="BodyText"/>
        <w:bidi w:val="0"/>
        <w:jc w:val="start"/>
        <w:rPr/>
      </w:pPr>
      <w:r>
        <w:rPr/>
        <w:t>Each occupies a role governed by rules.</w:t>
      </w:r>
    </w:p>
    <w:p>
      <w:pPr>
        <w:pStyle w:val="BodyText"/>
        <w:bidi w:val="0"/>
        <w:jc w:val="start"/>
        <w:rPr/>
      </w:pPr>
      <w:r>
        <w:rPr/>
        <w:t>Under this metaphor, the player is not reduced to the game. Instead, the player exists before the game and beyond it. Human dignity is not exhausted by institutional participation.</w:t>
      </w:r>
    </w:p>
    <w:p>
      <w:pPr>
        <w:pStyle w:val="BodyText"/>
        <w:bidi w:val="0"/>
        <w:jc w:val="start"/>
        <w:rPr/>
      </w:pPr>
      <w:r>
        <w:rPr/>
        <w:t>Accordingly, while life contains many structured contests, the individual remains greater than any single institution through which he passes.</w:t>
      </w:r>
    </w:p>
    <w:p>
      <w:pPr>
        <w:pStyle w:val="BodyText"/>
        <w:bidi w:val="0"/>
        <w:jc w:val="start"/>
        <w:rPr/>
      </w:pPr>
      <w:r>
        <w:rPr/>
        <w:t>The mind evaluates those institutions while simultaneously participating within them.</w:t>
      </w:r>
    </w:p>
    <w:p>
      <w:pPr>
        <w:pStyle w:val="HorizontalLine"/>
        <w:bidi w:val="0"/>
        <w:jc w:val="start"/>
        <w:rPr/>
      </w:pPr>
      <w:r>
        <w:rPr/>
      </w:r>
    </w:p>
    <w:p>
      <w:pPr>
        <w:pStyle w:val="Heading2"/>
        <w:bidi w:val="0"/>
        <w:jc w:val="start"/>
        <w:rPr/>
      </w:pPr>
      <w:r>
        <w:rPr/>
        <w:t>VII. Wind, Motion, and Human Continuity</w:t>
      </w:r>
    </w:p>
    <w:p>
      <w:pPr>
        <w:pStyle w:val="BodyText"/>
        <w:bidi w:val="0"/>
        <w:jc w:val="start"/>
        <w:rPr/>
      </w:pPr>
      <w:r>
        <w:rPr/>
        <w:t>Within this philosophical memorandum, let "wind" symbolize movement, freedom, thought, and living continuity.</w:t>
      </w:r>
    </w:p>
    <w:p>
      <w:pPr>
        <w:pStyle w:val="BodyText"/>
        <w:bidi w:val="0"/>
        <w:jc w:val="start"/>
        <w:rPr/>
      </w:pPr>
      <w:r>
        <w:rPr/>
        <w:t>The individual is not merely a participant in fixed systems.</w:t>
      </w:r>
    </w:p>
    <w:p>
      <w:pPr>
        <w:pStyle w:val="BodyText"/>
        <w:bidi w:val="0"/>
        <w:jc w:val="start"/>
        <w:rPr/>
      </w:pPr>
      <w:r>
        <w:rPr/>
        <w:t>The individual also moves.</w:t>
      </w:r>
    </w:p>
    <w:p>
      <w:pPr>
        <w:pStyle w:val="BodyText"/>
        <w:bidi w:val="0"/>
        <w:jc w:val="start"/>
        <w:rPr/>
      </w:pPr>
      <w:r>
        <w:rPr/>
        <w:t>He learns.</w:t>
      </w:r>
    </w:p>
    <w:p>
      <w:pPr>
        <w:pStyle w:val="BodyText"/>
        <w:bidi w:val="0"/>
        <w:jc w:val="start"/>
        <w:rPr/>
      </w:pPr>
      <w:r>
        <w:rPr/>
        <w:t>He changes.</w:t>
      </w:r>
    </w:p>
    <w:p>
      <w:pPr>
        <w:pStyle w:val="BodyText"/>
        <w:bidi w:val="0"/>
        <w:jc w:val="start"/>
        <w:rPr/>
      </w:pPr>
      <w:r>
        <w:rPr/>
        <w:t>He grows.</w:t>
      </w:r>
    </w:p>
    <w:p>
      <w:pPr>
        <w:pStyle w:val="BodyText"/>
        <w:bidi w:val="0"/>
        <w:jc w:val="start"/>
        <w:rPr/>
      </w:pPr>
      <w:r>
        <w:rPr/>
        <w:t>He reflects.</w:t>
      </w:r>
    </w:p>
    <w:p>
      <w:pPr>
        <w:pStyle w:val="BodyText"/>
        <w:bidi w:val="0"/>
        <w:jc w:val="start"/>
        <w:rPr/>
      </w:pPr>
      <w:r>
        <w:rPr/>
        <w:t>Like the wind, human life cannot always be understood through rigid categories alone.</w:t>
      </w:r>
    </w:p>
    <w:p>
      <w:pPr>
        <w:pStyle w:val="BodyText"/>
        <w:bidi w:val="0"/>
        <w:jc w:val="start"/>
        <w:rPr/>
      </w:pPr>
      <w:r>
        <w:rPr/>
        <w:t>The metaphor suggests that lawful society must account both for order and for the living nature of persons who continually develop through experience.</w:t>
      </w:r>
    </w:p>
    <w:p>
      <w:pPr>
        <w:pStyle w:val="BodyText"/>
        <w:bidi w:val="0"/>
        <w:jc w:val="start"/>
        <w:rPr/>
      </w:pPr>
      <w:r>
        <w:rPr/>
        <w:t>Thus, the person is not merely a player within institutions but also a living agent capable of wisdom, growth, and renewal.</w:t>
      </w:r>
    </w:p>
    <w:p>
      <w:pPr>
        <w:pStyle w:val="HorizontalLine"/>
        <w:bidi w:val="0"/>
        <w:jc w:val="start"/>
        <w:rPr/>
      </w:pPr>
      <w:r>
        <w:rPr/>
      </w:r>
    </w:p>
    <w:p>
      <w:pPr>
        <w:pStyle w:val="Heading2"/>
        <w:bidi w:val="0"/>
        <w:jc w:val="start"/>
        <w:rPr/>
      </w:pPr>
      <w:r>
        <w:rPr/>
        <w:t>VIII. Community, Law, and Complaint</w:t>
      </w:r>
    </w:p>
    <w:p>
      <w:pPr>
        <w:pStyle w:val="BodyText"/>
        <w:bidi w:val="0"/>
        <w:jc w:val="start"/>
        <w:rPr/>
      </w:pPr>
      <w:r>
        <w:rPr/>
        <w:t>Questions naturally arise.</w:t>
      </w:r>
    </w:p>
    <w:p>
      <w:pPr>
        <w:pStyle w:val="BodyText"/>
        <w:bidi w:val="0"/>
        <w:jc w:val="start"/>
        <w:rPr/>
      </w:pPr>
      <w:r>
        <w:rPr/>
        <w:t>Did the individual formalize a lawful petition?</w:t>
      </w:r>
    </w:p>
    <w:p>
      <w:pPr>
        <w:pStyle w:val="BodyText"/>
        <w:bidi w:val="0"/>
        <w:jc w:val="start"/>
        <w:rPr/>
      </w:pPr>
      <w:r>
        <w:rPr/>
        <w:t>Did the individual present a complaint?</w:t>
      </w:r>
    </w:p>
    <w:p>
      <w:pPr>
        <w:pStyle w:val="BodyText"/>
        <w:bidi w:val="0"/>
        <w:jc w:val="start"/>
        <w:rPr/>
      </w:pPr>
      <w:r>
        <w:rPr/>
        <w:t>Did the individual seek lawful review?</w:t>
      </w:r>
    </w:p>
    <w:p>
      <w:pPr>
        <w:pStyle w:val="BodyText"/>
        <w:bidi w:val="0"/>
        <w:jc w:val="start"/>
        <w:rPr/>
      </w:pPr>
      <w:r>
        <w:rPr/>
        <w:t>Did the individual invoke the institutions established for justice?</w:t>
      </w:r>
    </w:p>
    <w:p>
      <w:pPr>
        <w:pStyle w:val="BodyText"/>
        <w:bidi w:val="0"/>
        <w:jc w:val="start"/>
        <w:rPr/>
      </w:pPr>
      <w:r>
        <w:rPr/>
        <w:t>Within constitutional government, disagreement itself is not opposition to law. Rather, lawful petition, lawful appeal, lawful advocacy, and lawful review constitute recognized mechanisms through which justice may be pursued.</w:t>
      </w:r>
    </w:p>
    <w:p>
      <w:pPr>
        <w:pStyle w:val="BodyText"/>
        <w:bidi w:val="0"/>
        <w:jc w:val="start"/>
        <w:rPr/>
      </w:pPr>
      <w:r>
        <w:rPr/>
        <w:t>Accordingly, lawful institutions distinguish between orderly legal process and conduct inconsistent with legal obligations. The continued functioning of constitutional government depends upon preserving these distinctions.</w:t>
      </w:r>
    </w:p>
    <w:p>
      <w:pPr>
        <w:pStyle w:val="HorizontalLine"/>
        <w:bidi w:val="0"/>
        <w:jc w:val="start"/>
        <w:rPr/>
      </w:pPr>
      <w:r>
        <w:rPr/>
      </w:r>
    </w:p>
    <w:p>
      <w:pPr>
        <w:pStyle w:val="Heading2"/>
        <w:bidi w:val="0"/>
        <w:jc w:val="start"/>
        <w:rPr/>
      </w:pPr>
      <w:r>
        <w:rPr/>
        <w:t>IX. Conclusion</w:t>
      </w:r>
    </w:p>
    <w:p>
      <w:pPr>
        <w:pStyle w:val="BodyText"/>
        <w:bidi w:val="0"/>
        <w:jc w:val="start"/>
        <w:rPr/>
      </w:pPr>
      <w:r>
        <w:rPr/>
        <w:t>This memorandum advances a philosophical vision in which law recognizes both the external actions and the enduring identity of the individual. It proposes that every person possesses measurable acts, continuing responsibility, and a mind through which judgment is exercised.</w:t>
      </w:r>
    </w:p>
    <w:p>
      <w:pPr>
        <w:pStyle w:val="BodyText"/>
        <w:bidi w:val="0"/>
        <w:jc w:val="start"/>
        <w:rPr/>
      </w:pPr>
      <w:r>
        <w:rPr/>
        <w:t>Within this symbolic framework, the law of the United States remains a continuing institution of constitutional governance. Every lawful proceeding seeks completeness. Every person retains enduring identity. Every action contributes to personal history. Every lawful judgment recognizes both conduct and intention where appropriate.</w:t>
      </w:r>
    </w:p>
    <w:p>
      <w:pPr>
        <w:pStyle w:val="BodyText"/>
        <w:bidi w:val="0"/>
        <w:jc w:val="start"/>
        <w:rPr/>
      </w:pPr>
      <w:r>
        <w:rPr/>
        <w:t>Finally, the individual is imagined not merely as a participant in life's many games but as a living person whose movement resembles the wind: capable of learning, capable of reflection, capable of growth, and capable of seeking justice through lawful institutions. The enduring purpose of law, under this philosophical conception, is to preserve order while recognizing the continuing dignity, responsibility, and standing of every person who comes before it.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1134</Words>
  <Characters>6937</Characters>
  <CharactersWithSpaces>7999</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2026-07-22T06:57:39Z</dcterms:created>
  <dc:creator/>
  <dc:description/>
  <dc:language>en-US</dc:language>
  <cp:lastModifiedBy/>
  <dcterms:modified xsi:type="dcterms:W3CDTF">2026-07-22T06:58:01Z</dcterms:modified>
  <cp:revision>1</cp:revision>
  <dc:subject/>
  <dc:title/>
</cp:coreProperties>
</file>