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Weinerman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Chapter 6 -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When is conflict good or healthy?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Conflict is good and healthy when you the conflict you confront will share your personal development. Moral life is made of conflicts. As a child we must have conflict between being ourselves or following others,  as an adolescent we must look beyond our own group to develop respect for all human beings. Without conflict there is no growth. Growth is good and healthy.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When is conflict bad?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Conflict is bad when it is the opposite of what was presented pervious. Conflict is bad when it became personal deconstruction instead of growth.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 What would you do it you were in the situation described at the beginning of this chapter? What are the relevant factors that might alter your decision?</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would move the factory to the other country, and then use some of the money made to help invest in small businesses in the community to carry the economic weight that the factory once had. The factors that I might consider would be the various conflicts that make up the problem. The face the conflict through dialogue. And then lastly, then show that through dialogue there is more than one solution to the problem.</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