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color w:val="000000"/>
          <w:sz w:val="44"/>
        </w:rPr>
        <w:t>MEBATSION MEZGEBU GASHE</w:t>
      </w:r>
    </w:p>
    <w:p>
      <w:pPr>
        <w:spacing w:after="80"/>
        <w:jc w:val="center"/>
      </w:pPr>
      <w:r>
        <w:rPr>
          <w:b/>
          <w:color w:val="000000"/>
          <w:sz w:val="20"/>
        </w:rPr>
        <w:t>FINTECH BUSINESS DEVELOPMENT   •   STRATEGIC PARTNERSHIPS   •   KEY ACCOUNT LEADERSHIP</w:t>
      </w:r>
    </w:p>
    <w:p>
      <w:pPr>
        <w:spacing w:after="40"/>
        <w:jc w:val="center"/>
      </w:pPr>
      <w:r>
        <w:rPr>
          <w:color w:val="1A1A1A"/>
          <w:sz w:val="19"/>
        </w:rPr>
        <w:t>Addis Ababa, Ethiopia</w:t>
      </w:r>
      <w:r>
        <w:rPr>
          <w:color w:val="1A1A1A"/>
          <w:sz w:val="19"/>
        </w:rPr>
        <w:t xml:space="preserve">   •   </w:t>
      </w:r>
      <w:r>
        <w:rPr>
          <w:color w:val="1A1A1A"/>
          <w:sz w:val="19"/>
        </w:rPr>
        <w:t>+251 922 877 201</w:t>
      </w:r>
      <w:r>
        <w:rPr>
          <w:color w:val="1A1A1A"/>
          <w:sz w:val="19"/>
        </w:rPr>
        <w:t xml:space="preserve">   •   </w:t>
      </w:r>
      <w:r>
        <w:rPr>
          <w:color w:val="1A1A1A"/>
          <w:sz w:val="19"/>
        </w:rPr>
        <w:t>+251 955 838 083</w:t>
      </w:r>
      <w:r>
        <w:rPr>
          <w:color w:val="1A1A1A"/>
          <w:sz w:val="19"/>
        </w:rPr>
        <w:t xml:space="preserve">   •   </w:t>
      </w:r>
      <w:hyperlink r:id="rId9">
        <w:r>
          <w:rPr>
            <w:rFonts w:ascii="Calibri" w:hAnsi="Calibri"/>
            <w:sz w:val="19"/>
            <w:color w:val="000000"/>
            <w:u w:val="single"/>
          </w:rPr>
          <w:t>Mebatsionmezgebu@gmail.com</w:t>
        </w:r>
      </w:hyperlink>
      <w:r>
        <w:rPr>
          <w:color w:val="1A1A1A"/>
          <w:sz w:val="19"/>
        </w:rPr>
        <w:t xml:space="preserve">   •   </w:t>
      </w:r>
      <w:hyperlink r:id="rId10">
        <w:r>
          <w:rPr>
            <w:rFonts w:ascii="Calibri" w:hAnsi="Calibri"/>
            <w:sz w:val="19"/>
            <w:color w:val="000000"/>
            <w:u w:val="single"/>
          </w:rPr>
          <w:t>linkedin.com/in/mebatsionmezgebu</w:t>
        </w:r>
      </w:hyperlink>
    </w:p>
    <w:p>
      <w:pPr>
        <w:keepNext/>
        <w:pBdr>
          <w:bottom w:val="single" w:sz="8" w:space="4" w:color="000000"/>
        </w:pBdr>
        <w:spacing w:before="260" w:after="120"/>
      </w:pPr>
      <w:r>
        <w:rPr>
          <w:b/>
          <w:color w:val="000000"/>
          <w:sz w:val="23"/>
          <w:spacing w:val="30"/>
        </w:rPr>
        <w:t>EXECUTIVE PROFILE</w:t>
      </w:r>
    </w:p>
    <w:p>
      <w:pPr>
        <w:keepNext w:val="0"/>
        <w:spacing w:after="80" w:before="0"/>
      </w:pPr>
      <w:r>
        <w:rPr>
          <w:b w:val="0"/>
          <w:i w:val="0"/>
          <w:color w:val="1A1A1A"/>
          <w:sz w:val="21"/>
        </w:rPr>
        <w:t>Commercial and fintech business development professional with 5+ years of progressive experience spanning digital payments, enterprise sales, strategic partnerships, key account management, customer operations, FMCG sales and engineering. Progressed from technical and frontline commercial roles into leadership of merchant growth, institutional relationships, sales teams and cross-functional market-expansion initiatives. Experienced across payment gateways, POS and QR solutions, merchant acquiring, proposal development, executive presentations, regulatory business documentation and go-to-market planning. Combines an engineering foundation with disciplined commercial analysis, stakeholder engagement and customer-centered execution.</w:t>
      </w:r>
    </w:p>
    <w:p>
      <w:pPr>
        <w:keepNext/>
        <w:pBdr>
          <w:bottom w:val="single" w:sz="8" w:space="4" w:color="000000"/>
        </w:pBdr>
        <w:spacing w:before="260" w:after="120"/>
      </w:pPr>
      <w:r>
        <w:rPr>
          <w:b/>
          <w:color w:val="000000"/>
          <w:sz w:val="23"/>
          <w:spacing w:val="30"/>
        </w:rPr>
        <w:t>CORE COMPETENCIES</w:t>
      </w:r>
    </w:p>
    <w:p>
      <w:pPr>
        <w:keepNext w:val="0"/>
        <w:spacing w:after="40" w:before="0"/>
      </w:pPr>
      <w:r>
        <w:rPr>
          <w:b w:val="0"/>
          <w:i w:val="0"/>
          <w:color w:val="1A1A1A"/>
          <w:sz w:val="20"/>
        </w:rPr>
        <w:t>Business Development   •   Commercial Strategy   •   Enterprise Sales   •   Revenue Growth   •   Market Expansion</w:t>
      </w:r>
    </w:p>
    <w:p>
      <w:pPr>
        <w:keepNext w:val="0"/>
        <w:spacing w:after="40" w:before="0"/>
      </w:pPr>
      <w:r>
        <w:rPr>
          <w:b w:val="0"/>
          <w:i w:val="0"/>
          <w:color w:val="1A1A1A"/>
          <w:sz w:val="20"/>
        </w:rPr>
        <w:t>Strategic Partnerships   •   Key Account Management   •   Banking Relationships   •   Merchant Acquiring   •   Negotiation</w:t>
      </w:r>
    </w:p>
    <w:p>
      <w:pPr>
        <w:keepNext w:val="0"/>
        <w:spacing w:after="40" w:before="0"/>
      </w:pPr>
      <w:r>
        <w:rPr>
          <w:b w:val="0"/>
          <w:i w:val="0"/>
          <w:color w:val="1A1A1A"/>
          <w:sz w:val="20"/>
        </w:rPr>
        <w:t>FinTech   •   Digital Payments   •   Payment Gateway   •   POS Solutions   •   QR Payments   •   Payment Infrastructure</w:t>
      </w:r>
    </w:p>
    <w:p>
      <w:pPr>
        <w:keepNext w:val="0"/>
        <w:spacing w:after="40" w:before="0"/>
      </w:pPr>
      <w:r>
        <w:rPr>
          <w:b w:val="0"/>
          <w:i w:val="0"/>
          <w:color w:val="1A1A1A"/>
          <w:sz w:val="20"/>
        </w:rPr>
        <w:t>Go-to-Market Strategy   •   Product Commercialization   •   Business Planning   •   Executive Stakeholder Management</w:t>
      </w:r>
    </w:p>
    <w:p>
      <w:pPr>
        <w:keepNext w:val="0"/>
        <w:spacing w:after="40" w:before="0"/>
      </w:pPr>
      <w:r>
        <w:rPr>
          <w:b w:val="0"/>
          <w:i w:val="0"/>
          <w:color w:val="1A1A1A"/>
          <w:sz w:val="20"/>
        </w:rPr>
        <w:t>Sales Leadership   •   Team Coaching   •   CRM &amp; Pipeline Management   •   Customer Success   •   Cross-functional Leadership</w:t>
      </w:r>
    </w:p>
    <w:p>
      <w:pPr>
        <w:keepNext/>
        <w:pBdr>
          <w:bottom w:val="single" w:sz="8" w:space="4" w:color="000000"/>
        </w:pBdr>
        <w:spacing w:before="260" w:after="120"/>
      </w:pPr>
      <w:r>
        <w:rPr>
          <w:b/>
          <w:color w:val="000000"/>
          <w:sz w:val="23"/>
          <w:spacing w:val="30"/>
        </w:rPr>
        <w:t>EXPERIENCE</w:t>
      </w:r>
    </w:p>
    <w:p>
      <w:pPr>
        <w:keepNext/>
        <w:spacing w:before="140" w:after="20"/>
      </w:pPr>
      <w:r>
        <w:rPr>
          <w:b/>
          <w:color w:val="000000"/>
          <w:sz w:val="22"/>
        </w:rPr>
        <w:t>Key Account &amp; Business Development Manager</w:t>
      </w:r>
      <w:r>
        <w:rPr>
          <w:color w:val="4D4D4D"/>
          <w:sz w:val="22"/>
        </w:rPr>
        <w:t xml:space="preserve">   |   </w:t>
      </w:r>
      <w:r>
        <w:rPr>
          <w:color w:val="1A1A1A"/>
          <w:sz w:val="22"/>
        </w:rPr>
        <w:t>Hybrid Designs PLC | Inverse Financial Technologies S.C.</w:t>
      </w:r>
    </w:p>
    <w:p>
      <w:pPr>
        <w:keepNext/>
        <w:spacing w:after="60"/>
      </w:pPr>
      <w:r>
        <w:rPr>
          <w:i/>
          <w:color w:val="4D4D4D"/>
          <w:sz w:val="19"/>
        </w:rPr>
        <w:t>Apr 2026 – Present   •   Addis Ababa, Ethiopia   •   Cross-company commercial leadership</w:t>
      </w:r>
    </w:p>
    <w:p>
      <w:pPr>
        <w:pStyle w:val="ListBullet"/>
      </w:pPr>
      <w:r>
        <w:t>Lead business development, strategic partnership and key-account initiatives across Hybrid Designs and Inverse Financial Technologies, aligning enterprise opportunities with commercial priorities and delivery capabilities.</w:t>
      </w:r>
    </w:p>
    <w:p>
      <w:pPr>
        <w:pStyle w:val="ListBullet"/>
      </w:pPr>
      <w:r>
        <w:t>Support commercialization of Inverse’s existing NBE-licensed payment-gateway operation and planning for a proposed POS Payment System Operator expansion, subject to regulatory approval.</w:t>
      </w:r>
    </w:p>
    <w:p>
      <w:pPr>
        <w:pStyle w:val="ListBullet"/>
      </w:pPr>
      <w:r>
        <w:t>Develop proposals, business plans, executive presentations and regulatory business documentation covering merchant acquisition, banking partnerships, POS and QR solutions, digital financial services and payment infrastructure.</w:t>
      </w:r>
    </w:p>
    <w:p>
      <w:pPr>
        <w:pStyle w:val="ListBullet"/>
      </w:pPr>
      <w:r>
        <w:t>Identify market-entry opportunities across mobility, event management and the gig economy; structure use cases that embed payment infrastructure and merchant operating solutions into client workflows.</w:t>
      </w:r>
    </w:p>
    <w:p>
      <w:pPr>
        <w:pStyle w:val="ListBullet"/>
      </w:pPr>
      <w:r>
        <w:t>Manage strategic stakeholder relationships and coordinate cross-company collaboration on emerging initiatives, including financial inclusion and micro-insurance concepts.</w:t>
      </w:r>
    </w:p>
    <w:p>
      <w:pPr>
        <w:pStyle w:val="ListBullet"/>
      </w:pPr>
      <w:r>
        <w:t>Increased client engagement by 30% within the first two months through focused account development, relationship management and solution positioning.</w:t>
      </w:r>
    </w:p>
    <w:p>
      <w:pPr>
        <w:keepNext/>
        <w:spacing w:before="140" w:after="20"/>
      </w:pPr>
      <w:r>
        <w:rPr>
          <w:b/>
          <w:color w:val="000000"/>
          <w:sz w:val="22"/>
        </w:rPr>
        <w:t>Key Account Manager</w:t>
      </w:r>
      <w:r>
        <w:rPr>
          <w:color w:val="4D4D4D"/>
          <w:sz w:val="22"/>
        </w:rPr>
        <w:t xml:space="preserve">   |   </w:t>
      </w:r>
      <w:r>
        <w:rPr>
          <w:color w:val="1A1A1A"/>
          <w:sz w:val="22"/>
        </w:rPr>
        <w:t>SantimPay Financial Solutions S.C.</w:t>
      </w:r>
    </w:p>
    <w:p>
      <w:pPr>
        <w:keepNext/>
        <w:spacing w:after="60"/>
      </w:pPr>
      <w:r>
        <w:rPr>
          <w:i/>
          <w:color w:val="4D4D4D"/>
          <w:sz w:val="19"/>
        </w:rPr>
        <w:t>Oct 2025 – May 2026   •   Addis Ababa, Ethiopia   •   On-site</w:t>
      </w:r>
    </w:p>
    <w:p>
      <w:pPr>
        <w:pStyle w:val="ListBullet"/>
      </w:pPr>
      <w:r>
        <w:t>Managed and expanded strategic merchant and institutional accounts across banks, e-commerce platforms and enterprise clients, leading commercial negotiations, account planning and relationship governance.</w:t>
      </w:r>
    </w:p>
    <w:p>
      <w:pPr>
        <w:pStyle w:val="ListBullet"/>
      </w:pPr>
      <w:r>
        <w:t>Directed and guided 20+ sales executives and supervisors, coordinating the Key Account and regional teams to strengthen merchant satisfaction, retention and sustainable transaction growth.</w:t>
      </w:r>
    </w:p>
    <w:p>
      <w:pPr>
        <w:pStyle w:val="ListBullet"/>
      </w:pPr>
      <w:r>
        <w:t>Oversaw sales-force recruitment, onboarding, and deployment and performance management in partnership with HR and operations; established targets and account-performance KPIs for national and regional execution.</w:t>
      </w:r>
    </w:p>
    <w:p>
      <w:pPr>
        <w:pStyle w:val="ListBullet"/>
      </w:pPr>
      <w:r>
        <w:t>Managed relationships with partner financial institutions including Anbessa Bank, Oromia Bank, Ahadu Bank, Zamzam Bank, Amhara Bank and Gada Bunna Bank, supporting product adoption and account expansion.</w:t>
      </w:r>
    </w:p>
    <w:p>
      <w:pPr>
        <w:keepNext/>
        <w:spacing w:before="140" w:after="20"/>
      </w:pPr>
      <w:r>
        <w:rPr>
          <w:b/>
          <w:color w:val="000000"/>
          <w:sz w:val="22"/>
        </w:rPr>
        <w:t>Key Account Supervisor</w:t>
      </w:r>
      <w:r>
        <w:rPr>
          <w:color w:val="4D4D4D"/>
          <w:sz w:val="22"/>
        </w:rPr>
        <w:t xml:space="preserve">   |   </w:t>
      </w:r>
      <w:r>
        <w:rPr>
          <w:color w:val="1A1A1A"/>
          <w:sz w:val="22"/>
        </w:rPr>
        <w:t>SantimPay Financial Solutions S.C.</w:t>
      </w:r>
    </w:p>
    <w:p>
      <w:pPr>
        <w:keepNext/>
        <w:spacing w:after="60"/>
      </w:pPr>
      <w:r>
        <w:rPr>
          <w:i/>
          <w:color w:val="4D4D4D"/>
          <w:sz w:val="19"/>
        </w:rPr>
        <w:t>Feb 2025 – Nov 2025   •   Addis Ababa, Ethiopia   •   Hybrid</w:t>
      </w:r>
    </w:p>
    <w:p>
      <w:pPr>
        <w:pStyle w:val="ListBullet"/>
      </w:pPr>
      <w:r>
        <w:t>Managed high-value merchant and client relationships, monitored account performance and prepared leadership reports identifying retention, adoption and upsell opportunities.</w:t>
      </w:r>
    </w:p>
    <w:p>
      <w:pPr>
        <w:pStyle w:val="ListBullet"/>
      </w:pPr>
      <w:r>
        <w:t>Coordinated cross-functional resolution of account escalations and provided operational guidance to regional sales teams to improve service quality and client outcomes.</w:t>
      </w:r>
    </w:p>
    <w:p>
      <w:pPr>
        <w:keepNext/>
        <w:spacing w:before="140" w:after="20"/>
      </w:pPr>
      <w:r>
        <w:rPr>
          <w:b/>
          <w:color w:val="000000"/>
          <w:sz w:val="22"/>
        </w:rPr>
        <w:t>Senior Sales Executive</w:t>
      </w:r>
      <w:r>
        <w:rPr>
          <w:color w:val="4D4D4D"/>
          <w:sz w:val="22"/>
        </w:rPr>
        <w:t xml:space="preserve">   |   </w:t>
      </w:r>
      <w:r>
        <w:rPr>
          <w:color w:val="1A1A1A"/>
          <w:sz w:val="22"/>
        </w:rPr>
        <w:t>SantimPay Financial Solutions S.C.</w:t>
      </w:r>
    </w:p>
    <w:p>
      <w:pPr>
        <w:keepNext/>
        <w:spacing w:after="60"/>
      </w:pPr>
      <w:r>
        <w:rPr>
          <w:i/>
          <w:color w:val="4D4D4D"/>
          <w:sz w:val="19"/>
        </w:rPr>
        <w:t>Apr 2024 – Feb 2025   •   Addis Ababa, Ethiopia   •   On-site</w:t>
      </w:r>
    </w:p>
    <w:p>
      <w:pPr>
        <w:pStyle w:val="ListBullet"/>
      </w:pPr>
      <w:r>
        <w:t>Developed and executed sales strategies for POS, QR, payment-gateway and ERP solutions, expanding market reach while supporting acquisition and transaction objectives.</w:t>
      </w:r>
    </w:p>
    <w:p>
      <w:pPr>
        <w:pStyle w:val="ListBullet"/>
      </w:pPr>
      <w:r>
        <w:t>Coached sales executives, monitored performance metrics and collaborated with marketing, product and customer-service teams to strengthen go-to-market execution.</w:t>
      </w:r>
    </w:p>
    <w:p>
      <w:pPr>
        <w:keepNext/>
        <w:spacing w:before="140" w:after="20"/>
      </w:pPr>
      <w:r>
        <w:rPr>
          <w:b/>
          <w:color w:val="000000"/>
          <w:sz w:val="22"/>
        </w:rPr>
        <w:t>Sales Development Representative / Proxy Vote Specialist</w:t>
      </w:r>
      <w:r>
        <w:rPr>
          <w:color w:val="4D4D4D"/>
          <w:sz w:val="22"/>
        </w:rPr>
        <w:t xml:space="preserve">   |   </w:t>
      </w:r>
      <w:r>
        <w:rPr>
          <w:color w:val="1A1A1A"/>
          <w:sz w:val="22"/>
        </w:rPr>
        <w:t>Cygnus Pacific / Vermasoft</w:t>
      </w:r>
    </w:p>
    <w:p>
      <w:pPr>
        <w:keepNext/>
        <w:spacing w:after="60"/>
      </w:pPr>
      <w:r>
        <w:rPr>
          <w:i/>
          <w:color w:val="4D4D4D"/>
          <w:sz w:val="19"/>
        </w:rPr>
        <w:t>Apr 2024 – Sep 2024   •   Remote from Addis Ababa   •   Seasonal</w:t>
      </w:r>
    </w:p>
    <w:p>
      <w:pPr>
        <w:pStyle w:val="ListBullet"/>
      </w:pPr>
      <w:r>
        <w:t>Managed shareholder outreach and proxy-vote collection across diverse U.S. investor groups, using structured communication to increase participation while maintaining process compliance.</w:t>
      </w:r>
    </w:p>
    <w:p>
      <w:pPr>
        <w:pStyle w:val="ListBullet"/>
      </w:pPr>
      <w:r>
        <w:t>Built stakeholder relationships, explained voting requirements and supported accurate registration and engagement records.</w:t>
      </w:r>
    </w:p>
    <w:p>
      <w:pPr>
        <w:keepNext/>
        <w:spacing w:before="140" w:after="20"/>
      </w:pPr>
      <w:r>
        <w:rPr>
          <w:b/>
          <w:color w:val="000000"/>
          <w:sz w:val="22"/>
        </w:rPr>
        <w:t>Business Development Representative</w:t>
      </w:r>
      <w:r>
        <w:rPr>
          <w:color w:val="4D4D4D"/>
          <w:sz w:val="22"/>
        </w:rPr>
        <w:t xml:space="preserve">   |   </w:t>
      </w:r>
      <w:r>
        <w:rPr>
          <w:color w:val="1A1A1A"/>
          <w:sz w:val="22"/>
        </w:rPr>
        <w:t>CCI Ethiopia – Instacart</w:t>
      </w:r>
    </w:p>
    <w:p>
      <w:pPr>
        <w:keepNext/>
        <w:spacing w:after="60"/>
      </w:pPr>
      <w:r>
        <w:rPr>
          <w:i/>
          <w:color w:val="4D4D4D"/>
          <w:sz w:val="19"/>
        </w:rPr>
        <w:t>Aug 2023 – Jun 2024   •   Addis Ababa, Ethiopia   •   Hybrid</w:t>
      </w:r>
    </w:p>
    <w:p>
      <w:pPr>
        <w:pStyle w:val="ListBullet"/>
      </w:pPr>
      <w:r>
        <w:t>Supported sales development and customer retention through live-chat engagement, timely issue resolution and accurate communication on products, services and orders.</w:t>
      </w:r>
    </w:p>
    <w:p>
      <w:pPr>
        <w:pStyle w:val="ListBullet"/>
      </w:pPr>
      <w:r>
        <w:t>Maintained Zendesk CRM records for pipeline visibility, forecasting and reporting; collaborated across departments to resolve customer issues and improve service delivery.</w:t>
      </w:r>
    </w:p>
    <w:p>
      <w:pPr>
        <w:keepNext/>
        <w:spacing w:before="140" w:after="20"/>
      </w:pPr>
      <w:r>
        <w:rPr>
          <w:b/>
          <w:color w:val="000000"/>
          <w:sz w:val="22"/>
        </w:rPr>
        <w:t>Social Media Marketing Specialist</w:t>
      </w:r>
      <w:r>
        <w:rPr>
          <w:color w:val="4D4D4D"/>
          <w:sz w:val="22"/>
        </w:rPr>
        <w:t xml:space="preserve">   |   </w:t>
      </w:r>
      <w:r>
        <w:rPr>
          <w:color w:val="1A1A1A"/>
          <w:sz w:val="22"/>
        </w:rPr>
        <w:t>Adika Taxi Services PLC and Hospitality Clients</w:t>
      </w:r>
    </w:p>
    <w:p>
      <w:pPr>
        <w:keepNext/>
        <w:spacing w:after="60"/>
      </w:pPr>
      <w:r>
        <w:rPr>
          <w:i/>
          <w:color w:val="4D4D4D"/>
          <w:sz w:val="19"/>
        </w:rPr>
        <w:t>Aug 2023 – May 2024   •   Remote from Addis Ababa   •   Part-time</w:t>
      </w:r>
    </w:p>
    <w:p>
      <w:pPr>
        <w:pStyle w:val="ListBullet"/>
      </w:pPr>
      <w:r>
        <w:t>Planned and executed social-media strategies for Adika Taxi Services and hospitality brands, creating content and managing communities across Instagram and Facebook.</w:t>
      </w:r>
    </w:p>
    <w:p>
      <w:pPr>
        <w:pStyle w:val="ListBullet"/>
      </w:pPr>
      <w:r>
        <w:t>Used audience and engagement insights to strengthen brand visibility, campaign relevance and online customer interaction.</w:t>
      </w:r>
    </w:p>
    <w:p>
      <w:pPr>
        <w:keepNext/>
        <w:spacing w:before="140" w:after="20"/>
      </w:pPr>
      <w:r>
        <w:rPr>
          <w:b/>
          <w:color w:val="000000"/>
          <w:sz w:val="22"/>
        </w:rPr>
        <w:t>Customer Service Representative / Senior Customer Service Representative</w:t>
      </w:r>
      <w:r>
        <w:rPr>
          <w:color w:val="4D4D4D"/>
          <w:sz w:val="22"/>
        </w:rPr>
        <w:t xml:space="preserve">   |   </w:t>
      </w:r>
      <w:r>
        <w:rPr>
          <w:color w:val="1A1A1A"/>
          <w:sz w:val="22"/>
        </w:rPr>
        <w:t>MMCY Tech – Instacart Support Program</w:t>
      </w:r>
    </w:p>
    <w:p>
      <w:pPr>
        <w:keepNext/>
        <w:spacing w:after="60"/>
      </w:pPr>
      <w:r>
        <w:rPr>
          <w:i/>
          <w:color w:val="4D4D4D"/>
          <w:sz w:val="19"/>
        </w:rPr>
        <w:t>Oct 2022 – Mar 2024   •   Addis Ababa, Ethiopia   •   Seasonal / Hybrid</w:t>
      </w:r>
    </w:p>
    <w:p>
      <w:pPr>
        <w:pStyle w:val="ListBullet"/>
      </w:pPr>
      <w:r>
        <w:t>Delivered multi-channel customer and shopper support through SMS, email and phone, using UJET, Okta and Zendesk to manage secure access, cases and timely issue resolution.</w:t>
      </w:r>
    </w:p>
    <w:p>
      <w:pPr>
        <w:pStyle w:val="ListBullet"/>
      </w:pPr>
      <w:r>
        <w:t>Handled complex escalations, coordinated responses across departments and maintained service quality, customer satisfaction and loyalty.</w:t>
      </w:r>
    </w:p>
    <w:p>
      <w:pPr>
        <w:pStyle w:val="ListBullet"/>
      </w:pPr>
      <w:r>
        <w:t>Trained and mentored junior colleagues on platform tools, service standards and customer-resolution practices.</w:t>
      </w:r>
    </w:p>
    <w:p>
      <w:pPr>
        <w:keepNext/>
        <w:spacing w:before="140" w:after="20"/>
      </w:pPr>
      <w:r>
        <w:rPr>
          <w:b/>
          <w:color w:val="000000"/>
          <w:sz w:val="22"/>
        </w:rPr>
        <w:t>Metallurgical Engineer Intern</w:t>
      </w:r>
      <w:r>
        <w:rPr>
          <w:color w:val="4D4D4D"/>
          <w:sz w:val="22"/>
        </w:rPr>
        <w:t xml:space="preserve">   |   </w:t>
      </w:r>
      <w:r>
        <w:rPr>
          <w:color w:val="1A1A1A"/>
          <w:sz w:val="22"/>
        </w:rPr>
        <w:t>Habesha Steel &amp; Mills</w:t>
      </w:r>
    </w:p>
    <w:p>
      <w:pPr>
        <w:keepNext/>
        <w:spacing w:after="60"/>
      </w:pPr>
      <w:r>
        <w:rPr>
          <w:i/>
          <w:color w:val="4D4D4D"/>
          <w:sz w:val="19"/>
        </w:rPr>
        <w:t>Sep 2022 – Jan 2023   •   Oromia Region, Ethiopia   •   On-site</w:t>
      </w:r>
    </w:p>
    <w:p>
      <w:pPr>
        <w:pStyle w:val="ListBullet"/>
      </w:pPr>
      <w:r>
        <w:t>Supported metallurgical process monitoring, material testing and quality-control activities in a steel-manufacturing environment.</w:t>
      </w:r>
    </w:p>
    <w:p>
      <w:pPr>
        <w:pStyle w:val="ListBullet"/>
      </w:pPr>
      <w:r>
        <w:t>Collected and analyzed production data and prepared technical reports supporting engineering review, process improvement and R&amp;D activities.</w:t>
      </w:r>
    </w:p>
    <w:p>
      <w:pPr>
        <w:keepNext/>
        <w:spacing w:before="140" w:after="20"/>
      </w:pPr>
      <w:r>
        <w:rPr>
          <w:b/>
          <w:color w:val="000000"/>
          <w:sz w:val="22"/>
        </w:rPr>
        <w:t>FMCG Sales Supervisor / Senior Sales Representative</w:t>
      </w:r>
      <w:r>
        <w:rPr>
          <w:color w:val="4D4D4D"/>
          <w:sz w:val="22"/>
        </w:rPr>
        <w:t xml:space="preserve">   |   </w:t>
      </w:r>
      <w:r>
        <w:rPr>
          <w:color w:val="1A1A1A"/>
          <w:sz w:val="22"/>
        </w:rPr>
        <w:t>AquaSafe Water Bottle PLC</w:t>
      </w:r>
    </w:p>
    <w:p>
      <w:pPr>
        <w:keepNext/>
        <w:spacing w:after="60"/>
      </w:pPr>
      <w:r>
        <w:rPr>
          <w:i/>
          <w:color w:val="4D4D4D"/>
          <w:sz w:val="19"/>
        </w:rPr>
        <w:t>Mar 2022 – Oct 2022   •   Addis Ababa, Ethiopia   •   On-site</w:t>
      </w:r>
    </w:p>
    <w:p>
      <w:pPr>
        <w:pStyle w:val="ListBullet"/>
      </w:pPr>
      <w:r>
        <w:t>Progressed from Senior Sales Representative to FMCG Sales Supervisor, coordinating schedules, territories and field activity for indoor and outdoor sales teams.</w:t>
      </w:r>
    </w:p>
    <w:p>
      <w:pPr>
        <w:pStyle w:val="ListBullet"/>
      </w:pPr>
      <w:r>
        <w:t>Conducted market assessments covering pricing, shelf presence, route efficiency and competitor activity; translated observations into weekly reports and territory-planning inputs.</w:t>
      </w:r>
    </w:p>
    <w:p>
      <w:pPr>
        <w:pStyle w:val="ListBullet"/>
      </w:pPr>
      <w:r>
        <w:t>Built retailer and distributor relationships to expand product availability, improve field coverage and strengthen sales channels.</w:t>
      </w:r>
    </w:p>
    <w:p>
      <w:pPr>
        <w:keepNext/>
        <w:pBdr>
          <w:bottom w:val="single" w:sz="8" w:space="4" w:color="000000"/>
        </w:pBdr>
        <w:spacing w:before="260" w:after="120"/>
      </w:pPr>
      <w:r>
        <w:rPr>
          <w:b/>
          <w:color w:val="000000"/>
          <w:sz w:val="23"/>
          <w:spacing w:val="30"/>
        </w:rPr>
        <w:t>SELECTED CAREER ACHIEVEMENTS</w:t>
      </w:r>
    </w:p>
    <w:p>
      <w:pPr>
        <w:pStyle w:val="ListBullet"/>
      </w:pPr>
      <w:r>
        <w:t>Led and empowered the SantimPay commercial team credited with generating 48.5% of the company’s total 2025 transactions across POS, QR, payment-gateway and ERP solutions.</w:t>
      </w:r>
    </w:p>
    <w:p>
      <w:pPr>
        <w:pStyle w:val="ListBullet"/>
      </w:pPr>
      <w:r>
        <w:t>Built, managed and supported relationships across a documented portfolio/network of 850+ key clients and merchants throughout sales and account-leadership assignments.</w:t>
      </w:r>
    </w:p>
    <w:p>
      <w:pPr>
        <w:pStyle w:val="ListBullet"/>
      </w:pPr>
      <w:r>
        <w:t>Directed and guided a 20+ member sales-executive and supervisor structure while coordinating key-account and regional execution.</w:t>
      </w:r>
    </w:p>
    <w:p>
      <w:pPr>
        <w:pStyle w:val="ListBullet"/>
      </w:pPr>
      <w:r>
        <w:t>Delivered a documented 30% increase in client engagement during the first two months in the current cross-company commercial role.</w:t>
      </w:r>
    </w:p>
    <w:p>
      <w:pPr>
        <w:keepNext/>
        <w:pBdr>
          <w:bottom w:val="single" w:sz="8" w:space="4" w:color="000000"/>
        </w:pBdr>
        <w:spacing w:before="260" w:after="120"/>
      </w:pPr>
      <w:r>
        <w:rPr>
          <w:b/>
          <w:color w:val="000000"/>
          <w:sz w:val="23"/>
          <w:spacing w:val="30"/>
        </w:rPr>
        <w:t>LEADERSHIP &amp; PROFESSIONAL ENGAGEMENT</w:t>
      </w:r>
    </w:p>
    <w:p>
      <w:pPr>
        <w:spacing w:before="80" w:after="20"/>
      </w:pPr>
      <w:r>
        <w:rPr>
          <w:b/>
          <w:color w:val="000000"/>
          <w:sz w:val="22"/>
        </w:rPr>
        <w:t>Campus Ambassador</w:t>
      </w:r>
      <w:r>
        <w:rPr>
          <w:color w:val="1A1A1A"/>
          <w:sz w:val="22"/>
        </w:rPr>
        <w:t xml:space="preserve">   |   University of the People (UoPeople)</w:t>
      </w:r>
    </w:p>
    <w:p>
      <w:pPr>
        <w:keepNext w:val="0"/>
        <w:spacing w:after="80" w:before="0"/>
      </w:pPr>
      <w:r>
        <w:rPr>
          <w:b w:val="0"/>
          <w:i w:val="0"/>
          <w:color w:val="1A1A1A"/>
          <w:sz w:val="21"/>
        </w:rPr>
        <w:t>Represent the university within student and professional communities, support outreach and peer engagement, contribute to mentoring and community-building activities, and expand professional networks through ambassador-led communication.</w:t>
      </w:r>
    </w:p>
    <w:p>
      <w:pPr>
        <w:keepNext/>
        <w:pBdr>
          <w:bottom w:val="single" w:sz="8" w:space="4" w:color="000000"/>
        </w:pBdr>
        <w:spacing w:before="260" w:after="120"/>
      </w:pPr>
      <w:r>
        <w:rPr>
          <w:b/>
          <w:color w:val="000000"/>
          <w:sz w:val="23"/>
          <w:spacing w:val="30"/>
        </w:rPr>
        <w:t>MEDIA &amp; PUBLIC ENGAGEMENTS</w:t>
      </w:r>
    </w:p>
    <w:p>
      <w:pPr>
        <w:keepNext/>
        <w:spacing w:before="120" w:after="20"/>
      </w:pPr>
      <w:r>
        <w:rPr>
          <w:b/>
          <w:color w:val="000000"/>
          <w:sz w:val="22"/>
        </w:rPr>
        <w:t>Official Interview</w:t>
      </w:r>
      <w:r>
        <w:rPr>
          <w:color w:val="1A1A1A"/>
          <w:sz w:val="22"/>
        </w:rPr>
        <w:t xml:space="preserve">   |   SantimPay Financial Solutions S.C.</w:t>
      </w:r>
    </w:p>
    <w:p>
      <w:pPr>
        <w:keepNext/>
        <w:spacing w:after="40"/>
      </w:pPr>
      <w:r>
        <w:rPr>
          <w:i/>
          <w:color w:val="4D4D4D"/>
          <w:sz w:val="19"/>
        </w:rPr>
        <w:t>Public corporate interview</w:t>
      </w:r>
    </w:p>
    <w:p>
      <w:pPr>
        <w:spacing w:after="40"/>
      </w:pPr>
      <w:r>
        <w:rPr>
          <w:color w:val="1A1A1A"/>
          <w:sz w:val="21"/>
        </w:rPr>
        <w:t xml:space="preserve">Featured in an official SantimPay interview discussing merchant solutions, digital payments, financial-technology products and the company’s payment ecosystem.  </w:t>
      </w:r>
      <w:hyperlink r:id="rId11">
        <w:r>
          <w:rPr>
            <w:rFonts w:ascii="Calibri" w:hAnsi="Calibri"/>
            <w:sz w:val="21"/>
            <w:color w:val="000000"/>
            <w:u w:val="single"/>
          </w:rPr>
          <w:t>Watch interview</w:t>
        </w:r>
      </w:hyperlink>
    </w:p>
    <w:p>
      <w:pPr>
        <w:keepNext/>
        <w:spacing w:before="120" w:after="20"/>
      </w:pPr>
      <w:r>
        <w:rPr>
          <w:b/>
          <w:color w:val="000000"/>
          <w:sz w:val="22"/>
        </w:rPr>
        <w:t>Featured Corporate Campaign</w:t>
      </w:r>
      <w:r>
        <w:rPr>
          <w:color w:val="1A1A1A"/>
          <w:sz w:val="22"/>
        </w:rPr>
        <w:t xml:space="preserve">   |   SantimPay Financial Solutions S.C.</w:t>
      </w:r>
    </w:p>
    <w:p>
      <w:pPr>
        <w:keepNext/>
        <w:spacing w:after="40"/>
      </w:pPr>
      <w:r>
        <w:rPr>
          <w:i/>
          <w:color w:val="4D4D4D"/>
          <w:sz w:val="19"/>
        </w:rPr>
        <w:t>Official company campaign</w:t>
      </w:r>
    </w:p>
    <w:p>
      <w:pPr>
        <w:spacing w:after="40"/>
      </w:pPr>
      <w:r>
        <w:rPr>
          <w:color w:val="1A1A1A"/>
          <w:sz w:val="21"/>
        </w:rPr>
        <w:t xml:space="preserve">Featured in SantimPay official LinkedIn campaign promoting the So Simple POS solution and merchant payment services.  </w:t>
      </w:r>
      <w:hyperlink r:id="rId12">
        <w:r>
          <w:rPr>
            <w:rFonts w:ascii="Calibri" w:hAnsi="Calibri"/>
            <w:sz w:val="21"/>
            <w:color w:val="000000"/>
            <w:u w:val="single"/>
          </w:rPr>
          <w:t>View campaign</w:t>
        </w:r>
      </w:hyperlink>
    </w:p>
    <w:p>
      <w:pPr>
        <w:keepNext/>
        <w:spacing w:before="120" w:after="20"/>
      </w:pPr>
      <w:r>
        <w:rPr>
          <w:b/>
          <w:color w:val="000000"/>
          <w:sz w:val="22"/>
        </w:rPr>
        <w:t>Corporate Governance &amp; Shareholder Representation</w:t>
      </w:r>
      <w:r>
        <w:rPr>
          <w:color w:val="1A1A1A"/>
          <w:sz w:val="22"/>
        </w:rPr>
        <w:t xml:space="preserve">   |   SantimPay Financial Solutions S.C.</w:t>
      </w:r>
    </w:p>
    <w:p>
      <w:pPr>
        <w:keepNext/>
        <w:spacing w:after="40"/>
      </w:pPr>
      <w:r>
        <w:rPr>
          <w:i/>
          <w:color w:val="4D4D4D"/>
          <w:sz w:val="19"/>
        </w:rPr>
        <w:t>Official corporate coverage</w:t>
      </w:r>
    </w:p>
    <w:p>
      <w:pPr>
        <w:spacing w:after="40"/>
      </w:pPr>
      <w:r>
        <w:rPr>
          <w:color w:val="1A1A1A"/>
          <w:sz w:val="21"/>
        </w:rPr>
        <w:t>Featured alongside executive leadership during official coverage of the company’s Second Annual Ordinary General Meeting of Shareholders.</w:t>
      </w:r>
    </w:p>
    <w:p>
      <w:pPr>
        <w:keepNext/>
        <w:pBdr>
          <w:bottom w:val="single" w:sz="8" w:space="4" w:color="000000"/>
        </w:pBdr>
        <w:spacing w:before="260" w:after="120"/>
      </w:pPr>
      <w:r>
        <w:rPr>
          <w:b/>
          <w:color w:val="000000"/>
          <w:sz w:val="23"/>
          <w:spacing w:val="30"/>
        </w:rPr>
        <w:t>EDUCATION</w:t>
      </w:r>
    </w:p>
    <w:p>
      <w:pPr>
        <w:keepNext/>
        <w:spacing w:before="120" w:after="20"/>
      </w:pPr>
      <w:r>
        <w:rPr>
          <w:b/>
          <w:color w:val="000000"/>
          <w:sz w:val="22"/>
        </w:rPr>
        <w:t>Bachelor of Business Administration — In Progress</w:t>
      </w:r>
      <w:r>
        <w:rPr>
          <w:color w:val="1A1A1A"/>
          <w:sz w:val="22"/>
        </w:rPr>
        <w:t xml:space="preserve">   |   University of the People (USA)</w:t>
      </w:r>
    </w:p>
    <w:p>
      <w:pPr>
        <w:spacing w:after="40"/>
      </w:pPr>
      <w:r>
        <w:rPr>
          <w:i/>
          <w:color w:val="4D4D4D"/>
          <w:sz w:val="19"/>
        </w:rPr>
        <w:t>Virtual Learning   •   Anticipated 2027</w:t>
      </w:r>
    </w:p>
    <w:p>
      <w:pPr>
        <w:keepNext/>
        <w:spacing w:before="120" w:after="20"/>
      </w:pPr>
      <w:r>
        <w:rPr>
          <w:b/>
          <w:color w:val="000000"/>
          <w:sz w:val="22"/>
        </w:rPr>
        <w:t>BSc, Mineral Processing &amp; Metallurgical Engineering</w:t>
      </w:r>
      <w:r>
        <w:rPr>
          <w:color w:val="1A1A1A"/>
          <w:sz w:val="22"/>
        </w:rPr>
        <w:t xml:space="preserve">   |   Aksum University, Ethiopia</w:t>
      </w:r>
    </w:p>
    <w:p>
      <w:pPr>
        <w:spacing w:after="40"/>
      </w:pPr>
      <w:r>
        <w:rPr>
          <w:i/>
          <w:color w:val="4D4D4D"/>
          <w:sz w:val="19"/>
        </w:rPr>
        <w:t>Feb 2023   •   CGPA: 3.32</w:t>
      </w:r>
    </w:p>
    <w:p>
      <w:pPr>
        <w:keepNext/>
        <w:pBdr>
          <w:bottom w:val="single" w:sz="8" w:space="4" w:color="000000"/>
        </w:pBdr>
        <w:spacing w:before="260" w:after="120"/>
      </w:pPr>
      <w:r>
        <w:rPr>
          <w:b/>
          <w:color w:val="000000"/>
          <w:sz w:val="23"/>
          <w:spacing w:val="30"/>
        </w:rPr>
        <w:t>PROFESSIONAL CERTIFICATIONS</w:t>
      </w:r>
    </w:p>
    <w:p>
      <w:pPr>
        <w:pStyle w:val="ListBullet"/>
      </w:pPr>
      <w:r>
        <w:t>Introduction to Management Standards for a Responsible Delivery of Digital Financial Services — Digital Frontiers Institute, Apr 2026</w:t>
      </w:r>
    </w:p>
    <w:p>
      <w:pPr>
        <w:pStyle w:val="ListBullet"/>
      </w:pPr>
      <w:r>
        <w:t>Certified Sales Executive (CSE) — National Association of Sales Professionals, Aug 2024</w:t>
      </w:r>
    </w:p>
    <w:p>
      <w:pPr>
        <w:pStyle w:val="ListBullet"/>
      </w:pPr>
      <w:r>
        <w:t>Professional Diploma in Digital Marketing Strategy — University of Edinburgh, Nov 2024</w:t>
      </w:r>
    </w:p>
    <w:p>
      <w:pPr>
        <w:pStyle w:val="ListBullet"/>
      </w:pPr>
      <w:r>
        <w:t>Certified Leader &amp; Manager (CML) — Great Learning, Nov 2024</w:t>
      </w:r>
    </w:p>
    <w:p>
      <w:pPr>
        <w:pStyle w:val="ListBullet"/>
      </w:pPr>
      <w:r>
        <w:t>AI in Digital Marketing Certification — Great Learning, Nov 2024</w:t>
      </w:r>
    </w:p>
    <w:p>
      <w:pPr>
        <w:pStyle w:val="ListBullet"/>
      </w:pPr>
      <w:r>
        <w:t>SEO Principles: An Essential Guide for Beginners — Semrush, Nov 2024</w:t>
      </w:r>
    </w:p>
    <w:p>
      <w:pPr>
        <w:pStyle w:val="ListBullet"/>
      </w:pPr>
      <w:r>
        <w:t>Innovation in English Language Teaching and Learning — British Council, Nov 2024</w:t>
      </w:r>
    </w:p>
    <w:p>
      <w:pPr>
        <w:pStyle w:val="ListBullet"/>
      </w:pPr>
      <w:r>
        <w:t>Certified Sales Development Representative — Instacart, Mar 2024</w:t>
      </w:r>
    </w:p>
    <w:p>
      <w:pPr>
        <w:pStyle w:val="ListBullet"/>
      </w:pPr>
      <w:r>
        <w:t>Certified Customer Service Specialist (CSS) — CCI Global, Dec 2023</w:t>
      </w:r>
    </w:p>
    <w:p>
      <w:pPr>
        <w:pStyle w:val="ListBullet"/>
      </w:pPr>
      <w:r>
        <w:t>Sales Executive Management Officer — Ethiopian Standards Agency, Sep 2023</w:t>
      </w:r>
    </w:p>
    <w:p>
      <w:pPr>
        <w:pStyle w:val="ListBullet"/>
      </w:pPr>
      <w:r>
        <w:t>Certified in Employability Skills — The Talent Firm, Dec 2023</w:t>
      </w:r>
    </w:p>
    <w:p>
      <w:pPr>
        <w:pStyle w:val="ListBullet"/>
      </w:pPr>
      <w:r>
        <w:t>Entrepreneurship Training Certificate — Entrepreneurship Training &amp; Development Center (ETDC–DMCC), May 2022</w:t>
      </w:r>
    </w:p>
    <w:p>
      <w:pPr>
        <w:pStyle w:val="ListBullet"/>
      </w:pPr>
      <w:r>
        <w:t>Leadership &amp; Management Development — Vision Ethiopian Congress for Democracy</w:t>
      </w:r>
    </w:p>
    <w:p>
      <w:pPr>
        <w:keepNext/>
        <w:pBdr>
          <w:bottom w:val="single" w:sz="8" w:space="4" w:color="000000"/>
        </w:pBdr>
        <w:spacing w:before="260" w:after="120"/>
      </w:pPr>
      <w:r>
        <w:rPr>
          <w:b/>
          <w:color w:val="000000"/>
          <w:sz w:val="23"/>
          <w:spacing w:val="30"/>
        </w:rPr>
        <w:t>TECHNICAL SKILLS</w:t>
      </w:r>
    </w:p>
    <w:tbl>
      <w:tblPr>
        <w:tblW w:type="auto" w:w="0"/>
        <w:tblLayout w:type="autofit"/>
        <w:tblLook w:firstColumn="1" w:firstRow="1" w:lastColumn="0" w:lastRow="0" w:noHBand="0" w:noVBand="1" w:val="04A0"/>
      </w:tblPr>
      <w:tblGrid>
        <w:gridCol w:w="4819"/>
        <w:gridCol w:w="4819"/>
      </w:tblGrid>
      <w:tr>
        <w:tc>
          <w:tcPr>
            <w:tcW w:type="dxa" w:w="2948"/>
            <w:shd w:val="clear" w:fill="F2F2F2"/>
            <w:tcBorders>
              <w:top w:val="single" w:sz="4" w:space="0" w:color="D9D9D9"/>
              <w:left w:val="single" w:sz="4" w:space="0" w:color="D9D9D9"/>
              <w:bottom w:val="single" w:sz="4" w:space="0" w:color="D9D9D9"/>
              <w:right w:val="single" w:sz="4" w:space="0" w:color="D9D9D9"/>
            </w:tcBorders>
          </w:tcPr>
          <w:p>
            <w:pPr>
              <w:spacing w:after="60" w:before="60"/>
            </w:pPr>
            <w:r>
              <w:rPr>
                <w:b/>
                <w:color w:val="000000"/>
                <w:sz w:val="20"/>
              </w:rPr>
              <w:t>CRM &amp; Sales Operations</w:t>
            </w:r>
          </w:p>
        </w:tc>
        <w:tc>
          <w:tcPr>
            <w:tcW w:type="dxa" w:w="4819"/>
            <w:tcBorders>
              <w:top w:val="single" w:sz="4" w:space="0" w:color="D9D9D9"/>
              <w:left w:val="single" w:sz="4" w:space="0" w:color="D9D9D9"/>
              <w:bottom w:val="single" w:sz="4" w:space="0" w:color="D9D9D9"/>
              <w:right w:val="single" w:sz="4" w:space="0" w:color="D9D9D9"/>
            </w:tcBorders>
          </w:tcPr>
          <w:p>
            <w:pPr>
              <w:spacing w:after="60" w:before="60"/>
            </w:pPr>
            <w:r>
              <w:rPr>
                <w:color w:val="1A1A1A"/>
                <w:sz w:val="20"/>
              </w:rPr>
              <w:t>Salesforce, HubSpot, Pipedrive, Zendesk — pipeline management, forecasting, account reporting and performance tracking</w:t>
            </w:r>
          </w:p>
        </w:tc>
      </w:tr>
      <w:tr>
        <w:tc>
          <w:tcPr>
            <w:tcW w:type="dxa" w:w="2948"/>
            <w:shd w:val="clear" w:fill="F2F2F2"/>
            <w:tcBorders>
              <w:top w:val="single" w:sz="4" w:space="0" w:color="D9D9D9"/>
              <w:left w:val="single" w:sz="4" w:space="0" w:color="D9D9D9"/>
              <w:bottom w:val="single" w:sz="4" w:space="0" w:color="D9D9D9"/>
              <w:right w:val="single" w:sz="4" w:space="0" w:color="D9D9D9"/>
            </w:tcBorders>
          </w:tcPr>
          <w:p>
            <w:pPr>
              <w:spacing w:after="60" w:before="60"/>
            </w:pPr>
            <w:r>
              <w:rPr>
                <w:b/>
                <w:color w:val="000000"/>
                <w:sz w:val="20"/>
              </w:rPr>
              <w:t>Digital Payments &amp; Commercial Solutions</w:t>
            </w:r>
          </w:p>
        </w:tc>
        <w:tc>
          <w:tcPr>
            <w:tcW w:type="dxa" w:w="4819"/>
            <w:tcBorders>
              <w:top w:val="single" w:sz="4" w:space="0" w:color="D9D9D9"/>
              <w:left w:val="single" w:sz="4" w:space="0" w:color="D9D9D9"/>
              <w:bottom w:val="single" w:sz="4" w:space="0" w:color="D9D9D9"/>
              <w:right w:val="single" w:sz="4" w:space="0" w:color="D9D9D9"/>
            </w:tcBorders>
          </w:tcPr>
          <w:p>
            <w:pPr>
              <w:spacing w:after="60" w:before="60"/>
            </w:pPr>
            <w:r>
              <w:rPr>
                <w:color w:val="1A1A1A"/>
                <w:sz w:val="20"/>
              </w:rPr>
              <w:t>Payment gateway, POS solutions, QR payments, merchant acquiring, payment infrastructure, ERP solution positioning and product commercialization</w:t>
            </w:r>
          </w:p>
        </w:tc>
      </w:tr>
      <w:tr>
        <w:tc>
          <w:tcPr>
            <w:tcW w:type="dxa" w:w="2948"/>
            <w:shd w:val="clear" w:fill="F2F2F2"/>
            <w:tcBorders>
              <w:top w:val="single" w:sz="4" w:space="0" w:color="D9D9D9"/>
              <w:left w:val="single" w:sz="4" w:space="0" w:color="D9D9D9"/>
              <w:bottom w:val="single" w:sz="4" w:space="0" w:color="D9D9D9"/>
              <w:right w:val="single" w:sz="4" w:space="0" w:color="D9D9D9"/>
            </w:tcBorders>
          </w:tcPr>
          <w:p>
            <w:pPr>
              <w:spacing w:after="60" w:before="60"/>
            </w:pPr>
            <w:r>
              <w:rPr>
                <w:b/>
                <w:color w:val="000000"/>
                <w:sz w:val="20"/>
              </w:rPr>
              <w:t>Customer Operations</w:t>
            </w:r>
          </w:p>
        </w:tc>
        <w:tc>
          <w:tcPr>
            <w:tcW w:type="dxa" w:w="4819"/>
            <w:tcBorders>
              <w:top w:val="single" w:sz="4" w:space="0" w:color="D9D9D9"/>
              <w:left w:val="single" w:sz="4" w:space="0" w:color="D9D9D9"/>
              <w:bottom w:val="single" w:sz="4" w:space="0" w:color="D9D9D9"/>
              <w:right w:val="single" w:sz="4" w:space="0" w:color="D9D9D9"/>
            </w:tcBorders>
          </w:tcPr>
          <w:p>
            <w:pPr>
              <w:spacing w:after="60" w:before="60"/>
            </w:pPr>
            <w:r>
              <w:rPr>
                <w:color w:val="1A1A1A"/>
                <w:sz w:val="20"/>
              </w:rPr>
              <w:t>UJET, Okta, Zendesk — multi-channel support, escalation management, customer success and service-quality coordination</w:t>
            </w:r>
          </w:p>
        </w:tc>
      </w:tr>
      <w:tr>
        <w:tc>
          <w:tcPr>
            <w:tcW w:type="dxa" w:w="2948"/>
            <w:shd w:val="clear" w:fill="F2F2F2"/>
            <w:tcBorders>
              <w:top w:val="single" w:sz="4" w:space="0" w:color="D9D9D9"/>
              <w:left w:val="single" w:sz="4" w:space="0" w:color="D9D9D9"/>
              <w:bottom w:val="single" w:sz="4" w:space="0" w:color="D9D9D9"/>
              <w:right w:val="single" w:sz="4" w:space="0" w:color="D9D9D9"/>
            </w:tcBorders>
          </w:tcPr>
          <w:p>
            <w:pPr>
              <w:spacing w:after="60" w:before="60"/>
            </w:pPr>
            <w:r>
              <w:rPr>
                <w:b/>
                <w:color w:val="000000"/>
                <w:sz w:val="20"/>
              </w:rPr>
              <w:t>Business &amp; Productivity</w:t>
            </w:r>
          </w:p>
        </w:tc>
        <w:tc>
          <w:tcPr>
            <w:tcW w:type="dxa" w:w="4819"/>
            <w:tcBorders>
              <w:top w:val="single" w:sz="4" w:space="0" w:color="D9D9D9"/>
              <w:left w:val="single" w:sz="4" w:space="0" w:color="D9D9D9"/>
              <w:bottom w:val="single" w:sz="4" w:space="0" w:color="D9D9D9"/>
              <w:right w:val="single" w:sz="4" w:space="0" w:color="D9D9D9"/>
            </w:tcBorders>
          </w:tcPr>
          <w:p>
            <w:pPr>
              <w:spacing w:after="60" w:before="60"/>
            </w:pPr>
            <w:r>
              <w:rPr>
                <w:color w:val="1A1A1A"/>
                <w:sz w:val="20"/>
              </w:rPr>
              <w:t>Microsoft 365, Google Workspace, Notion — business planning, commercial proposals, executive presentations and regulatory business documentation</w:t>
            </w:r>
          </w:p>
        </w:tc>
      </w:tr>
      <w:tr>
        <w:tc>
          <w:tcPr>
            <w:tcW w:type="dxa" w:w="2948"/>
            <w:shd w:val="clear" w:fill="F2F2F2"/>
            <w:tcBorders>
              <w:top w:val="single" w:sz="4" w:space="0" w:color="D9D9D9"/>
              <w:left w:val="single" w:sz="4" w:space="0" w:color="D9D9D9"/>
              <w:bottom w:val="single" w:sz="4" w:space="0" w:color="D9D9D9"/>
              <w:right w:val="single" w:sz="4" w:space="0" w:color="D9D9D9"/>
            </w:tcBorders>
          </w:tcPr>
          <w:p>
            <w:pPr>
              <w:spacing w:after="60" w:before="60"/>
            </w:pPr>
            <w:r>
              <w:rPr>
                <w:b/>
                <w:color w:val="000000"/>
                <w:sz w:val="20"/>
              </w:rPr>
              <w:t>Digital Marketing</w:t>
            </w:r>
          </w:p>
        </w:tc>
        <w:tc>
          <w:tcPr>
            <w:tcW w:type="dxa" w:w="4819"/>
            <w:tcBorders>
              <w:top w:val="single" w:sz="4" w:space="0" w:color="D9D9D9"/>
              <w:left w:val="single" w:sz="4" w:space="0" w:color="D9D9D9"/>
              <w:bottom w:val="single" w:sz="4" w:space="0" w:color="D9D9D9"/>
              <w:right w:val="single" w:sz="4" w:space="0" w:color="D9D9D9"/>
            </w:tcBorders>
          </w:tcPr>
          <w:p>
            <w:pPr>
              <w:spacing w:after="60" w:before="60"/>
            </w:pPr>
            <w:r>
              <w:rPr>
                <w:color w:val="1A1A1A"/>
                <w:sz w:val="20"/>
              </w:rPr>
              <w:t>Social-media strategy, content development, campaign analytics, community management and SEO principles</w:t>
            </w:r>
          </w:p>
        </w:tc>
      </w:tr>
    </w:tbl>
    <w:p>
      <w:pPr>
        <w:keepNext/>
        <w:pBdr>
          <w:bottom w:val="single" w:sz="8" w:space="4" w:color="000000"/>
        </w:pBdr>
        <w:spacing w:before="260" w:after="120"/>
      </w:pPr>
      <w:r>
        <w:rPr>
          <w:b/>
          <w:color w:val="000000"/>
          <w:sz w:val="23"/>
          <w:spacing w:val="30"/>
        </w:rPr>
        <w:t>LANGUAGES</w:t>
      </w:r>
    </w:p>
    <w:p>
      <w:pPr>
        <w:keepNext w:val="0"/>
        <w:spacing w:after="80" w:before="0"/>
      </w:pPr>
      <w:r>
        <w:rPr>
          <w:b w:val="0"/>
          <w:i w:val="0"/>
          <w:color w:val="1A1A1A"/>
          <w:sz w:val="21"/>
        </w:rPr>
        <w:t>Amharic — Proficient (C2)   •   English — Advanced (C1)   •   Tigrigna — Elementary (A2)</w:t>
      </w:r>
    </w:p>
    <w:p>
      <w:pPr>
        <w:keepNext/>
        <w:pBdr>
          <w:bottom w:val="single" w:sz="8" w:space="4" w:color="000000"/>
        </w:pBdr>
        <w:spacing w:before="260" w:after="120"/>
      </w:pPr>
      <w:r>
        <w:rPr>
          <w:b/>
          <w:color w:val="000000"/>
          <w:sz w:val="23"/>
          <w:spacing w:val="30"/>
        </w:rPr>
        <w:t>REFERENCES</w:t>
      </w:r>
    </w:p>
    <w:p>
      <w:pPr>
        <w:keepNext w:val="0"/>
        <w:spacing w:after="80" w:before="0"/>
      </w:pPr>
      <w:r>
        <w:rPr>
          <w:b w:val="0"/>
          <w:i/>
          <w:color w:val="4D4D4D"/>
          <w:sz w:val="21"/>
        </w:rPr>
        <w:t>Available upon request.</w:t>
      </w:r>
    </w:p>
    <w:sectPr w:rsidR="00FC693F" w:rsidRPr="0006063C" w:rsidSect="00034616">
      <w:footerReference w:type="default" r:id="rId13"/>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D4D4D"/>
        <w:sz w:val="16"/>
      </w:rPr>
      <w:fldChar w:fldCharType="begin"/>
    </w:r>
    <w:r>
      <w:rPr>
        <w:color w:val="4D4D4D"/>
        <w:sz w:val="16"/>
      </w:rPr>
      <w:instrText xml:space="preserve">PAGE</w:instrText>
    </w:r>
    <w:r>
      <w:rPr>
        <w:color w:val="4D4D4D"/>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9"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before="0"/>
      <w:ind w:left="510" w:hanging="255"/>
      <w:contextualSpacing/>
    </w:pPr>
    <w:rPr>
      <w:rFonts w:ascii="Calibri" w:hAnsi="Calibri"/>
      <w:color w:val="1A1A1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Mebatsionmezgebu@gmail.com" TargetMode="External"/><Relationship Id="rId10" Type="http://schemas.openxmlformats.org/officeDocument/2006/relationships/hyperlink" Target="https://linkedin.com/in/mebatsionmezgebu" TargetMode="External"/><Relationship Id="rId11" Type="http://schemas.openxmlformats.org/officeDocument/2006/relationships/hyperlink" Target="https://youtu.be/Fncr6wgZE9U?si=fbU12jIx1WYCSHCH" TargetMode="External"/><Relationship Id="rId12" Type="http://schemas.openxmlformats.org/officeDocument/2006/relationships/hyperlink" Target="https://www.linkedin.com/posts/santim-pay_santimpay-sosimple-pos-activity-7358111285835665408-uI_h"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