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NPS - Metropolitana</w:t>
      </w:r>
    </w:p>
    <w:p>
      <w:pPr>
        <w:pStyle w:val="Author"/>
      </w:pPr>
      <w:r>
        <w:t xml:space="preserve">DobleA Consultoría</w:t>
      </w:r>
    </w:p>
    <w:p>
      <w:pPr>
        <w:pStyle w:val="Date"/>
      </w:pPr>
      <w:r>
        <w:t xml:space="preserve">19 de May de 2026</w: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reporte presenta los resultados de la encuesta de satisfacción NPS correspondiente a la región</w:t>
      </w:r>
      <w:r>
        <w:t xml:space="preserve"> </w:t>
      </w:r>
      <w:r>
        <w:rPr>
          <w:b/>
          <w:bCs/>
        </w:rPr>
        <w:t xml:space="preserve">Metropolitana</w:t>
      </w:r>
      <w:r>
        <w:t xml:space="preserve">.</w:t>
      </w:r>
    </w:p>
    <w:p>
      <w:pPr>
        <w:pStyle w:val="BodyText"/>
      </w:pPr>
      <w:r>
        <w:t xml:space="preserve">La muestra regional incluye</w:t>
      </w:r>
      <w:r>
        <w:t xml:space="preserve"> </w:t>
      </w:r>
      <w:r>
        <w:rPr>
          <w:b/>
          <w:bCs/>
        </w:rPr>
        <w:t xml:space="preserve">39 empresas</w:t>
      </w:r>
      <w:r>
        <w:t xml:space="preserve"> </w:t>
      </w:r>
      <w:r>
        <w:t xml:space="preserve">y un total de</w:t>
      </w:r>
      <w:r>
        <w:t xml:space="preserve"> </w:t>
      </w:r>
      <w:r>
        <w:rPr>
          <w:b/>
          <w:bCs/>
        </w:rPr>
        <w:t xml:space="preserve">790 respuestas</w:t>
      </w:r>
      <w:r>
        <w:t xml:space="preserve"> </w:t>
      </w:r>
      <w:r>
        <w:t xml:space="preserve">individuales. Período de medición: May 2026.</w:t>
      </w:r>
    </w:p>
    <w:p>
      <w:r>
        <w:pict>
          <v:rect style="width:0;height:1.5pt" o:hralign="center" o:hrstd="t" o:hr="t"/>
        </w:pict>
      </w:r>
    </w:p>
    <w:bookmarkEnd w:id="9"/>
    <w:bookmarkStart w:id="10" w:name="nps-regional-resumen-ejecutivo"/>
    <w:p>
      <w:pPr>
        <w:pStyle w:val="Heading2"/>
      </w:pPr>
      <w:r>
        <w:t xml:space="preserve">NPS Regional: Resumen Ejecutivo</w:t>
      </w:r>
    </w:p>
    <w:p>
      <w:pPr>
        <w:pStyle w:val="TableCaption"/>
      </w:pPr>
      <w:r>
        <w:t xml:space="preserve">Indicadores NPS - Metropolitana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dores NPS - Metropolitana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Pasivos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-8.7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Lectura:</w:t>
      </w:r>
      <w:r>
        <w:t xml:space="preserve"> </w:t>
      </w:r>
      <w:r>
        <w:t xml:space="preserve">el NPS Neto de -8.7% indica que</w:t>
      </w:r>
      <w:r>
        <w:t xml:space="preserve"> </w:t>
      </w:r>
      <w:r>
        <w:t xml:space="preserve">la región presenta riesgo: los detractores superan a los promotores..</w:t>
      </w:r>
    </w:p>
    <w:p>
      <w:r>
        <w:pict>
          <v:rect style="width:0;height:1.5pt" o:hralign="center" o:hrstd="t" o:hr="t"/>
        </w:pict>
      </w:r>
    </w:p>
    <w:bookmarkEnd w:id="10"/>
    <w:bookmarkStart w:id="14" w:name="distribución-del-nps"/>
    <w:p>
      <w:pPr>
        <w:pStyle w:val="Heading2"/>
      </w:pPr>
      <w:r>
        <w:t xml:space="preserve">Distribución del NPS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istribución del NPS score por categoria" title="" id="12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Metropolitana_files/figure-docx/hist-np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del NPS score por categoria</w:t>
      </w:r>
    </w:p>
    <w:p>
      <w:r>
        <w:pict>
          <v:rect style="width:0;height:1.5pt" o:hralign="center" o:hrstd="t" o:hr="t"/>
        </w:pict>
      </w:r>
    </w:p>
    <w:bookmarkEnd w:id="14"/>
    <w:bookmarkStart w:id="18" w:name="satisfacción-por-dimensión"/>
    <w:p>
      <w:pPr>
        <w:pStyle w:val="Heading2"/>
      </w:pPr>
      <w:r>
        <w:t xml:space="preserve">Satisfacción por Dimensión</w:t>
      </w:r>
    </w:p>
    <w:p>
      <w:pPr>
        <w:pStyle w:val="TableCaption"/>
      </w:pPr>
      <w:r>
        <w:t xml:space="preserve">Satisfaccion media (1-5): Metropolitana vs. Total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tisfaccion media (1-5): Metropolitana vs. Tota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Metropolitana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Precio/Valor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</w:tbl>
    <w:p>
      <w:pPr>
        <w:pStyle w:val="CaptionedFigure"/>
      </w:pPr>
      <w:r>
        <w:drawing>
          <wp:inline>
            <wp:extent cx="5334000" cy="3810000"/>
            <wp:effectExtent b="0" l="0" r="0" t="0"/>
            <wp:docPr descr="Satisfaccion media por dimension vs. promedio global" title="" id="16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Metropolitana_files/figure-docx/sat-barr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Satisfaccion media por dimension vs. promedio global</w:t>
      </w:r>
    </w:p>
    <w:p>
      <w:r>
        <w:pict>
          <v:rect style="width:0;height:1.5pt" o:hralign="center" o:hrstd="t" o:hr="t"/>
        </w:pict>
      </w:r>
    </w:p>
    <w:bookmarkEnd w:id="18"/>
    <w:bookmarkStart w:id="19" w:name="nps-por-segmento-de-empresa"/>
    <w:p>
      <w:pPr>
        <w:pStyle w:val="Heading2"/>
      </w:pPr>
      <w:r>
        <w:t xml:space="preserve">NPS por Segmento de Empresa</w:t>
      </w:r>
    </w:p>
    <w:p>
      <w:pPr>
        <w:pStyle w:val="TableCaption"/>
      </w:pPr>
      <w:r>
        <w:t xml:space="preserve">NPS por Segmento - Metropolitana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PS por Segmento - Metropolitan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resp.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mpresas-destacadas"/>
    <w:p>
      <w:pPr>
        <w:pStyle w:val="Heading2"/>
      </w:pPr>
      <w:r>
        <w:t xml:space="preserve">Empresas Destacadas</w:t>
      </w:r>
    </w:p>
    <w:p>
      <w:pPr>
        <w:pStyle w:val="TableCaption"/>
      </w:pPr>
      <w:r>
        <w:t xml:space="preserve">Top 3 empresas por NPS - Metropolitana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3 empresas por NPS - Metropolitana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</w:tbl>
    <w:p/>
    <w:p>
      <w:pPr>
        <w:pStyle w:val="TableCaption"/>
      </w:pPr>
      <w:r>
        <w:t xml:space="preserve">Bottom 3 empresas por NPS - Metropolitana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ottom 3 empresas por NPS - Metropolitana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actores-que-explican-el-nps"/>
    <w:p>
      <w:pPr>
        <w:pStyle w:val="Heading2"/>
      </w:pPr>
      <w:r>
        <w:t xml:space="preserve">Factores que Explican el NPS</w:t>
      </w:r>
    </w:p>
    <w:p>
      <w:pPr>
        <w:pStyle w:val="FirstParagraph"/>
      </w:pPr>
      <w:r>
        <w:t xml:space="preserve">El siguiente modelo de regresión identifica qué dimensiones de satisfacción tienen mayor impacto en el NPS Neto de las empresas en esta región.</w:t>
      </w:r>
    </w:p>
    <w:p>
      <w:pPr>
        <w:pStyle w:val="BodyText"/>
      </w:pPr>
      <w:r>
        <w:t xml:space="preserve">Regresion OLS - Region Metropolitana</w:t>
      </w:r>
    </w:p>
    <w:p>
      <w:pPr>
        <w:pStyle w:val="BodyText"/>
      </w:pPr>
      <w:r>
        <w:t xml:space="preserve">Dependent variable:</w:t>
      </w:r>
    </w:p>
    <w:p>
      <w:pPr>
        <w:pStyle w:val="BodyText"/>
      </w:pPr>
      <w:r>
        <w:t xml:space="preserve">NPS Neto (%)</w:t>
      </w:r>
    </w:p>
    <w:p>
      <w:pPr>
        <w:pStyle w:val="BodyText"/>
      </w:pPr>
      <w:r>
        <w:t xml:space="preserve">Producto</w:t>
      </w:r>
    </w:p>
    <w:p>
      <w:pPr>
        <w:pStyle w:val="BodyText"/>
      </w:pPr>
      <w:r>
        <w:t xml:space="preserve">12.090 (19.504)</w:t>
      </w:r>
    </w:p>
    <w:p>
      <w:pPr>
        <w:pStyle w:val="BodyText"/>
      </w:pPr>
      <w:r>
        <w:t xml:space="preserve">Servicio</w:t>
      </w:r>
    </w:p>
    <w:p>
      <w:pPr>
        <w:pStyle w:val="BodyText"/>
      </w:pPr>
      <w:r>
        <w:t xml:space="preserve">12.140 (15.429)</w:t>
      </w:r>
    </w:p>
    <w:p>
      <w:pPr>
        <w:pStyle w:val="BodyText"/>
      </w:pPr>
      <w:r>
        <w:t xml:space="preserve">Precio/Valor</w:t>
      </w:r>
    </w:p>
    <w:p>
      <w:pPr>
        <w:pStyle w:val="BodyText"/>
      </w:pPr>
      <w:r>
        <w:t xml:space="preserve">-0.216 (17.542)</w:t>
      </w:r>
    </w:p>
    <w:p>
      <w:pPr>
        <w:pStyle w:val="BodyText"/>
      </w:pPr>
      <w:r>
        <w:t xml:space="preserve">Soporte</w:t>
      </w:r>
    </w:p>
    <w:p>
      <w:pPr>
        <w:pStyle w:val="BodyText"/>
      </w:pPr>
      <w:r>
        <w:t xml:space="preserve">22.063 (19.560)</w:t>
      </w:r>
    </w:p>
    <w:p>
      <w:pPr>
        <w:pStyle w:val="BodyText"/>
      </w:pPr>
      <w:r>
        <w:t xml:space="preserve">Entrega</w:t>
      </w:r>
    </w:p>
    <w:p>
      <w:pPr>
        <w:pStyle w:val="BodyText"/>
      </w:pPr>
      <w:r>
        <w:t xml:space="preserve">-30.776 (18.671)</w:t>
      </w:r>
    </w:p>
    <w:p>
      <w:pPr>
        <w:pStyle w:val="BodyText"/>
      </w:pPr>
      <w:r>
        <w:t xml:space="preserve">Constant</w:t>
      </w:r>
    </w:p>
    <w:p>
      <w:pPr>
        <w:pStyle w:val="BodyText"/>
      </w:pPr>
      <w:r>
        <w:t xml:space="preserve">-48.734 (102.471)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R</w:t>
      </w:r>
      <w:r>
        <w:t xml:space="preserve">2</w:t>
      </w:r>
    </w:p>
    <w:p>
      <w:pPr>
        <w:pStyle w:val="BodyText"/>
      </w:pPr>
      <w:r>
        <w:t xml:space="preserve">0.138</w:t>
      </w:r>
    </w:p>
    <w:p>
      <w:pPr>
        <w:pStyle w:val="BodyText"/>
      </w:pPr>
      <w:r>
        <w:t xml:space="preserve">Adjusted R</w:t>
      </w:r>
      <w:r>
        <w:t xml:space="preserve">2</w:t>
      </w:r>
    </w:p>
    <w:p>
      <w:pPr>
        <w:pStyle w:val="BodyText"/>
      </w:pPr>
      <w:r>
        <w:t xml:space="preserve">0.008</w:t>
      </w:r>
    </w:p>
    <w:p>
      <w:pPr>
        <w:pStyle w:val="BodyText"/>
      </w:pPr>
      <w:r>
        <w:t xml:space="preserve">Residual Std. Error</w:t>
      </w:r>
    </w:p>
    <w:p>
      <w:pPr>
        <w:pStyle w:val="BodyText"/>
      </w:pPr>
      <w:r>
        <w:t xml:space="preserve">20.038 (df = 33)</w:t>
      </w:r>
    </w:p>
    <w:p>
      <w:pPr>
        <w:pStyle w:val="BodyText"/>
      </w:pPr>
      <w:r>
        <w:t xml:space="preserve">F Statistic</w:t>
      </w:r>
    </w:p>
    <w:p>
      <w:pPr>
        <w:pStyle w:val="BodyText"/>
      </w:pPr>
      <w:r>
        <w:t xml:space="preserve">1.058 (df = 5; 33)</w:t>
      </w:r>
    </w:p>
    <w:p>
      <w:pPr>
        <w:pStyle w:val="BodyText"/>
      </w:pPr>
      <w:r>
        <w:t xml:space="preserve">Note:</w:t>
      </w:r>
    </w:p>
    <w:p>
      <w:pPr>
        <w:pStyle w:val="BodyText"/>
      </w:pPr>
      <w:r>
        <w:rPr>
          <w:i/>
          <w:iCs/>
        </w:rPr>
        <w:t xml:space="preserve">p&lt;0.1;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p&lt;0.05;</w:t>
      </w:r>
      <w:r>
        <w:rPr>
          <w:b/>
          <w:bCs/>
          <w:i/>
          <w:iCs/>
        </w:rPr>
        <w:t xml:space="preserve"> </w:t>
      </w:r>
      <w:r>
        <w:t xml:space="preserve">p&lt;0.01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Un coeficiente de, por ejemplo, 8.5 en</w:t>
      </w:r>
      <w:r>
        <w:t xml:space="preserve"> </w:t>
      </w:r>
      <w:r>
        <w:t xml:space="preserve">“Servicio”</w:t>
      </w:r>
      <w:r>
        <w:t xml:space="preserve"> </w:t>
      </w:r>
      <w:r>
        <w:t xml:space="preserve">significa que, controlando por las demás dimensiones, una unidad más de satisfacción con el servicio se asocia con un NPS Neto 8.5 puntos mayor.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automaticamente · DobleA Consultoria · May 2026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NPS - Metropolitana</dc:title>
  <dc:creator>DobleA Consultoría</dc:creator>
  <cp:keywords/>
  <dcterms:created xsi:type="dcterms:W3CDTF">2026-05-20T00:07:51Z</dcterms:created>
  <dcterms:modified xsi:type="dcterms:W3CDTF">2026-05-20T00:07:51Z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de May de 2026</vt:lpwstr>
  </property>
  <property fmtid="{D5CDD505-2E9C-101B-9397-08002B2CF9AE}" pid="3" name="output">
    <vt:lpwstr/>
  </property>
  <property fmtid="{D5CDD505-2E9C-101B-9397-08002B2CF9AE}" pid="4" name="params">
    <vt:lpwstr/>
  </property>
</Properties>
</file>