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Reporte NPS - Sur</w:t>
      </w:r>
    </w:p>
    <w:p>
      <w:pPr>
        <w:pStyle w:val="Author"/>
      </w:pPr>
      <w:r>
        <w:t xml:space="preserve">DobleA Consultoría</w:t>
      </w:r>
    </w:p>
    <w:p>
      <w:pPr>
        <w:pStyle w:val="Date"/>
      </w:pPr>
      <w:r>
        <w:t xml:space="preserve">19 de May de 2026</w:t>
      </w:r>
    </w:p>
    <w:bookmarkStart w:id="9" w:name="introducción"/>
    <w:p>
      <w:pPr>
        <w:pStyle w:val="Heading2"/>
      </w:pPr>
      <w:r>
        <w:t xml:space="preserve">Introducción</w:t>
      </w:r>
    </w:p>
    <w:p>
      <w:pPr>
        <w:pStyle w:val="FirstParagraph"/>
      </w:pPr>
      <w:r>
        <w:t xml:space="preserve">Este reporte presenta los resultados de la encuesta de satisfacción NPS correspondiente a la región</w:t>
      </w:r>
      <w:r>
        <w:t xml:space="preserve"> </w:t>
      </w:r>
      <w:r>
        <w:rPr>
          <w:b/>
          <w:bCs/>
        </w:rPr>
        <w:t xml:space="preserve">Sur</w:t>
      </w:r>
      <w:r>
        <w:t xml:space="preserve">.</w:t>
      </w:r>
    </w:p>
    <w:p>
      <w:pPr>
        <w:pStyle w:val="BodyText"/>
      </w:pPr>
      <w:r>
        <w:t xml:space="preserve">La muestra regional incluye</w:t>
      </w:r>
      <w:r>
        <w:t xml:space="preserve"> </w:t>
      </w:r>
      <w:r>
        <w:rPr>
          <w:b/>
          <w:bCs/>
        </w:rPr>
        <w:t xml:space="preserve">12 empresas</w:t>
      </w:r>
      <w:r>
        <w:t xml:space="preserve"> </w:t>
      </w:r>
      <w:r>
        <w:t xml:space="preserve">y un total de</w:t>
      </w:r>
      <w:r>
        <w:t xml:space="preserve"> </w:t>
      </w:r>
      <w:r>
        <w:rPr>
          <w:b/>
          <w:bCs/>
        </w:rPr>
        <w:t xml:space="preserve">256 respuestas</w:t>
      </w:r>
      <w:r>
        <w:t xml:space="preserve"> </w:t>
      </w:r>
      <w:r>
        <w:t xml:space="preserve">individuales. Período de medición: May 2026.</w:t>
      </w:r>
    </w:p>
    <w:p>
      <w:r>
        <w:pict>
          <v:rect style="width:0;height:1.5pt" o:hralign="center" o:hrstd="t" o:hr="t"/>
        </w:pict>
      </w:r>
    </w:p>
    <w:bookmarkEnd w:id="9"/>
    <w:bookmarkStart w:id="10" w:name="nps-regional-resumen-ejecutivo"/>
    <w:p>
      <w:pPr>
        <w:pStyle w:val="Heading2"/>
      </w:pPr>
      <w:r>
        <w:t xml:space="preserve">NPS Regional: Resumen Ejecutivo</w:t>
      </w:r>
    </w:p>
    <w:p>
      <w:pPr>
        <w:pStyle w:val="TableCaption"/>
      </w:pPr>
      <w:r>
        <w:t xml:space="preserve">Indicadores NPS - Sur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adores NPS - Sur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% Promotores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Pasivos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Detractores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-36</w:t>
            </w:r>
          </w:p>
        </w:tc>
      </w:tr>
    </w:tbl>
    <w:p>
      <w:pPr>
        <w:pStyle w:val="BodyText"/>
      </w:pPr>
      <w:r>
        <w:rPr>
          <w:b/>
          <w:bCs/>
        </w:rPr>
        <w:t xml:space="preserve">Lectura:</w:t>
      </w:r>
      <w:r>
        <w:t xml:space="preserve"> </w:t>
      </w:r>
      <w:r>
        <w:t xml:space="preserve">el NPS Neto de -36% indica que</w:t>
      </w:r>
      <w:r>
        <w:t xml:space="preserve"> </w:t>
      </w:r>
      <w:r>
        <w:t xml:space="preserve">la región presenta riesgo: los detractores superan a los promotores..</w:t>
      </w:r>
    </w:p>
    <w:p>
      <w:r>
        <w:pict>
          <v:rect style="width:0;height:1.5pt" o:hralign="center" o:hrstd="t" o:hr="t"/>
        </w:pict>
      </w:r>
    </w:p>
    <w:bookmarkEnd w:id="10"/>
    <w:bookmarkStart w:id="14" w:name="distribución-del-nps"/>
    <w:p>
      <w:pPr>
        <w:pStyle w:val="Heading2"/>
      </w:pPr>
      <w:r>
        <w:t xml:space="preserve">Distribución del NPS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Distribución del NPS score por categoria" title="" id="12" name="Picture"/>
            <a:graphic>
              <a:graphicData uri="http://schemas.openxmlformats.org/drawingml/2006/picture">
                <pic:pic>
                  <pic:nvPicPr>
                    <pic:cNvPr descr="/Users/mebucca/Library/Mobile%20Documents/com~apple~CloudDocs/TallerAA/workflow_adv/results/reporte_Sur_files/figure-docx/hist-nps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Distribución del NPS score por categoria</w:t>
      </w:r>
    </w:p>
    <w:p>
      <w:r>
        <w:pict>
          <v:rect style="width:0;height:1.5pt" o:hralign="center" o:hrstd="t" o:hr="t"/>
        </w:pict>
      </w:r>
    </w:p>
    <w:bookmarkEnd w:id="14"/>
    <w:bookmarkStart w:id="18" w:name="satisfacción-por-dimensión"/>
    <w:p>
      <w:pPr>
        <w:pStyle w:val="Heading2"/>
      </w:pPr>
      <w:r>
        <w:t xml:space="preserve">Satisfacción por Dimensión</w:t>
      </w:r>
    </w:p>
    <w:p>
      <w:pPr>
        <w:pStyle w:val="TableCaption"/>
      </w:pPr>
      <w:r>
        <w:t xml:space="preserve">Satisfaccion media (1-5): Sur vs. Total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atisfaccion media (1-5): Sur vs. Total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Global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Precio/Valor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</w:t>
            </w:r>
          </w:p>
        </w:tc>
      </w:tr>
    </w:tbl>
    <w:p>
      <w:pPr>
        <w:pStyle w:val="CaptionedFigure"/>
      </w:pPr>
      <w:r>
        <w:drawing>
          <wp:inline>
            <wp:extent cx="5334000" cy="3810000"/>
            <wp:effectExtent b="0" l="0" r="0" t="0"/>
            <wp:docPr descr="Satisfaccion media por dimension vs. promedio global" title="" id="16" name="Picture"/>
            <a:graphic>
              <a:graphicData uri="http://schemas.openxmlformats.org/drawingml/2006/picture">
                <pic:pic>
                  <pic:nvPicPr>
                    <pic:cNvPr descr="/Users/mebucca/Library/Mobile%20Documents/com~apple~CloudDocs/TallerAA/workflow_adv/results/reporte_Sur_files/figure-docx/sat-barras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Satisfaccion media por dimension vs. promedio global</w:t>
      </w:r>
    </w:p>
    <w:p>
      <w:r>
        <w:pict>
          <v:rect style="width:0;height:1.5pt" o:hralign="center" o:hrstd="t" o:hr="t"/>
        </w:pict>
      </w:r>
    </w:p>
    <w:bookmarkEnd w:id="18"/>
    <w:bookmarkStart w:id="19" w:name="nps-por-segmento-de-empresa"/>
    <w:p>
      <w:pPr>
        <w:pStyle w:val="Heading2"/>
      </w:pPr>
      <w:r>
        <w:t xml:space="preserve">NPS por Segmento de Empresa</w:t>
      </w:r>
    </w:p>
    <w:p>
      <w:pPr>
        <w:pStyle w:val="TableCaption"/>
      </w:pPr>
      <w:r>
        <w:t xml:space="preserve">NPS por Segmento - Sur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NPS por Segmento - Sur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 resp.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Promotores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Detractores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-43.5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empresas-destacadas"/>
    <w:p>
      <w:pPr>
        <w:pStyle w:val="Heading2"/>
      </w:pPr>
      <w:r>
        <w:t xml:space="preserve">Empresas Destacadas</w:t>
      </w:r>
    </w:p>
    <w:p>
      <w:pPr>
        <w:pStyle w:val="TableCaption"/>
      </w:pPr>
      <w:r>
        <w:t xml:space="preserve">Top 3 empresas por NPS - Sur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op 3 empresas por NPS - Sur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Sat.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</w:tr>
    </w:tbl>
    <w:p/>
    <w:p>
      <w:pPr>
        <w:pStyle w:val="TableCaption"/>
      </w:pPr>
      <w:r>
        <w:t xml:space="preserve">Bottom 3 empresas por NPS - Sur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ottom 3 empresas por NPS - Sur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NPS Neto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Sat. 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-57.1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factores-que-explican-el-nps"/>
    <w:p>
      <w:pPr>
        <w:pStyle w:val="Heading2"/>
      </w:pPr>
      <w:r>
        <w:t xml:space="preserve">Factores que Explican el NPS</w:t>
      </w:r>
    </w:p>
    <w:p>
      <w:pPr>
        <w:pStyle w:val="FirstParagraph"/>
      </w:pPr>
      <w:r>
        <w:t xml:space="preserve">El siguiente modelo de regresión identifica qué dimensiones de satisfacción tienen mayor impacto en el NPS Neto de las empresas en esta región.</w:t>
      </w:r>
    </w:p>
    <w:p>
      <w:pPr>
        <w:pStyle w:val="BodyText"/>
      </w:pPr>
      <w:r>
        <w:t xml:space="preserve">Regresion OLS - Region Sur</w:t>
      </w:r>
    </w:p>
    <w:p>
      <w:pPr>
        <w:pStyle w:val="BodyText"/>
      </w:pPr>
      <w:r>
        <w:t xml:space="preserve">Dependent variable:</w:t>
      </w:r>
    </w:p>
    <w:p>
      <w:pPr>
        <w:pStyle w:val="BodyText"/>
      </w:pPr>
      <w:r>
        <w:t xml:space="preserve">NPS Neto (%)</w:t>
      </w:r>
    </w:p>
    <w:p>
      <w:pPr>
        <w:pStyle w:val="BodyText"/>
      </w:pPr>
      <w:r>
        <w:t xml:space="preserve">Producto</w:t>
      </w:r>
    </w:p>
    <w:p>
      <w:pPr>
        <w:pStyle w:val="BodyText"/>
      </w:pPr>
      <w:r>
        <w:t xml:space="preserve">-35.718 (45.845)</w:t>
      </w:r>
    </w:p>
    <w:p>
      <w:pPr>
        <w:pStyle w:val="BodyText"/>
      </w:pPr>
      <w:r>
        <w:t xml:space="preserve">Servicio</w:t>
      </w:r>
    </w:p>
    <w:p>
      <w:pPr>
        <w:pStyle w:val="BodyText"/>
      </w:pPr>
      <w:r>
        <w:t xml:space="preserve">-4.523 (37.207)</w:t>
      </w:r>
    </w:p>
    <w:p>
      <w:pPr>
        <w:pStyle w:val="BodyText"/>
      </w:pPr>
      <w:r>
        <w:t xml:space="preserve">Precio/Valor</w:t>
      </w:r>
    </w:p>
    <w:p>
      <w:pPr>
        <w:pStyle w:val="BodyText"/>
      </w:pPr>
      <w:r>
        <w:t xml:space="preserve">87.652 (67.654)</w:t>
      </w:r>
    </w:p>
    <w:p>
      <w:pPr>
        <w:pStyle w:val="BodyText"/>
      </w:pPr>
      <w:r>
        <w:t xml:space="preserve">Soporte</w:t>
      </w:r>
    </w:p>
    <w:p>
      <w:pPr>
        <w:pStyle w:val="BodyText"/>
      </w:pPr>
      <w:r>
        <w:t xml:space="preserve">-5.780 (30.997)</w:t>
      </w:r>
    </w:p>
    <w:p>
      <w:pPr>
        <w:pStyle w:val="BodyText"/>
      </w:pPr>
      <w:r>
        <w:t xml:space="preserve">Entrega</w:t>
      </w:r>
    </w:p>
    <w:p>
      <w:pPr>
        <w:pStyle w:val="BodyText"/>
      </w:pPr>
      <w:r>
        <w:t xml:space="preserve">2.404 (32.631)</w:t>
      </w:r>
    </w:p>
    <w:p>
      <w:pPr>
        <w:pStyle w:val="BodyText"/>
      </w:pPr>
      <w:r>
        <w:t xml:space="preserve">Constant</w:t>
      </w:r>
    </w:p>
    <w:p>
      <w:pPr>
        <w:pStyle w:val="BodyText"/>
      </w:pPr>
      <w:r>
        <w:t xml:space="preserve">-134.652 (321.043)</w:t>
      </w:r>
    </w:p>
    <w:p>
      <w:pPr>
        <w:pStyle w:val="BodyText"/>
      </w:pPr>
      <w:r>
        <w:t xml:space="preserve">Observations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R</w:t>
      </w:r>
      <w:r>
        <w:t xml:space="preserve">2</w:t>
      </w:r>
    </w:p>
    <w:p>
      <w:pPr>
        <w:pStyle w:val="BodyText"/>
      </w:pPr>
      <w:r>
        <w:t xml:space="preserve">0.343</w:t>
      </w:r>
    </w:p>
    <w:p>
      <w:pPr>
        <w:pStyle w:val="BodyText"/>
      </w:pPr>
      <w:r>
        <w:t xml:space="preserve">Adjusted R</w:t>
      </w:r>
      <w:r>
        <w:t xml:space="preserve">2</w:t>
      </w:r>
    </w:p>
    <w:p>
      <w:pPr>
        <w:pStyle w:val="BodyText"/>
      </w:pPr>
      <w:r>
        <w:t xml:space="preserve">-0.205</w:t>
      </w:r>
    </w:p>
    <w:p>
      <w:pPr>
        <w:pStyle w:val="BodyText"/>
      </w:pPr>
      <w:r>
        <w:t xml:space="preserve">Residual Std. Error</w:t>
      </w:r>
    </w:p>
    <w:p>
      <w:pPr>
        <w:pStyle w:val="BodyText"/>
      </w:pPr>
      <w:r>
        <w:t xml:space="preserve">21.113 (df = 6)</w:t>
      </w:r>
    </w:p>
    <w:p>
      <w:pPr>
        <w:pStyle w:val="BodyText"/>
      </w:pPr>
      <w:r>
        <w:t xml:space="preserve">F Statistic</w:t>
      </w:r>
    </w:p>
    <w:p>
      <w:pPr>
        <w:pStyle w:val="BodyText"/>
      </w:pPr>
      <w:r>
        <w:t xml:space="preserve">0.626 (df = 5; 6)</w:t>
      </w:r>
    </w:p>
    <w:p>
      <w:pPr>
        <w:pStyle w:val="BodyText"/>
      </w:pPr>
      <w:r>
        <w:t xml:space="preserve">Note:</w:t>
      </w:r>
    </w:p>
    <w:p>
      <w:pPr>
        <w:pStyle w:val="BodyText"/>
      </w:pPr>
      <w:r>
        <w:rPr>
          <w:i/>
          <w:iCs/>
        </w:rPr>
        <w:t xml:space="preserve">p&lt;0.1;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p&lt;0.05;</w:t>
      </w:r>
      <w:r>
        <w:rPr>
          <w:b/>
          <w:bCs/>
          <w:i/>
          <w:iCs/>
        </w:rPr>
        <w:t xml:space="preserve"> </w:t>
      </w:r>
      <w:r>
        <w:t xml:space="preserve">p&lt;0.01</w:t>
      </w:r>
    </w:p>
    <w:p>
      <w:pPr>
        <w:pStyle w:val="BodyText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Un coeficiente de, por ejemplo, 8.5 en</w:t>
      </w:r>
      <w:r>
        <w:t xml:space="preserve"> </w:t>
      </w:r>
      <w:r>
        <w:t xml:space="preserve">“Servicio”</w:t>
      </w:r>
      <w:r>
        <w:t xml:space="preserve"> </w:t>
      </w:r>
      <w:r>
        <w:t xml:space="preserve">significa que, controlando por las demás dimensiones, una unidad más de satisfacción con el servicio se asocia con un NPS Neto 8.5 puntos mayor.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Reporte generado automaticamente · DobleA Consultoria · May 2026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NPS - Sur</dc:title>
  <dc:creator>DobleA Consultoría</dc:creator>
  <cp:keywords/>
  <dcterms:created xsi:type="dcterms:W3CDTF">2026-05-20T00:08:09Z</dcterms:created>
  <dcterms:modified xsi:type="dcterms:W3CDTF">2026-05-20T00:08:09Z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19 de May de 2026</vt:lpwstr>
  </property>
  <property fmtid="{D5CDD505-2E9C-101B-9397-08002B2CF9AE}" pid="3" name="output">
    <vt:lpwstr/>
  </property>
  <property fmtid="{D5CDD505-2E9C-101B-9397-08002B2CF9AE}" pid="4" name="params">
    <vt:lpwstr/>
  </property>
</Properties>
</file>