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1.jpg" ContentType="image/jpe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Mauricio</w:t>
      </w:r>
      <w:r>
        <w:t xml:space="preserve"> </w:t>
      </w:r>
      <w:r>
        <w:t xml:space="preserve">Bucca</w:t>
      </w:r>
    </w:p>
    <w:p>
      <w:pPr>
        <w:pStyle w:val="Date"/>
      </w:pPr>
      <w:r>
        <w:t xml:space="preserve">10</w:t>
      </w:r>
      <w:r>
        <w:t xml:space="preserve"> </w:t>
      </w:r>
      <w:r>
        <w:t xml:space="preserve">de</w:t>
      </w:r>
      <w:r>
        <w:t xml:space="preserve"> </w:t>
      </w:r>
      <w:r>
        <w:t xml:space="preserve">Noviembre</w:t>
      </w:r>
      <w:r>
        <w:t xml:space="preserve"> </w:t>
      </w:r>
      <w:r>
        <w:t xml:space="preserve">2021</w:t>
      </w:r>
    </w:p>
    <w:bookmarkStart w:id="22" w:name="la-vida-en-austria"/>
    <w:p>
      <w:pPr>
        <w:pStyle w:val="Heading2"/>
      </w:pPr>
      <w:r>
        <w:t xml:space="preserve">La vida en Austria</w:t>
      </w:r>
    </w:p>
    <w:p>
      <w:pPr>
        <w:pStyle w:val="FirstParagraph"/>
      </w:pPr>
      <w:r>
        <w:t xml:space="preserve">Diferentes autores han argumentado que la vida en Austria se reduce a pasear por las calles de Viena, tomar café y comer torta Sacher (Velasquez 2019). Las figuras a continuación ilustran este argumento.</w:t>
      </w:r>
    </w:p>
    <w:p>
      <w:pPr>
        <w:pStyle w:val="BodyText"/>
      </w:pPr>
      <w:r>
        <w:drawing>
          <wp:inline>
            <wp:extent cx="5334000" cy="2998075"/>
            <wp:effectExtent b="0" l="0" r="0" t="0"/>
            <wp:docPr descr="Calles de Viena" title="" id="1" name="Picture"/>
            <a:graphic>
              <a:graphicData uri="http://schemas.openxmlformats.org/drawingml/2006/picture">
                <pic:pic>
                  <pic:nvPicPr>
                    <pic:cNvPr descr="/Users/Mauricio/Library/Mobile%20Documents/com~apple~CloudDocs/Teaching/ISUC/2021_2_data_analysis_r/repo/slides/class_15/austria.jpg" id="0" name="Picture"/>
                    <pic:cNvPicPr>
                      <a:picLocks noChangeArrowheads="1" noChangeAspect="1"/>
                    </pic:cNvPicPr>
                  </pic:nvPicPr>
                  <pic:blipFill>
                    <a:blip r:embed="rId20"/>
                    <a:stretch>
                      <a:fillRect/>
                    </a:stretch>
                  </pic:blipFill>
                  <pic:spPr bwMode="auto">
                    <a:xfrm>
                      <a:off x="0" y="0"/>
                      <a:ext cx="5334000" cy="2998075"/>
                    </a:xfrm>
                    <a:prstGeom prst="rect">
                      <a:avLst/>
                    </a:prstGeom>
                    <a:noFill/>
                    <a:ln w="9525">
                      <a:noFill/>
                      <a:headEnd/>
                      <a:tailEnd/>
                    </a:ln>
                  </pic:spPr>
                </pic:pic>
              </a:graphicData>
            </a:graphic>
          </wp:inline>
        </w:drawing>
      </w:r>
      <w:r>
        <w:drawing>
          <wp:inline>
            <wp:extent cx="5334000" cy="3901529"/>
            <wp:effectExtent b="0" l="0" r="0" t="0"/>
            <wp:docPr descr="Café y Sacher" title="" id="1" name="Picture"/>
            <a:graphic>
              <a:graphicData uri="http://schemas.openxmlformats.org/drawingml/2006/picture">
                <pic:pic>
                  <pic:nvPicPr>
                    <pic:cNvPr descr="/Users/Mauricio/Library/Mobile%20Documents/com~apple~CloudDocs/Teaching/ISUC/2021_2_data_analysis_r/repo/slides/class_15/sacher.jpg" id="0" name="Picture"/>
                    <pic:cNvPicPr>
                      <a:picLocks noChangeArrowheads="1" noChangeAspect="1"/>
                    </pic:cNvPicPr>
                  </pic:nvPicPr>
                  <pic:blipFill>
                    <a:blip r:embed="rId21"/>
                    <a:stretch>
                      <a:fillRect/>
                    </a:stretch>
                  </pic:blipFill>
                  <pic:spPr bwMode="auto">
                    <a:xfrm>
                      <a:off x="0" y="0"/>
                      <a:ext cx="5334000" cy="3901529"/>
                    </a:xfrm>
                    <a:prstGeom prst="rect">
                      <a:avLst/>
                    </a:prstGeom>
                    <a:noFill/>
                    <a:ln w="9525">
                      <a:noFill/>
                      <a:headEnd/>
                      <a:tailEnd/>
                    </a:ln>
                  </pic:spPr>
                </pic:pic>
              </a:graphicData>
            </a:graphic>
          </wp:inline>
        </w:drawing>
      </w:r>
    </w:p>
    <w:p>
      <w:pPr>
        <w:pStyle w:val="BodyText"/>
      </w:pPr>
      <w:r>
        <w:t xml:space="preserve">El presente artículo, basado en teorías recientes en literatura de economía institucional (Aranzaes y Rebolledo 2020), busca testear la siguiente hipótesis complementaria: para entender la vida en Austria hay que considerar elementos adicionales, no reducibles a consideraciones estéticas de sus ciudades, la oferta de bebidas calientes y la calidad de la repostería local. Formalmente, nuestro modelo puede ser escrito de la siguiente manera:</w:t>
      </w:r>
    </w:p>
    <w:p>
      <w:pPr>
        <w:pStyle w:val="BodyText"/>
      </w:pPr>
      <m:oMathPara>
        <m:oMathParaPr>
          <m:jc m:val="center"/>
        </m:oMathParaPr>
        <m:oMath>
          <m:r>
            <m:rPr>
              <m:nor/>
              <m:sty m:val="p"/>
            </m:rPr>
            <m:t>Vida_Austria</m:t>
          </m:r>
          <m:r>
            <m:rPr>
              <m:sty m:val="p"/>
            </m:rPr>
            <m:t>=</m:t>
          </m:r>
          <m:r>
            <m:rPr>
              <m:sty m:val="p"/>
            </m:rPr>
            <m:t>∫</m:t>
          </m:r>
          <m:r>
            <m:t>f</m:t>
          </m:r>
          <m:r>
            <m:rPr>
              <m:sty m:val="p"/>
            </m:rPr>
            <m:t>(</m:t>
          </m:r>
          <m:r>
            <m:rPr>
              <m:nor/>
              <m:sty m:val="p"/>
            </m:rPr>
            <m:t>calles Viena</m:t>
          </m:r>
          <m:r>
            <m:rPr>
              <m:sty m:val="p"/>
            </m:rPr>
            <m:t>,</m:t>
          </m:r>
          <m:r>
            <m:rPr>
              <m:nor/>
              <m:sty m:val="p"/>
            </m:rPr>
            <m:t>Café</m:t>
          </m:r>
          <m:r>
            <m:rPr>
              <m:sty m:val="p"/>
            </m:rPr>
            <m:t>,</m:t>
          </m:r>
          <m:r>
            <m:rPr>
              <m:nor/>
              <m:sty m:val="p"/>
            </m:rPr>
            <m:t>Sacher</m:t>
          </m:r>
          <m:r>
            <m:rPr>
              <m:sty m:val="p"/>
            </m:rPr>
            <m:t>,</m:t>
          </m:r>
          <m:r>
            <m:t>x</m:t>
          </m:r>
          <m:r>
            <m:rPr>
              <m:sty m:val="p"/>
            </m:rPr>
            <m:t>)</m:t>
          </m:r>
          <m:r>
            <m:t>d</m:t>
          </m:r>
          <m:r>
            <m:t>x</m:t>
          </m:r>
        </m:oMath>
      </m:oMathPara>
    </w:p>
    <w:p>
      <w:pPr>
        <w:pStyle w:val="FirstParagraph"/>
      </w:pPr>
      <w:r>
        <w:t xml:space="preserve">donde</w:t>
      </w:r>
      <w:r>
        <w:t xml:space="preserve"> </w:t>
      </w:r>
      <m:oMath>
        <m:r>
          <m:t>x</m:t>
        </m:r>
      </m:oMath>
      <w:r>
        <w:t xml:space="preserve"> </w:t>
      </w:r>
      <w:r>
        <w:t xml:space="preserve">es una variable que mide</w:t>
      </w:r>
      <w:r>
        <w:t xml:space="preserve"> </w:t>
      </w:r>
      <w:r>
        <w:t xml:space="preserve">“</w:t>
      </w:r>
      <w:r>
        <w:t xml:space="preserve">otros elementos</w:t>
      </w:r>
      <w:r>
        <w:t xml:space="preserve">”</w:t>
      </w:r>
      <w:r>
        <w:t xml:space="preserve">.</w:t>
      </w:r>
    </w:p>
    <w:p>
      <w:pPr>
        <w:pStyle w:val="BodyText"/>
      </w:pPr>
      <w:r>
        <w:t xml:space="preserve">Para testear esta hipótesis usaremos datos de la encuesta European Social Survey (Wave 8, año 2019). El tamaño de la muestra es N= 2010, con 497 valores perdidos en la variable ingreso (</w:t>
      </w:r>
      <w:r>
        <w:rPr>
          <w:rStyle w:val="VerbatimChar"/>
        </w:rPr>
        <w:t xml:space="preserve">hinctnta</w:t>
      </w:r>
      <w:r>
        <w:t xml:space="preserve">) y 3 valores perdidos en la variable educación (</w:t>
      </w:r>
      <w:r>
        <w:rPr>
          <w:rStyle w:val="VerbatimChar"/>
        </w:rPr>
        <w:t xml:space="preserve">eisced</w:t>
      </w:r>
      <w:r>
        <w:t xml:space="preserve">). La siguiente tabla presenta la distribución conjunta de educación en ingresos:</w:t>
      </w:r>
    </w:p>
    <w:tbl>
      <w:tblPr>
        <w:tblStyle w:val="Table"/>
        <w:tblW w:type="pct" w:w="0.0"/>
        <w:tblLook w:firstRow="1" w:lastRow="0" w:firstColumn="0" w:lastColumn="0" w:noHBand="0" w:noVBand="0" w:val="0020"/>
      </w:tblPr>
      <w:tblGrid/>
      <w:tr>
        <w:tc>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6</w:t>
            </w:r>
          </w:p>
        </w:tc>
        <w:tc>
          <w:p>
            <w:pPr>
              <w:pStyle w:val="Compact"/>
              <w:jc w:val="right"/>
            </w:pPr>
            <w:r>
              <w:t xml:space="preserve">7</w:t>
            </w:r>
          </w:p>
        </w:tc>
        <w:tc>
          <w:p>
            <w:pPr>
              <w:pStyle w:val="Compact"/>
              <w:jc w:val="right"/>
            </w:pPr>
            <w:r>
              <w:t xml:space="preserve">8</w:t>
            </w:r>
          </w:p>
        </w:tc>
        <w:tc>
          <w:p>
            <w:pPr>
              <w:pStyle w:val="Compact"/>
              <w:jc w:val="right"/>
            </w:pPr>
            <w:r>
              <w:t xml:space="preserve">9</w:t>
            </w:r>
          </w:p>
        </w:tc>
        <w:tc>
          <w:p>
            <w:pPr>
              <w:pStyle w:val="Compact"/>
              <w:jc w:val="right"/>
            </w:pPr>
            <w:r>
              <w:t xml:space="preserve">10</w:t>
            </w:r>
          </w:p>
        </w:tc>
      </w:tr>
      <w:tr>
        <w:tc>
          <w:p>
            <w:pPr>
              <w:pStyle w:val="Compact"/>
              <w:jc w:val="left"/>
            </w:pPr>
            <w:r>
              <w:t xml:space="preserve">1</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2</w:t>
            </w:r>
          </w:p>
        </w:tc>
        <w:tc>
          <w:p>
            <w:pPr>
              <w:pStyle w:val="Compact"/>
              <w:jc w:val="right"/>
            </w:pPr>
            <w:r>
              <w:t xml:space="preserve">56</w:t>
            </w:r>
          </w:p>
        </w:tc>
        <w:tc>
          <w:p>
            <w:pPr>
              <w:pStyle w:val="Compact"/>
              <w:jc w:val="right"/>
            </w:pPr>
            <w:r>
              <w:t xml:space="preserve">52</w:t>
            </w:r>
          </w:p>
        </w:tc>
        <w:tc>
          <w:p>
            <w:pPr>
              <w:pStyle w:val="Compact"/>
              <w:jc w:val="right"/>
            </w:pPr>
            <w:r>
              <w:t xml:space="preserve">27</w:t>
            </w:r>
          </w:p>
        </w:tc>
        <w:tc>
          <w:p>
            <w:pPr>
              <w:pStyle w:val="Compact"/>
              <w:jc w:val="right"/>
            </w:pPr>
            <w:r>
              <w:t xml:space="preserve">25</w:t>
            </w:r>
          </w:p>
        </w:tc>
        <w:tc>
          <w:p>
            <w:pPr>
              <w:pStyle w:val="Compact"/>
              <w:jc w:val="right"/>
            </w:pPr>
            <w:r>
              <w:t xml:space="preserve">20</w:t>
            </w:r>
          </w:p>
        </w:tc>
        <w:tc>
          <w:p>
            <w:pPr>
              <w:pStyle w:val="Compact"/>
              <w:jc w:val="right"/>
            </w:pPr>
            <w:r>
              <w:t xml:space="preserve">15</w:t>
            </w:r>
          </w:p>
        </w:tc>
        <w:tc>
          <w:p>
            <w:pPr>
              <w:pStyle w:val="Compact"/>
              <w:jc w:val="right"/>
            </w:pPr>
            <w:r>
              <w:t xml:space="preserve">7</w:t>
            </w:r>
          </w:p>
        </w:tc>
        <w:tc>
          <w:p>
            <w:pPr>
              <w:pStyle w:val="Compact"/>
              <w:jc w:val="right"/>
            </w:pPr>
            <w:r>
              <w:t xml:space="preserve">1</w:t>
            </w:r>
          </w:p>
        </w:tc>
        <w:tc>
          <w:p>
            <w:pPr>
              <w:pStyle w:val="Compact"/>
              <w:jc w:val="right"/>
            </w:pPr>
            <w:r>
              <w:t xml:space="preserve">7</w:t>
            </w:r>
          </w:p>
        </w:tc>
        <w:tc>
          <w:p>
            <w:pPr>
              <w:pStyle w:val="Compact"/>
              <w:jc w:val="right"/>
            </w:pPr>
            <w:r>
              <w:t xml:space="preserve">4</w:t>
            </w:r>
          </w:p>
        </w:tc>
      </w:tr>
      <w:tr>
        <w:tc>
          <w:p>
            <w:pPr>
              <w:pStyle w:val="Compact"/>
              <w:jc w:val="left"/>
            </w:pPr>
            <w:r>
              <w:t xml:space="preserve">3</w:t>
            </w:r>
          </w:p>
        </w:tc>
        <w:tc>
          <w:p>
            <w:pPr>
              <w:pStyle w:val="Compact"/>
              <w:jc w:val="right"/>
            </w:pPr>
            <w:r>
              <w:t xml:space="preserve">32</w:t>
            </w:r>
          </w:p>
        </w:tc>
        <w:tc>
          <w:p>
            <w:pPr>
              <w:pStyle w:val="Compact"/>
              <w:jc w:val="right"/>
            </w:pPr>
            <w:r>
              <w:t xml:space="preserve">114</w:t>
            </w:r>
          </w:p>
        </w:tc>
        <w:tc>
          <w:p>
            <w:pPr>
              <w:pStyle w:val="Compact"/>
              <w:jc w:val="right"/>
            </w:pPr>
            <w:r>
              <w:t xml:space="preserve">127</w:t>
            </w:r>
          </w:p>
        </w:tc>
        <w:tc>
          <w:p>
            <w:pPr>
              <w:pStyle w:val="Compact"/>
              <w:jc w:val="right"/>
            </w:pPr>
            <w:r>
              <w:t xml:space="preserve">86</w:t>
            </w:r>
          </w:p>
        </w:tc>
        <w:tc>
          <w:p>
            <w:pPr>
              <w:pStyle w:val="Compact"/>
              <w:jc w:val="right"/>
            </w:pPr>
            <w:r>
              <w:t xml:space="preserve">114</w:t>
            </w:r>
          </w:p>
        </w:tc>
        <w:tc>
          <w:p>
            <w:pPr>
              <w:pStyle w:val="Compact"/>
              <w:jc w:val="right"/>
            </w:pPr>
            <w:r>
              <w:t xml:space="preserve">140</w:t>
            </w:r>
          </w:p>
        </w:tc>
        <w:tc>
          <w:p>
            <w:pPr>
              <w:pStyle w:val="Compact"/>
              <w:jc w:val="right"/>
            </w:pPr>
            <w:r>
              <w:t xml:space="preserve">97</w:t>
            </w:r>
          </w:p>
        </w:tc>
        <w:tc>
          <w:p>
            <w:pPr>
              <w:pStyle w:val="Compact"/>
              <w:jc w:val="right"/>
            </w:pPr>
            <w:r>
              <w:t xml:space="preserve">59</w:t>
            </w:r>
          </w:p>
        </w:tc>
        <w:tc>
          <w:p>
            <w:pPr>
              <w:pStyle w:val="Compact"/>
              <w:jc w:val="right"/>
            </w:pPr>
            <w:r>
              <w:t xml:space="preserve">13</w:t>
            </w:r>
          </w:p>
        </w:tc>
        <w:tc>
          <w:p>
            <w:pPr>
              <w:pStyle w:val="Compact"/>
              <w:jc w:val="right"/>
            </w:pPr>
            <w:r>
              <w:t xml:space="preserve">16</w:t>
            </w:r>
          </w:p>
        </w:tc>
      </w:tr>
      <w:tr>
        <w:tc>
          <w:p>
            <w:pPr>
              <w:pStyle w:val="Compact"/>
              <w:jc w:val="left"/>
            </w:pPr>
            <w:r>
              <w:t xml:space="preserve">4</w:t>
            </w:r>
          </w:p>
        </w:tc>
        <w:tc>
          <w:p>
            <w:pPr>
              <w:pStyle w:val="Compact"/>
              <w:jc w:val="right"/>
            </w:pPr>
            <w:r>
              <w:t xml:space="preserve">10</w:t>
            </w:r>
          </w:p>
        </w:tc>
        <w:tc>
          <w:p>
            <w:pPr>
              <w:pStyle w:val="Compact"/>
              <w:jc w:val="right"/>
            </w:pPr>
            <w:r>
              <w:t xml:space="preserve">12</w:t>
            </w:r>
          </w:p>
        </w:tc>
        <w:tc>
          <w:p>
            <w:pPr>
              <w:pStyle w:val="Compact"/>
              <w:jc w:val="right"/>
            </w:pPr>
            <w:r>
              <w:t xml:space="preserve">12</w:t>
            </w:r>
          </w:p>
        </w:tc>
        <w:tc>
          <w:p>
            <w:pPr>
              <w:pStyle w:val="Compact"/>
              <w:jc w:val="right"/>
            </w:pPr>
            <w:r>
              <w:t xml:space="preserve">12</w:t>
            </w:r>
          </w:p>
        </w:tc>
        <w:tc>
          <w:p>
            <w:pPr>
              <w:pStyle w:val="Compact"/>
              <w:jc w:val="right"/>
            </w:pPr>
            <w:r>
              <w:t xml:space="preserve">14</w:t>
            </w:r>
          </w:p>
        </w:tc>
        <w:tc>
          <w:p>
            <w:pPr>
              <w:pStyle w:val="Compact"/>
              <w:jc w:val="right"/>
            </w:pPr>
            <w:r>
              <w:t xml:space="preserve">12</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6</w:t>
            </w:r>
          </w:p>
        </w:tc>
      </w:tr>
      <w:tr>
        <w:tc>
          <w:p>
            <w:pPr>
              <w:pStyle w:val="Compact"/>
              <w:jc w:val="left"/>
            </w:pPr>
            <w:r>
              <w:t xml:space="preserve">5</w:t>
            </w:r>
          </w:p>
        </w:tc>
        <w:tc>
          <w:p>
            <w:pPr>
              <w:pStyle w:val="Compact"/>
              <w:jc w:val="right"/>
            </w:pPr>
            <w:r>
              <w:t xml:space="preserve">5</w:t>
            </w:r>
          </w:p>
        </w:tc>
        <w:tc>
          <w:p>
            <w:pPr>
              <w:pStyle w:val="Compact"/>
              <w:jc w:val="right"/>
            </w:pPr>
            <w:r>
              <w:t xml:space="preserve">15</w:t>
            </w:r>
          </w:p>
        </w:tc>
        <w:tc>
          <w:p>
            <w:pPr>
              <w:pStyle w:val="Compact"/>
              <w:jc w:val="right"/>
            </w:pPr>
            <w:r>
              <w:t xml:space="preserve">18</w:t>
            </w:r>
          </w:p>
        </w:tc>
        <w:tc>
          <w:p>
            <w:pPr>
              <w:pStyle w:val="Compact"/>
              <w:jc w:val="right"/>
            </w:pPr>
            <w:r>
              <w:t xml:space="preserve">19</w:t>
            </w:r>
          </w:p>
        </w:tc>
        <w:tc>
          <w:p>
            <w:pPr>
              <w:pStyle w:val="Compact"/>
              <w:jc w:val="right"/>
            </w:pPr>
            <w:r>
              <w:t xml:space="preserve">21</w:t>
            </w:r>
          </w:p>
        </w:tc>
        <w:tc>
          <w:p>
            <w:pPr>
              <w:pStyle w:val="Compact"/>
              <w:jc w:val="right"/>
            </w:pPr>
            <w:r>
              <w:t xml:space="preserve">22</w:t>
            </w:r>
          </w:p>
        </w:tc>
        <w:tc>
          <w:p>
            <w:pPr>
              <w:pStyle w:val="Compact"/>
              <w:jc w:val="right"/>
            </w:pPr>
            <w:r>
              <w:t xml:space="preserve">37</w:t>
            </w:r>
          </w:p>
        </w:tc>
        <w:tc>
          <w:p>
            <w:pPr>
              <w:pStyle w:val="Compact"/>
              <w:jc w:val="right"/>
            </w:pPr>
            <w:r>
              <w:t xml:space="preserve">28</w:t>
            </w:r>
          </w:p>
        </w:tc>
        <w:tc>
          <w:p>
            <w:pPr>
              <w:pStyle w:val="Compact"/>
              <w:jc w:val="right"/>
            </w:pPr>
            <w:r>
              <w:t xml:space="preserve">7</w:t>
            </w:r>
          </w:p>
        </w:tc>
        <w:tc>
          <w:p>
            <w:pPr>
              <w:pStyle w:val="Compact"/>
              <w:jc w:val="right"/>
            </w:pPr>
            <w:r>
              <w:t xml:space="preserve">3</w:t>
            </w:r>
          </w:p>
        </w:tc>
      </w:tr>
      <w:tr>
        <w:tc>
          <w:p>
            <w:pPr>
              <w:pStyle w:val="Compact"/>
              <w:jc w:val="left"/>
            </w:pPr>
            <w:r>
              <w:t xml:space="preserve">6</w:t>
            </w:r>
          </w:p>
        </w:tc>
        <w:tc>
          <w:p>
            <w:pPr>
              <w:pStyle w:val="Compact"/>
              <w:jc w:val="right"/>
            </w:pPr>
            <w:r>
              <w:t xml:space="preserve">2</w:t>
            </w:r>
          </w:p>
        </w:tc>
        <w:tc>
          <w:p>
            <w:pPr>
              <w:pStyle w:val="Compact"/>
              <w:jc w:val="right"/>
            </w:pPr>
            <w:r>
              <w:t xml:space="preserve">9</w:t>
            </w:r>
          </w:p>
        </w:tc>
        <w:tc>
          <w:p>
            <w:pPr>
              <w:pStyle w:val="Compact"/>
              <w:jc w:val="right"/>
            </w:pPr>
            <w:r>
              <w:t xml:space="preserve">5</w:t>
            </w:r>
          </w:p>
        </w:tc>
        <w:tc>
          <w:p>
            <w:pPr>
              <w:pStyle w:val="Compact"/>
              <w:jc w:val="right"/>
            </w:pPr>
            <w:r>
              <w:t xml:space="preserve">8</w:t>
            </w:r>
          </w:p>
        </w:tc>
        <w:tc>
          <w:p>
            <w:pPr>
              <w:pStyle w:val="Compact"/>
              <w:jc w:val="right"/>
            </w:pPr>
            <w:r>
              <w:t xml:space="preserve">17</w:t>
            </w:r>
          </w:p>
        </w:tc>
        <w:tc>
          <w:p>
            <w:pPr>
              <w:pStyle w:val="Compact"/>
              <w:jc w:val="right"/>
            </w:pPr>
            <w:r>
              <w:t xml:space="preserve">12</w:t>
            </w:r>
          </w:p>
        </w:tc>
        <w:tc>
          <w:p>
            <w:pPr>
              <w:pStyle w:val="Compact"/>
              <w:jc w:val="right"/>
            </w:pPr>
            <w:r>
              <w:t xml:space="preserve">11</w:t>
            </w:r>
          </w:p>
        </w:tc>
        <w:tc>
          <w:p>
            <w:pPr>
              <w:pStyle w:val="Compact"/>
              <w:jc w:val="right"/>
            </w:pPr>
            <w:r>
              <w:t xml:space="preserve">10</w:t>
            </w:r>
          </w:p>
        </w:tc>
        <w:tc>
          <w:p>
            <w:pPr>
              <w:pStyle w:val="Compact"/>
              <w:jc w:val="right"/>
            </w:pPr>
            <w:r>
              <w:t xml:space="preserve">11</w:t>
            </w:r>
          </w:p>
        </w:tc>
        <w:tc>
          <w:p>
            <w:pPr>
              <w:pStyle w:val="Compact"/>
              <w:jc w:val="right"/>
            </w:pPr>
            <w:r>
              <w:t xml:space="preserve">6</w:t>
            </w:r>
          </w:p>
        </w:tc>
      </w:tr>
      <w:tr>
        <w:tc>
          <w:p>
            <w:pPr>
              <w:pStyle w:val="Compact"/>
              <w:jc w:val="left"/>
            </w:pPr>
            <w:r>
              <w:t xml:space="preserve">7</w:t>
            </w:r>
          </w:p>
        </w:tc>
        <w:tc>
          <w:p>
            <w:pPr>
              <w:pStyle w:val="Compact"/>
              <w:jc w:val="right"/>
            </w:pPr>
            <w:r>
              <w:t xml:space="preserve">8</w:t>
            </w:r>
          </w:p>
        </w:tc>
        <w:tc>
          <w:p>
            <w:pPr>
              <w:pStyle w:val="Compact"/>
              <w:jc w:val="right"/>
            </w:pPr>
            <w:r>
              <w:t xml:space="preserve">1</w:t>
            </w:r>
          </w:p>
        </w:tc>
        <w:tc>
          <w:p>
            <w:pPr>
              <w:pStyle w:val="Compact"/>
              <w:jc w:val="right"/>
            </w:pPr>
            <w:r>
              <w:t xml:space="preserve">11</w:t>
            </w:r>
          </w:p>
        </w:tc>
        <w:tc>
          <w:p>
            <w:pPr>
              <w:pStyle w:val="Compact"/>
              <w:jc w:val="right"/>
            </w:pPr>
            <w:r>
              <w:t xml:space="preserve">10</w:t>
            </w:r>
          </w:p>
        </w:tc>
        <w:tc>
          <w:p>
            <w:pPr>
              <w:pStyle w:val="Compact"/>
              <w:jc w:val="right"/>
            </w:pPr>
            <w:r>
              <w:t xml:space="preserve">10</w:t>
            </w:r>
          </w:p>
        </w:tc>
        <w:tc>
          <w:p>
            <w:pPr>
              <w:pStyle w:val="Compact"/>
              <w:jc w:val="right"/>
            </w:pPr>
            <w:r>
              <w:t xml:space="preserve">13</w:t>
            </w:r>
          </w:p>
        </w:tc>
        <w:tc>
          <w:p>
            <w:pPr>
              <w:pStyle w:val="Compact"/>
              <w:jc w:val="right"/>
            </w:pPr>
            <w:r>
              <w:t xml:space="preserve">9</w:t>
            </w:r>
          </w:p>
        </w:tc>
        <w:tc>
          <w:p>
            <w:pPr>
              <w:pStyle w:val="Compact"/>
              <w:jc w:val="right"/>
            </w:pPr>
            <w:r>
              <w:t xml:space="preserve">18</w:t>
            </w:r>
          </w:p>
        </w:tc>
        <w:tc>
          <w:p>
            <w:pPr>
              <w:pStyle w:val="Compact"/>
              <w:jc w:val="right"/>
            </w:pPr>
            <w:r>
              <w:t xml:space="preserve">18</w:t>
            </w:r>
          </w:p>
        </w:tc>
        <w:tc>
          <w:p>
            <w:pPr>
              <w:pStyle w:val="Compact"/>
              <w:jc w:val="right"/>
            </w:pPr>
            <w:r>
              <w:t xml:space="preserve">10</w:t>
            </w:r>
          </w:p>
        </w:tc>
      </w:tr>
      <w:tr>
        <w:tc>
          <w:p>
            <w:pPr>
              <w:pStyle w:val="Compact"/>
              <w:jc w:val="left"/>
            </w:pPr>
            <w:r>
              <w:t xml:space="preserve">55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bl>
    <w:bookmarkEnd w:id="22"/>
    <w:bookmarkStart w:id="24" w:name="resultados"/>
    <w:p>
      <w:pPr>
        <w:pStyle w:val="Heading2"/>
      </w:pPr>
      <w:r>
        <w:t xml:space="preserve">Resultados</w:t>
      </w:r>
    </w:p>
    <w:p>
      <w:pPr>
        <w:pStyle w:val="FirstParagraph"/>
      </w:pPr>
      <w:r>
        <w:t xml:space="preserve">Para testear nuestra hipótesis estimamos un modelo de regresión que correlaciona los años de educación y los ingresos de personas mayores de treinta años en Austria (hombres y mujeres por separado). La figura a continuación – construida usando la opción</w:t>
      </w:r>
      <w:r>
        <w:t xml:space="preserve"> </w:t>
      </w:r>
      <w:r>
        <w:rPr>
          <w:rStyle w:val="VerbatimChar"/>
        </w:rPr>
        <w:t xml:space="preserve">geom_smooth(method="lm",se=F)</w:t>
      </w:r>
      <w:r>
        <w:t xml:space="preserve"> </w:t>
      </w:r>
      <w:r>
        <w:t xml:space="preserve">en</w:t>
      </w:r>
      <w:r>
        <w:t xml:space="preserve"> </w:t>
      </w:r>
      <w:r>
        <w:rPr>
          <w:rStyle w:val="VerbatimChar"/>
        </w:rPr>
        <w:t xml:space="preserve">ggplot()</w:t>
      </w:r>
      <w:r>
        <w:t xml:space="preserve"> </w:t>
      </w:r>
      <w:r>
        <w:t xml:space="preserve">– muestra los resultados obtenidos. El código que produce esta figura es incluido en el artículo para facilitar la replicabilidad de nuestros resultados.</w:t>
      </w:r>
    </w:p>
    <w:p>
      <w:pPr>
        <w:pStyle w:val="SourceCode"/>
      </w:pPr>
      <w:r>
        <w:rPr>
          <w:rStyle w:val="NormalTok"/>
        </w:rPr>
        <w:t xml:space="preserve">jitter </w:t>
      </w:r>
      <w:r>
        <w:rPr>
          <w:rStyle w:val="OtherTok"/>
        </w:rPr>
        <w:t xml:space="preserve">&lt;-</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loatTok"/>
        </w:rPr>
        <w:t xml:space="preserve">0.5</w:t>
      </w:r>
      <w:r>
        <w:rPr>
          <w:rStyle w:val="NormalTok"/>
        </w:rPr>
        <w:t xml:space="preserve">)</w:t>
      </w:r>
      <w:r>
        <w:br/>
      </w:r>
      <w:r>
        <w:br/>
      </w:r>
      <w:r>
        <w:rPr>
          <w:rStyle w:val="NormalTok"/>
        </w:rPr>
        <w:t xml:space="preserve">fig </w:t>
      </w:r>
      <w:r>
        <w:rPr>
          <w:rStyle w:val="OtherTok"/>
        </w:rPr>
        <w:t xml:space="preserve">&lt;-</w:t>
      </w:r>
      <w:r>
        <w:rPr>
          <w:rStyle w:val="NormalTok"/>
        </w:rPr>
        <w:t xml:space="preserve"> essdata </w:t>
      </w:r>
      <w:r>
        <w:rPr>
          <w:rStyle w:val="SpecialCharTok"/>
        </w:rPr>
        <w:t xml:space="preserve">%&gt;%</w:t>
      </w:r>
      <w:r>
        <w:rPr>
          <w:rStyle w:val="NormalTok"/>
        </w:rPr>
        <w:t xml:space="preserve"> </w:t>
      </w:r>
      <w:r>
        <w:rPr>
          <w:rStyle w:val="FunctionTok"/>
        </w:rPr>
        <w:t xml:space="preserve">filter</w:t>
      </w:r>
      <w:r>
        <w:rPr>
          <w:rStyle w:val="NormalTok"/>
        </w:rPr>
        <w:t xml:space="preserve">(age</w:t>
      </w:r>
      <w:r>
        <w:rPr>
          <w:rStyle w:val="SpecialCharTok"/>
        </w:rPr>
        <w:t xml:space="preserve">&gt;</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eisced, </w:t>
      </w:r>
      <w:r>
        <w:rPr>
          <w:rStyle w:val="AttributeTok"/>
        </w:rPr>
        <w:t xml:space="preserve">y=</w:t>
      </w:r>
      <w:r>
        <w:rPr>
          <w:rStyle w:val="NormalTok"/>
        </w:rPr>
        <w:t xml:space="preserve">hinctnta , </w:t>
      </w:r>
      <w:r>
        <w:rPr>
          <w:rStyle w:val="AttributeTok"/>
        </w:rPr>
        <w:t xml:space="preserve">colour=</w:t>
      </w:r>
      <w:r>
        <w:rPr>
          <w:rStyle w:val="NormalTok"/>
        </w:rPr>
        <w:t xml:space="preserve">gndr_string))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0.2</w:t>
      </w:r>
      <w:r>
        <w:rPr>
          <w:rStyle w:val="NormalTok"/>
        </w:rPr>
        <w:t xml:space="preserve">, </w:t>
      </w:r>
      <w:r>
        <w:rPr>
          <w:rStyle w:val="AttributeTok"/>
        </w:rPr>
        <w:t xml:space="preserve">position =</w:t>
      </w:r>
      <w:r>
        <w:rPr>
          <w:rStyle w:val="NormalTok"/>
        </w:rPr>
        <w:t xml:space="preserve"> jitter)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se=</w:t>
      </w:r>
      <w:r>
        <w:rPr>
          <w:rStyle w:val="NormalTok"/>
        </w:rPr>
        <w:t xml:space="preserve">F) </w:t>
      </w:r>
      <w:r>
        <w:rPr>
          <w:rStyle w:val="SpecialCharTok"/>
        </w:rPr>
        <w:t xml:space="preserve">+</w:t>
      </w:r>
      <w:r>
        <w:rPr>
          <w:rStyle w:val="NormalTok"/>
        </w:rPr>
        <w:t xml:space="preserve"> </w:t>
      </w:r>
      <w:r>
        <w:br/>
      </w:r>
      <w:r>
        <w:rPr>
          <w:rStyle w:val="NormalTok"/>
        </w:rPr>
        <w:t xml:space="preserve">    </w:t>
      </w:r>
      <w:r>
        <w:rPr>
          <w:rStyle w:val="FunctionTok"/>
        </w:rPr>
        <w:t xml:space="preserve">scale_color_viridis</w:t>
      </w:r>
      <w:r>
        <w:rPr>
          <w:rStyle w:val="NormalTok"/>
        </w:rPr>
        <w:t xml:space="preserve">(</w:t>
      </w:r>
      <w:r>
        <w:rPr>
          <w:rStyle w:val="AttributeTok"/>
        </w:rPr>
        <w:t xml:space="preserve">discrete=</w:t>
      </w:r>
      <w:r>
        <w:rPr>
          <w:rStyle w:val="ConstantTok"/>
        </w:rPr>
        <w:t xml:space="preserve">TRUE</w:t>
      </w:r>
      <w:r>
        <w:rPr>
          <w:rStyle w:val="NormalTok"/>
        </w:rPr>
        <w:t xml:space="preserve">, </w:t>
      </w:r>
      <w:r>
        <w:rPr>
          <w:rStyle w:val="AttributeTok"/>
        </w:rPr>
        <w:t xml:space="preserve">option=</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"máxima educación alcanzada"</w:t>
      </w:r>
      <w:r>
        <w:rPr>
          <w:rStyle w:val="NormalTok"/>
        </w:rPr>
        <w:t xml:space="preserve">, </w:t>
      </w:r>
      <w:r>
        <w:rPr>
          <w:rStyle w:val="AttributeTok"/>
        </w:rPr>
        <w:t xml:space="preserve">y=</w:t>
      </w:r>
      <w:r>
        <w:rPr>
          <w:rStyle w:val="StringTok"/>
        </w:rPr>
        <w:t xml:space="preserve">"Ingreso total del hogar"</w:t>
      </w:r>
      <w:r>
        <w:rPr>
          <w:rStyle w:val="NormalTok"/>
        </w:rPr>
        <w:t xml:space="preserve">, </w:t>
      </w:r>
      <w:r>
        <w:rPr>
          <w:rStyle w:val="AttributeTok"/>
        </w:rPr>
        <w:t xml:space="preserve">colour=</w:t>
      </w:r>
      <w:r>
        <w:rPr>
          <w:rStyle w:val="StringTok"/>
        </w:rPr>
        <w:t xml:space="preserve">""</w:t>
      </w:r>
      <w:r>
        <w:rPr>
          <w:rStyle w:val="NormalTok"/>
        </w:rPr>
        <w:t xml:space="preserve">)</w:t>
      </w:r>
      <w:r>
        <w:br/>
      </w:r>
      <w:r>
        <w:rPr>
          <w:rStyle w:val="FunctionTok"/>
        </w:rPr>
        <w:t xml:space="preserve">print</w:t>
      </w:r>
      <w:r>
        <w:rPr>
          <w:rStyle w:val="NormalTok"/>
        </w:rPr>
        <w:t xml:space="preserve">(fig)</w:t>
      </w:r>
    </w:p>
    <w:p>
      <w:pPr>
        <w:pStyle w:val="FirstParagraph"/>
      </w:pPr>
      <w:r>
        <w:drawing>
          <wp:inline>
            <wp:extent cx="5334000" cy="6400800"/>
            <wp:effectExtent b="0" l="0" r="0" t="0"/>
            <wp:docPr descr="" title="" id="1" name="Picture"/>
            <a:graphic>
              <a:graphicData uri="http://schemas.openxmlformats.org/drawingml/2006/picture">
                <pic:pic>
                  <pic:nvPicPr>
                    <pic:cNvPr descr="ejercicio_practico_files/figure-docx/unnamed-chunk-5-1.png" id="0" name="Picture"/>
                    <pic:cNvPicPr>
                      <a:picLocks noChangeArrowheads="1" noChangeAspect="1"/>
                    </pic:cNvPicPr>
                  </pic:nvPicPr>
                  <pic:blipFill>
                    <a:blip r:embed="rId23"/>
                    <a:stretch>
                      <a:fillRect/>
                    </a:stretch>
                  </pic:blipFill>
                  <pic:spPr bwMode="auto">
                    <a:xfrm>
                      <a:off x="0" y="0"/>
                      <a:ext cx="5334000" cy="6400800"/>
                    </a:xfrm>
                    <a:prstGeom prst="rect">
                      <a:avLst/>
                    </a:prstGeom>
                    <a:noFill/>
                    <a:ln w="9525">
                      <a:noFill/>
                      <a:headEnd/>
                      <a:tailEnd/>
                    </a:ln>
                  </pic:spPr>
                </pic:pic>
              </a:graphicData>
            </a:graphic>
          </wp:inline>
        </w:drawing>
      </w:r>
    </w:p>
    <w:bookmarkEnd w:id="24"/>
    <w:bookmarkStart w:id="25" w:name="discusión"/>
    <w:p>
      <w:pPr>
        <w:pStyle w:val="Heading2"/>
      </w:pPr>
      <w:r>
        <w:t xml:space="preserve">Discusión</w:t>
      </w:r>
    </w:p>
    <w:p>
      <w:pPr>
        <w:pStyle w:val="FirstParagraph"/>
      </w:pPr>
      <w:r>
        <w:t xml:space="preserve">Nuestro resultados revelan alarmantes disparidades en la calidad de vida de los austriacos con distinto logro educacional. Dichas disparidades probablemente se refuerzan mutuamente. Por ejemplo, personas con menor nivel educacional no sólo ganan menores salarios sino que, como consecuencia de esto, tendrían menor acceso a café y tortal Sacher. Futuras intervenciones de política pública debieran considerar estos hallazgos.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1" Target="media/rId21.jp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Mauricio Bucca</dc:creator>
  <cp:keywords/>
  <dcterms:created xsi:type="dcterms:W3CDTF">2021-11-10T13:56:32Z</dcterms:created>
  <dcterms:modified xsi:type="dcterms:W3CDTF">2021-11-10T13:56:32Z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de Noviembre 2021</vt:lpwstr>
  </property>
  <property fmtid="{D5CDD505-2E9C-101B-9397-08002B2CF9AE}" pid="3" name="output">
    <vt:lpwstr/>
  </property>
</Properties>
</file>