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Mauer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Cheramie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xml:space="preserve">) focuses on identifying, developing, and capitalizing on sustainable economic opportunities (Pejman et. All. 2017, Pierce at all. 2011; </w:t>
      </w:r>
      <w:r w:rsidRPr="007C6A6A">
        <w:t>Kimuli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(Adim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(Nunes et al., 2021; Aguilera et al., 2021; Settembre-Blundo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(Rosário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Elkington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Syed Mehmood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 xml:space="preserve">involve modifications regarding the impact of the entire product life cycle on the environment (Pejman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(Xuemei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(Menne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 xml:space="preserve">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r w:rsidR="007448E4" w:rsidRPr="007C6A6A">
        <w:t xml:space="preserve">Nicolau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r w:rsidRPr="007C6A6A">
              <w:lastRenderedPageBreak/>
              <w:t>Costache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Matei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Stoica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Sitnikov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2B77A876" w:rsid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main idea of our research is to analyze the </w:t>
      </w:r>
      <w:r w:rsidR="0061011D">
        <w:rPr>
          <w:rFonts w:ascii="Times New Roman" w:hAnsi="Times New Roman" w:cs="Times New Roman"/>
          <w:sz w:val="24"/>
          <w:szCs w:val="24"/>
        </w:rPr>
        <w:t>factors that can influence the green policy for Romania corporations</w:t>
      </w:r>
      <w:r w:rsidR="002E048A">
        <w:rPr>
          <w:rFonts w:ascii="Times New Roman" w:hAnsi="Times New Roman" w:cs="Times New Roman"/>
          <w:sz w:val="24"/>
          <w:szCs w:val="24"/>
        </w:rPr>
        <w:t>.</w:t>
      </w:r>
      <w:r w:rsidR="0061011D">
        <w:rPr>
          <w:rFonts w:ascii="Times New Roman" w:hAnsi="Times New Roman" w:cs="Times New Roman"/>
          <w:sz w:val="24"/>
          <w:szCs w:val="24"/>
        </w:rPr>
        <w:t xml:space="preserve"> So, we tried to group the data from the companies and find the interdependencies between them. In order to achieve this goal, we group these data as subjective</w:t>
      </w:r>
      <w:r w:rsidR="0061011D" w:rsidRPr="007C6A6A">
        <w:rPr>
          <w:rFonts w:ascii="Times New Roman" w:hAnsi="Times New Roman" w:cs="Times New Roman"/>
          <w:sz w:val="24"/>
          <w:szCs w:val="24"/>
        </w:rPr>
        <w:t xml:space="preserve"> financial performance,</w:t>
      </w:r>
      <w:r w:rsidR="0061011D" w:rsidRPr="0061011D">
        <w:rPr>
          <w:rFonts w:ascii="Times New Roman" w:hAnsi="Times New Roman" w:cs="Times New Roman"/>
          <w:sz w:val="24"/>
          <w:szCs w:val="24"/>
        </w:rPr>
        <w:t xml:space="preserve"> </w:t>
      </w:r>
      <w:r w:rsidR="0061011D">
        <w:rPr>
          <w:rFonts w:ascii="Times New Roman" w:hAnsi="Times New Roman" w:cs="Times New Roman"/>
          <w:sz w:val="24"/>
          <w:szCs w:val="24"/>
        </w:rPr>
        <w:t>objective</w:t>
      </w:r>
      <w:r w:rsidR="0061011D" w:rsidRPr="007C6A6A">
        <w:rPr>
          <w:rFonts w:ascii="Times New Roman" w:hAnsi="Times New Roman" w:cs="Times New Roman"/>
          <w:sz w:val="24"/>
          <w:szCs w:val="24"/>
        </w:rPr>
        <w:t xml:space="preserve"> financial performance</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innovation</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performance, pro-active orientation,</w:t>
      </w:r>
      <w:r w:rsidR="0061011D">
        <w:rPr>
          <w:rFonts w:ascii="Times New Roman" w:hAnsi="Times New Roman" w:cs="Times New Roman"/>
          <w:sz w:val="24"/>
          <w:szCs w:val="24"/>
        </w:rPr>
        <w:t xml:space="preserve"> age of firms,</w:t>
      </w:r>
      <w:r w:rsidR="0061011D" w:rsidRPr="007C6A6A">
        <w:rPr>
          <w:rFonts w:ascii="Times New Roman" w:hAnsi="Times New Roman" w:cs="Times New Roman"/>
          <w:sz w:val="24"/>
          <w:szCs w:val="24"/>
        </w:rPr>
        <w:t xml:space="preserve"> and green performance within Romanian corporations</w:t>
      </w:r>
      <w:r w:rsidR="00751111">
        <w:rPr>
          <w:rFonts w:ascii="Times New Roman" w:hAnsi="Times New Roman" w:cs="Times New Roman"/>
          <w:sz w:val="24"/>
          <w:szCs w:val="24"/>
        </w:rPr>
        <w:t>.</w:t>
      </w:r>
      <w:r w:rsidR="00E52D5B">
        <w:rPr>
          <w:rFonts w:ascii="Times New Roman" w:hAnsi="Times New Roman" w:cs="Times New Roman"/>
          <w:sz w:val="24"/>
          <w:szCs w:val="24"/>
        </w:rPr>
        <w:t xml:space="preserve"> We estimate the cross dependencies for possible pairs of our collected parameters to obtain the most informative model for Romania transport (and, possibly other fields companies).</w:t>
      </w:r>
      <w:r w:rsidR="00751111">
        <w:rPr>
          <w:rFonts w:ascii="Times New Roman" w:hAnsi="Times New Roman" w:cs="Times New Roman"/>
          <w:sz w:val="24"/>
          <w:szCs w:val="24"/>
        </w:rPr>
        <w:t xml:space="preserve"> As long as we focus particularly on transport</w:t>
      </w:r>
      <w:r w:rsidR="00E52D5B">
        <w:rPr>
          <w:rFonts w:ascii="Times New Roman" w:hAnsi="Times New Roman" w:cs="Times New Roman"/>
          <w:sz w:val="24"/>
          <w:szCs w:val="24"/>
        </w:rPr>
        <w:t>,</w:t>
      </w:r>
      <w:r w:rsidR="00751111">
        <w:rPr>
          <w:rFonts w:ascii="Times New Roman" w:hAnsi="Times New Roman" w:cs="Times New Roman"/>
          <w:sz w:val="24"/>
          <w:szCs w:val="24"/>
        </w:rPr>
        <w:t xml:space="preserve"> </w:t>
      </w:r>
      <w:r w:rsidR="00E52D5B">
        <w:rPr>
          <w:rFonts w:ascii="Times New Roman" w:hAnsi="Times New Roman" w:cs="Times New Roman"/>
          <w:sz w:val="24"/>
          <w:szCs w:val="24"/>
        </w:rPr>
        <w:t xml:space="preserve">we also compare the ecological performance of transport firms </w:t>
      </w:r>
      <w:r w:rsidR="00341899">
        <w:rPr>
          <w:rFonts w:ascii="Times New Roman" w:hAnsi="Times New Roman" w:cs="Times New Roman"/>
          <w:sz w:val="24"/>
          <w:szCs w:val="24"/>
        </w:rPr>
        <w:t>versus the other ones.</w:t>
      </w:r>
      <w:r w:rsidR="00E52D5B">
        <w:rPr>
          <w:rFonts w:ascii="Times New Roman" w:hAnsi="Times New Roman" w:cs="Times New Roman"/>
          <w:sz w:val="24"/>
          <w:szCs w:val="24"/>
        </w:rPr>
        <w:t xml:space="preserve"> </w:t>
      </w:r>
    </w:p>
    <w:p w14:paraId="566C2F95" w14:textId="77777777" w:rsidR="0061011D" w:rsidRPr="001439E2" w:rsidRDefault="0061011D" w:rsidP="0061011D">
      <w:pPr>
        <w:pStyle w:val="a3"/>
        <w:jc w:val="both"/>
        <w:rPr>
          <w:rFonts w:asciiTheme="majorBidi" w:hAnsiTheme="majorBidi" w:cstheme="majorBidi"/>
          <w:i/>
          <w:iCs/>
        </w:rPr>
      </w:pPr>
      <w:r w:rsidRPr="001439E2">
        <w:rPr>
          <w:rFonts w:asciiTheme="majorBidi" w:hAnsiTheme="majorBidi" w:cstheme="majorBidi"/>
          <w:i/>
          <w:iCs/>
        </w:rPr>
        <w:t>Hypotheses development</w:t>
      </w:r>
    </w:p>
    <w:p w14:paraId="3EB8484B" w14:textId="77777777" w:rsidR="00E52D5B" w:rsidRDefault="0061011D" w:rsidP="0061011D">
      <w:pPr>
        <w:pStyle w:val="pb-2"/>
        <w:contextualSpacing/>
        <w:jc w:val="both"/>
        <w:rPr>
          <w:rFonts w:asciiTheme="majorBidi" w:hAnsiTheme="majorBidi" w:cstheme="majorBidi"/>
          <w:lang w:val="en-US"/>
        </w:rPr>
      </w:pPr>
      <w:r w:rsidRPr="004D4597">
        <w:rPr>
          <w:b/>
          <w:bCs/>
          <w:lang w:val="en-US"/>
        </w:rPr>
        <w:t xml:space="preserve">Managerial </w:t>
      </w:r>
      <w:r>
        <w:rPr>
          <w:b/>
          <w:bCs/>
          <w:lang w:val="en-US"/>
        </w:rPr>
        <w:t>s</w:t>
      </w:r>
      <w:r w:rsidRPr="004D4597">
        <w:rPr>
          <w:b/>
          <w:bCs/>
          <w:lang w:val="en-US"/>
        </w:rPr>
        <w:t>atisfaction:</w:t>
      </w:r>
      <w:r>
        <w:rPr>
          <w:lang w:val="en-US"/>
        </w:rPr>
        <w:t xml:space="preserve"> </w:t>
      </w:r>
      <w:r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Pr="00D16F30">
        <w:rPr>
          <w:rFonts w:asciiTheme="majorBidi" w:hAnsiTheme="majorBidi" w:cstheme="majorBidi"/>
          <w:lang w:val="en-US"/>
        </w:rPr>
        <w:t>Menne</w:t>
      </w:r>
      <w:proofErr w:type="spellEnd"/>
      <w:r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Pr="00D16F30">
        <w:rPr>
          <w:rFonts w:asciiTheme="majorBidi" w:hAnsiTheme="majorBidi" w:cstheme="majorBidi"/>
          <w:lang w:val="en-US"/>
        </w:rPr>
        <w:t>Makloufi</w:t>
      </w:r>
      <w:proofErr w:type="spellEnd"/>
      <w:r w:rsidRPr="00D16F30">
        <w:rPr>
          <w:rFonts w:asciiTheme="majorBidi" w:hAnsiTheme="majorBidi" w:cstheme="majorBidi"/>
          <w:lang w:val="en-US"/>
        </w:rPr>
        <w:t xml:space="preserve"> et al., 2021; </w:t>
      </w:r>
      <w:proofErr w:type="spellStart"/>
      <w:r w:rsidRPr="00D16F30">
        <w:rPr>
          <w:rFonts w:asciiTheme="majorBidi" w:hAnsiTheme="majorBidi" w:cstheme="majorBidi"/>
          <w:lang w:val="en-US"/>
        </w:rPr>
        <w:t>Söderholm</w:t>
      </w:r>
      <w:proofErr w:type="spellEnd"/>
      <w:r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r w:rsidR="00751111">
        <w:rPr>
          <w:rFonts w:asciiTheme="majorBidi" w:hAnsiTheme="majorBidi" w:cstheme="majorBidi"/>
          <w:lang w:val="en-US"/>
        </w:rPr>
        <w:t xml:space="preserve"> The parameters, that we were able to gather that belong to this group are: </w:t>
      </w:r>
    </w:p>
    <w:p w14:paraId="0932CAC1" w14:textId="57A14BEF"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Profit brut</w:t>
      </w:r>
      <w:r>
        <w:rPr>
          <w:rFonts w:asciiTheme="majorBidi" w:hAnsiTheme="majorBidi" w:cstheme="majorBidi"/>
          <w:lang w:val="en-US"/>
        </w:rPr>
        <w:t xml:space="preserve"> </w:t>
      </w:r>
      <w:r w:rsidR="0073400F">
        <w:rPr>
          <w:rFonts w:asciiTheme="majorBidi" w:hAnsiTheme="majorBidi" w:cstheme="majorBidi"/>
          <w:lang w:val="en-US"/>
        </w:rPr>
        <w:t>(Brut)</w:t>
      </w:r>
    </w:p>
    <w:p w14:paraId="16FB3738" w14:textId="2A2CD090"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Gross Profit</w:t>
      </w:r>
      <w:r w:rsidR="0073400F">
        <w:rPr>
          <w:rFonts w:asciiTheme="majorBidi" w:hAnsiTheme="majorBidi" w:cstheme="majorBidi"/>
          <w:lang w:val="en-US"/>
        </w:rPr>
        <w:t xml:space="preserve"> (Profit)</w:t>
      </w:r>
      <w:r>
        <w:rPr>
          <w:rFonts w:asciiTheme="majorBidi" w:hAnsiTheme="majorBidi" w:cstheme="majorBidi"/>
          <w:lang w:val="en-US"/>
        </w:rPr>
        <w:t xml:space="preserve">, </w:t>
      </w:r>
    </w:p>
    <w:p w14:paraId="1DEDE16A" w14:textId="2985BFC4"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Return on assets</w:t>
      </w:r>
      <w:r w:rsidR="0073400F">
        <w:rPr>
          <w:rFonts w:asciiTheme="majorBidi" w:hAnsiTheme="majorBidi" w:cstheme="majorBidi"/>
          <w:lang w:val="en-US"/>
        </w:rPr>
        <w:t xml:space="preserve"> (</w:t>
      </w:r>
      <w:r w:rsidR="00C329D0">
        <w:rPr>
          <w:rFonts w:asciiTheme="majorBidi" w:hAnsiTheme="majorBidi" w:cstheme="majorBidi"/>
          <w:lang w:val="en-US"/>
        </w:rPr>
        <w:t>ROA</w:t>
      </w:r>
      <w:r w:rsidR="0073400F">
        <w:rPr>
          <w:rFonts w:asciiTheme="majorBidi" w:hAnsiTheme="majorBidi" w:cstheme="majorBidi"/>
          <w:lang w:val="en-US"/>
        </w:rPr>
        <w:t>)</w:t>
      </w:r>
      <w:r>
        <w:rPr>
          <w:rFonts w:asciiTheme="majorBidi" w:hAnsiTheme="majorBidi" w:cstheme="majorBidi"/>
          <w:lang w:val="en-US"/>
        </w:rPr>
        <w:t xml:space="preserve">, </w:t>
      </w:r>
    </w:p>
    <w:p w14:paraId="3181149D" w14:textId="2BF84162"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Sales</w:t>
      </w:r>
      <w:r w:rsidR="0073400F">
        <w:rPr>
          <w:rFonts w:asciiTheme="majorBidi" w:hAnsiTheme="majorBidi" w:cstheme="majorBidi"/>
          <w:lang w:val="en-US"/>
        </w:rPr>
        <w:t xml:space="preserve"> (Sales)</w:t>
      </w:r>
      <w:r>
        <w:rPr>
          <w:rFonts w:asciiTheme="majorBidi" w:hAnsiTheme="majorBidi" w:cstheme="majorBidi"/>
          <w:lang w:val="en-US"/>
        </w:rPr>
        <w:t xml:space="preserve">, </w:t>
      </w:r>
    </w:p>
    <w:p w14:paraId="74CA6B25" w14:textId="19CA2697" w:rsidR="00E52D5B" w:rsidRDefault="00D75627" w:rsidP="00E52D5B">
      <w:pPr>
        <w:pStyle w:val="pb-2"/>
        <w:numPr>
          <w:ilvl w:val="0"/>
          <w:numId w:val="7"/>
        </w:numPr>
        <w:contextualSpacing/>
        <w:jc w:val="both"/>
        <w:rPr>
          <w:rFonts w:asciiTheme="majorBidi" w:hAnsiTheme="majorBidi" w:cstheme="majorBidi"/>
          <w:lang w:val="en-US"/>
        </w:rPr>
      </w:pPr>
      <w:r>
        <w:rPr>
          <w:rFonts w:asciiTheme="majorBidi" w:hAnsiTheme="majorBidi" w:cstheme="majorBidi"/>
          <w:lang w:val="en-US"/>
        </w:rPr>
        <w:t>E</w:t>
      </w:r>
      <w:r w:rsidR="00751111" w:rsidRPr="00751111">
        <w:rPr>
          <w:rFonts w:asciiTheme="majorBidi" w:hAnsiTheme="majorBidi" w:cstheme="majorBidi"/>
          <w:lang w:val="en-US"/>
        </w:rPr>
        <w:t>arnings per share</w:t>
      </w:r>
      <w:r w:rsidR="0073400F">
        <w:rPr>
          <w:rFonts w:asciiTheme="majorBidi" w:hAnsiTheme="majorBidi" w:cstheme="majorBidi"/>
          <w:lang w:val="en-US"/>
        </w:rPr>
        <w:t xml:space="preserve"> (EPS)</w:t>
      </w:r>
      <w:r w:rsidR="00751111">
        <w:rPr>
          <w:rFonts w:asciiTheme="majorBidi" w:hAnsiTheme="majorBidi" w:cstheme="majorBidi"/>
          <w:lang w:val="en-US"/>
        </w:rPr>
        <w:t xml:space="preserve">, </w:t>
      </w:r>
    </w:p>
    <w:p w14:paraId="2B0C46B5" w14:textId="05F9043C" w:rsidR="00E52D5B" w:rsidRDefault="00751111" w:rsidP="00E52D5B">
      <w:pPr>
        <w:pStyle w:val="pb-2"/>
        <w:numPr>
          <w:ilvl w:val="0"/>
          <w:numId w:val="7"/>
        </w:numPr>
        <w:contextualSpacing/>
        <w:jc w:val="both"/>
        <w:rPr>
          <w:rFonts w:asciiTheme="majorBidi" w:hAnsiTheme="majorBidi" w:cstheme="majorBidi"/>
          <w:lang w:val="en-US"/>
        </w:rPr>
      </w:pPr>
      <w:proofErr w:type="spellStart"/>
      <w:r w:rsidRPr="00751111">
        <w:rPr>
          <w:rFonts w:asciiTheme="majorBidi" w:hAnsiTheme="majorBidi" w:cstheme="majorBidi"/>
          <w:lang w:val="en-US"/>
        </w:rPr>
        <w:t>Returnability</w:t>
      </w:r>
      <w:proofErr w:type="spellEnd"/>
      <w:r w:rsidRPr="00751111">
        <w:rPr>
          <w:rFonts w:asciiTheme="majorBidi" w:hAnsiTheme="majorBidi" w:cstheme="majorBidi"/>
          <w:lang w:val="en-US"/>
        </w:rPr>
        <w:t xml:space="preserve"> of Investment</w:t>
      </w:r>
      <w:r w:rsidR="0073400F">
        <w:rPr>
          <w:rFonts w:asciiTheme="majorBidi" w:hAnsiTheme="majorBidi" w:cstheme="majorBidi"/>
          <w:lang w:val="en-US"/>
        </w:rPr>
        <w:t xml:space="preserve"> (ROI)</w:t>
      </w:r>
      <w:r>
        <w:rPr>
          <w:rFonts w:asciiTheme="majorBidi" w:hAnsiTheme="majorBidi" w:cstheme="majorBidi"/>
          <w:lang w:val="en-US"/>
        </w:rPr>
        <w:t xml:space="preserve">, </w:t>
      </w:r>
    </w:p>
    <w:p w14:paraId="0F6A4385" w14:textId="63088A3A" w:rsidR="0061011D"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Rate of Profit</w:t>
      </w:r>
      <w:r w:rsidR="0073400F">
        <w:rPr>
          <w:rFonts w:asciiTheme="majorBidi" w:hAnsiTheme="majorBidi" w:cstheme="majorBidi"/>
          <w:lang w:val="en-US"/>
        </w:rPr>
        <w:t xml:space="preserve"> (Rate)</w:t>
      </w:r>
      <w:r>
        <w:rPr>
          <w:rFonts w:asciiTheme="majorBidi" w:hAnsiTheme="majorBidi" w:cstheme="majorBidi"/>
          <w:lang w:val="en-US"/>
        </w:rPr>
        <w:t xml:space="preserve">. </w:t>
      </w:r>
    </w:p>
    <w:p w14:paraId="5FB6C9E7" w14:textId="778E2976" w:rsidR="004F7599" w:rsidRPr="00D16F30" w:rsidRDefault="004F7599" w:rsidP="004F7599">
      <w:pPr>
        <w:pStyle w:val="pb-2"/>
        <w:contextualSpacing/>
        <w:jc w:val="both"/>
        <w:rPr>
          <w:rFonts w:asciiTheme="majorBidi" w:hAnsiTheme="majorBidi" w:cstheme="majorBidi"/>
          <w:lang w:val="en-US"/>
        </w:rPr>
      </w:pPr>
      <w:r>
        <w:rPr>
          <w:rFonts w:asciiTheme="majorBidi" w:hAnsiTheme="majorBidi" w:cstheme="majorBidi"/>
          <w:lang w:val="en-US"/>
        </w:rPr>
        <w:t>We will measure the outcome of each of these factors on the sustainability characteristics and also on all of the parameters we will list below, concerning innovation and proactive orientation.</w:t>
      </w:r>
    </w:p>
    <w:p w14:paraId="7AACF75E" w14:textId="353E0D59" w:rsidR="0061011D" w:rsidRDefault="0061011D" w:rsidP="0061011D">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a5"/>
          <w:rFonts w:asciiTheme="majorBidi" w:hAnsiTheme="majorBidi" w:cstheme="majorBidi"/>
          <w:lang w:val="en-US"/>
        </w:rPr>
        <w:t>Managerial satisfaction with a company’s financial performance influences green policies adoption</w:t>
      </w:r>
      <w:r w:rsidRPr="005826A7">
        <w:rPr>
          <w:rFonts w:asciiTheme="majorBidi" w:hAnsiTheme="majorBidi" w:cstheme="majorBidi"/>
          <w:b/>
          <w:bCs/>
          <w:lang w:val="en-US"/>
        </w:rPr>
        <w:t>.</w:t>
      </w:r>
    </w:p>
    <w:p w14:paraId="2FBA1C66" w14:textId="683E62D1" w:rsidR="00E52D5B" w:rsidRDefault="00070261" w:rsidP="00070261">
      <w:pPr>
        <w:pStyle w:val="pb-2"/>
        <w:spacing w:before="0" w:beforeAutospacing="0"/>
        <w:jc w:val="both"/>
        <w:rPr>
          <w:rFonts w:asciiTheme="majorBidi" w:hAnsiTheme="majorBidi" w:cstheme="majorBidi"/>
          <w:lang w:val="en-US"/>
        </w:rPr>
      </w:pPr>
      <w:r w:rsidRPr="004D4597">
        <w:rPr>
          <w:b/>
          <w:bCs/>
          <w:lang w:val="en-US"/>
        </w:rPr>
        <w:t>Proactiv</w:t>
      </w:r>
      <w:r>
        <w:rPr>
          <w:b/>
          <w:bCs/>
          <w:lang w:val="en-US"/>
        </w:rPr>
        <w:t>ity</w:t>
      </w:r>
      <w:r w:rsidRPr="004D4597">
        <w:rPr>
          <w:b/>
          <w:bCs/>
          <w:lang w:val="en-US"/>
        </w:rPr>
        <w:t>:</w:t>
      </w:r>
      <w:r>
        <w:rPr>
          <w:lang w:val="en-US"/>
        </w:rPr>
        <w:t xml:space="preserve"> </w:t>
      </w:r>
      <w:r w:rsidRPr="00D16F30">
        <w:rPr>
          <w:rFonts w:asciiTheme="majorBidi" w:hAnsiTheme="majorBidi" w:cstheme="majorBidi"/>
          <w:lang w:val="en-US"/>
        </w:rPr>
        <w:t xml:space="preserve">Proactive approaches target sustainability challenges and opportunities before they arise (Ari et al., 2020; </w:t>
      </w:r>
      <w:proofErr w:type="spellStart"/>
      <w:r w:rsidRPr="00D16F30">
        <w:rPr>
          <w:rFonts w:asciiTheme="majorBidi" w:hAnsiTheme="majorBidi" w:cstheme="majorBidi"/>
          <w:lang w:val="en-US"/>
        </w:rPr>
        <w:t>Carhano</w:t>
      </w:r>
      <w:proofErr w:type="spellEnd"/>
      <w:r w:rsidRPr="00D16F30">
        <w:rPr>
          <w:rFonts w:asciiTheme="majorBidi" w:hAnsiTheme="majorBidi" w:cstheme="majorBidi"/>
          <w:lang w:val="en-US"/>
        </w:rPr>
        <w:t xml:space="preserve"> et al., 2022). In this way, sustainability is integrated into core strategies, driving innovation and long-term competitiveness (</w:t>
      </w:r>
      <w:proofErr w:type="spellStart"/>
      <w:r w:rsidRPr="00D16F30">
        <w:rPr>
          <w:rFonts w:asciiTheme="majorBidi" w:hAnsiTheme="majorBidi" w:cstheme="majorBidi"/>
          <w:lang w:val="en-US"/>
        </w:rPr>
        <w:t>Adamako</w:t>
      </w:r>
      <w:proofErr w:type="spellEnd"/>
      <w:r w:rsidRPr="00D16F30">
        <w:rPr>
          <w:rFonts w:asciiTheme="majorBidi" w:hAnsiTheme="majorBidi" w:cstheme="majorBidi"/>
          <w:lang w:val="en-US"/>
        </w:rPr>
        <w:t xml:space="preserve"> et al., 2020; Shah &amp; </w:t>
      </w:r>
      <w:proofErr w:type="spellStart"/>
      <w:r w:rsidRPr="00D16F30">
        <w:rPr>
          <w:rFonts w:asciiTheme="majorBidi" w:hAnsiTheme="majorBidi" w:cstheme="majorBidi"/>
          <w:lang w:val="en-US"/>
        </w:rPr>
        <w:t>Soomro</w:t>
      </w:r>
      <w:proofErr w:type="spellEnd"/>
      <w:r w:rsidRPr="00D16F30">
        <w:rPr>
          <w:rFonts w:asciiTheme="majorBidi" w:hAnsiTheme="majorBidi" w:cstheme="majorBidi"/>
          <w:lang w:val="en-US"/>
        </w:rPr>
        <w:t xml:space="preserve"> 2020; </w:t>
      </w:r>
      <w:proofErr w:type="spellStart"/>
      <w:r w:rsidRPr="00D16F30">
        <w:rPr>
          <w:rFonts w:asciiTheme="majorBidi" w:hAnsiTheme="majorBidi" w:cstheme="majorBidi"/>
          <w:lang w:val="en-US"/>
        </w:rPr>
        <w:t>Tu</w:t>
      </w:r>
      <w:proofErr w:type="spellEnd"/>
      <w:r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r w:rsidRPr="00D16F30">
        <w:rPr>
          <w:rStyle w:val="issue-underline"/>
          <w:rFonts w:asciiTheme="majorBidi" w:hAnsiTheme="majorBidi" w:cstheme="majorBidi"/>
          <w:lang w:val="en-US"/>
        </w:rPr>
        <w:t>w</w:t>
      </w:r>
      <w:r w:rsidR="00E52D5B">
        <w:rPr>
          <w:rStyle w:val="issue-underline"/>
          <w:rFonts w:asciiTheme="majorBidi" w:hAnsiTheme="majorBidi" w:cstheme="majorBidi"/>
          <w:lang w:val="en-US"/>
        </w:rPr>
        <w:t>h</w:t>
      </w:r>
      <w:r w:rsidRPr="00D16F30">
        <w:rPr>
          <w:rStyle w:val="issue-underline"/>
          <w:rFonts w:asciiTheme="majorBidi" w:hAnsiTheme="majorBidi" w:cstheme="majorBidi"/>
          <w:lang w:val="en-US"/>
        </w:rPr>
        <w:t>ether</w:t>
      </w:r>
      <w:r w:rsidRPr="00D16F30">
        <w:rPr>
          <w:rFonts w:asciiTheme="majorBidi" w:hAnsiTheme="majorBidi" w:cstheme="majorBidi"/>
          <w:lang w:val="en-US"/>
        </w:rPr>
        <w:t xml:space="preserve"> a proactive stance towards environmental issues will lead to more effective </w:t>
      </w:r>
      <w:r w:rsidRPr="00D16F30">
        <w:rPr>
          <w:rStyle w:val="issue-underline"/>
          <w:rFonts w:asciiTheme="majorBidi" w:hAnsiTheme="majorBidi" w:cstheme="majorBidi"/>
          <w:lang w:val="en-US"/>
        </w:rPr>
        <w:t>environmental</w:t>
      </w:r>
      <w:r w:rsidRPr="00D16F30">
        <w:rPr>
          <w:rFonts w:asciiTheme="majorBidi" w:hAnsiTheme="majorBidi" w:cstheme="majorBidi"/>
          <w:lang w:val="en-US"/>
        </w:rPr>
        <w:t xml:space="preserve"> solutions and better green performance than companies responding to external pressures.</w:t>
      </w:r>
      <w:r w:rsidR="00E52D5B">
        <w:rPr>
          <w:rFonts w:asciiTheme="majorBidi" w:hAnsiTheme="majorBidi" w:cstheme="majorBidi"/>
          <w:lang w:val="en-US"/>
        </w:rPr>
        <w:t xml:space="preserve">  With the purpose to estimate the proactivity in the company, we include next questions in the questionnaire: </w:t>
      </w:r>
      <w:r>
        <w:rPr>
          <w:rFonts w:asciiTheme="majorBidi" w:hAnsiTheme="majorBidi" w:cstheme="majorBidi"/>
          <w:lang w:val="en-US"/>
        </w:rPr>
        <w:t xml:space="preserve"> </w:t>
      </w:r>
    </w:p>
    <w:p w14:paraId="57F3488A" w14:textId="7A24F50C" w:rsidR="00070261"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Are the t</w:t>
      </w:r>
      <w:r w:rsidRPr="00E52D5B">
        <w:rPr>
          <w:rFonts w:asciiTheme="majorBidi" w:hAnsiTheme="majorBidi" w:cstheme="majorBidi"/>
          <w:lang w:val="en-US"/>
        </w:rPr>
        <w:t>echnologies used</w:t>
      </w:r>
      <w:r>
        <w:rPr>
          <w:rFonts w:asciiTheme="majorBidi" w:hAnsiTheme="majorBidi" w:cstheme="majorBidi"/>
          <w:lang w:val="en-US"/>
        </w:rPr>
        <w:t xml:space="preserve"> by company</w:t>
      </w:r>
      <w:r w:rsidRPr="00E52D5B">
        <w:rPr>
          <w:rFonts w:asciiTheme="majorBidi" w:hAnsiTheme="majorBidi" w:cstheme="majorBidi"/>
          <w:lang w:val="en-US"/>
        </w:rPr>
        <w:t xml:space="preserve"> are the latest</w:t>
      </w:r>
      <w:r>
        <w:rPr>
          <w:rFonts w:asciiTheme="majorBidi" w:hAnsiTheme="majorBidi" w:cstheme="majorBidi"/>
          <w:lang w:val="en-US"/>
        </w:rPr>
        <w:t xml:space="preserve"> ones</w:t>
      </w:r>
      <w:r w:rsidR="0073400F">
        <w:rPr>
          <w:rFonts w:asciiTheme="majorBidi" w:hAnsiTheme="majorBidi" w:cstheme="majorBidi"/>
          <w:lang w:val="en-US"/>
        </w:rPr>
        <w:t xml:space="preserve"> (Usage)</w:t>
      </w:r>
      <w:r>
        <w:rPr>
          <w:rFonts w:asciiTheme="majorBidi" w:hAnsiTheme="majorBidi" w:cstheme="majorBidi"/>
          <w:lang w:val="en-US"/>
        </w:rPr>
        <w:t>?</w:t>
      </w:r>
    </w:p>
    <w:p w14:paraId="1A63E5B3" w14:textId="72D9E5B5"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lastRenderedPageBreak/>
        <w:t>Does the company</w:t>
      </w:r>
      <w:r w:rsidRPr="00E52D5B">
        <w:rPr>
          <w:rFonts w:asciiTheme="majorBidi" w:hAnsiTheme="majorBidi" w:cstheme="majorBidi"/>
          <w:lang w:val="en-US"/>
        </w:rPr>
        <w:t xml:space="preserve"> anticipate the potential of new technologies/practices</w:t>
      </w:r>
      <w:r w:rsidR="0073400F">
        <w:rPr>
          <w:rFonts w:asciiTheme="majorBidi" w:hAnsiTheme="majorBidi" w:cstheme="majorBidi"/>
          <w:lang w:val="en-US"/>
        </w:rPr>
        <w:t xml:space="preserve"> (Anticipation)</w:t>
      </w:r>
      <w:r>
        <w:rPr>
          <w:rFonts w:asciiTheme="majorBidi" w:hAnsiTheme="majorBidi" w:cstheme="majorBidi"/>
          <w:lang w:val="en-US"/>
        </w:rPr>
        <w:t>?</w:t>
      </w:r>
    </w:p>
    <w:p w14:paraId="3E835D68" w14:textId="71A9DE42"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systematically try to acquire and implement new technologies</w:t>
      </w:r>
      <w:r w:rsidR="0073400F">
        <w:rPr>
          <w:rFonts w:asciiTheme="majorBidi" w:hAnsiTheme="majorBidi" w:cstheme="majorBidi"/>
          <w:lang w:val="en-US"/>
        </w:rPr>
        <w:t xml:space="preserve"> (Implementation)</w:t>
      </w:r>
      <w:r>
        <w:rPr>
          <w:rFonts w:asciiTheme="majorBidi" w:hAnsiTheme="majorBidi" w:cstheme="majorBidi"/>
          <w:lang w:val="en-US"/>
        </w:rPr>
        <w:t>?</w:t>
      </w:r>
    </w:p>
    <w:p w14:paraId="33550EC2" w14:textId="65FFFB2D"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 xml:space="preserve">Is the company’s </w:t>
      </w:r>
      <w:r w:rsidRPr="00E52D5B">
        <w:rPr>
          <w:rFonts w:asciiTheme="majorBidi" w:hAnsiTheme="majorBidi" w:cstheme="majorBidi"/>
          <w:lang w:val="en-US"/>
        </w:rPr>
        <w:t>research and development department a leader in the field</w:t>
      </w:r>
      <w:r w:rsidR="0073400F">
        <w:rPr>
          <w:rFonts w:asciiTheme="majorBidi" w:hAnsiTheme="majorBidi" w:cstheme="majorBidi"/>
          <w:lang w:val="en-US"/>
        </w:rPr>
        <w:t xml:space="preserve"> (R&amp;D)</w:t>
      </w:r>
      <w:r>
        <w:rPr>
          <w:rFonts w:asciiTheme="majorBidi" w:hAnsiTheme="majorBidi" w:cstheme="majorBidi"/>
          <w:lang w:val="en-US"/>
        </w:rPr>
        <w:t>?</w:t>
      </w:r>
    </w:p>
    <w:p w14:paraId="7A07987A" w14:textId="7ACA83D4" w:rsidR="00370A0E" w:rsidRPr="00D16F30" w:rsidRDefault="00370A0E" w:rsidP="00370A0E">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We would like to understand how each of these factors is influenced by managerial satisfaction on financial performance, and how, in its own turn they drive the innovations and sustainability.  </w:t>
      </w:r>
    </w:p>
    <w:p w14:paraId="2B32B691" w14:textId="201BC54F" w:rsidR="00070261" w:rsidRDefault="00070261" w:rsidP="00070261">
      <w:pPr>
        <w:pStyle w:val="pb-2"/>
        <w:spacing w:before="0" w:beforeAutospacing="0"/>
        <w:jc w:val="both"/>
        <w:rPr>
          <w:rStyle w:val="a5"/>
          <w:rFonts w:asciiTheme="majorBidi" w:hAnsiTheme="majorBidi" w:cstheme="majorBidi"/>
          <w:b w:val="0"/>
          <w:bCs w:val="0"/>
          <w:lang w:val="en-US"/>
        </w:rPr>
      </w:pPr>
      <w:r>
        <w:rPr>
          <w:rStyle w:val="a5"/>
          <w:rFonts w:asciiTheme="majorBidi" w:hAnsiTheme="majorBidi" w:cstheme="majorBidi"/>
          <w:lang w:val="en-US"/>
        </w:rPr>
        <w:t xml:space="preserve">H2. </w:t>
      </w:r>
      <w:r w:rsidRPr="00D16F30">
        <w:rPr>
          <w:rStyle w:val="a5"/>
          <w:rFonts w:asciiTheme="majorBidi" w:hAnsiTheme="majorBidi" w:cstheme="majorBidi"/>
          <w:lang w:val="en-US"/>
        </w:rPr>
        <w:t xml:space="preserve"> </w:t>
      </w:r>
      <w:r w:rsidRPr="005826A7">
        <w:rPr>
          <w:rStyle w:val="a5"/>
          <w:rFonts w:asciiTheme="majorBidi" w:hAnsiTheme="majorBidi" w:cstheme="majorBidi"/>
          <w:lang w:val="en-US"/>
        </w:rPr>
        <w:t>Proactive business orientation enhances green performance.</w:t>
      </w:r>
    </w:p>
    <w:p w14:paraId="4B45D05F" w14:textId="77777777" w:rsidR="00C329D0" w:rsidRDefault="00D75627" w:rsidP="00D75627">
      <w:pPr>
        <w:pStyle w:val="pb-2"/>
        <w:spacing w:after="0" w:afterAutospacing="0"/>
        <w:contextualSpacing/>
        <w:jc w:val="both"/>
        <w:rPr>
          <w:rFonts w:asciiTheme="majorBidi" w:hAnsiTheme="majorBidi" w:cstheme="majorBidi"/>
          <w:lang w:val="en-US"/>
        </w:rPr>
      </w:pPr>
      <w:r>
        <w:rPr>
          <w:b/>
          <w:bCs/>
          <w:lang w:val="en-US"/>
        </w:rPr>
        <w:t>Managerial i</w:t>
      </w:r>
      <w:r w:rsidRPr="004D4597">
        <w:rPr>
          <w:b/>
          <w:bCs/>
          <w:lang w:val="en-US"/>
        </w:rPr>
        <w:t>nnovation:</w:t>
      </w:r>
      <w:r w:rsidRPr="005826A7">
        <w:rPr>
          <w:lang w:val="en-US"/>
        </w:rPr>
        <w:t xml:space="preserve"> </w:t>
      </w:r>
      <w:r w:rsidRPr="00D16F30">
        <w:rPr>
          <w:rFonts w:asciiTheme="majorBidi" w:hAnsiTheme="majorBidi" w:cstheme="majorBidi"/>
          <w:lang w:val="en-US"/>
        </w:rPr>
        <w:t xml:space="preserve">Innovative companies are more likely to develop solutions that reduce environmental impact (Yin et al., 2022; </w:t>
      </w:r>
      <w:proofErr w:type="spellStart"/>
      <w:r w:rsidRPr="00D16F30">
        <w:rPr>
          <w:rFonts w:asciiTheme="majorBidi" w:hAnsiTheme="majorBidi" w:cstheme="majorBidi"/>
          <w:lang w:val="en-US"/>
        </w:rPr>
        <w:t>Ionescu</w:t>
      </w:r>
      <w:proofErr w:type="spellEnd"/>
      <w:r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Pr="00D16F30">
        <w:rPr>
          <w:rStyle w:val="issue-underline"/>
          <w:rFonts w:asciiTheme="majorBidi" w:hAnsiTheme="majorBidi" w:cstheme="majorBidi"/>
          <w:lang w:val="en-US"/>
        </w:rPr>
        <w:t>self-perception as</w:t>
      </w:r>
      <w:r w:rsidRPr="00D16F30">
        <w:rPr>
          <w:rFonts w:asciiTheme="majorBidi" w:hAnsiTheme="majorBidi" w:cstheme="majorBidi"/>
          <w:lang w:val="en-US"/>
        </w:rPr>
        <w:t xml:space="preserve"> </w:t>
      </w:r>
      <w:r w:rsidRPr="00D16F30">
        <w:rPr>
          <w:rStyle w:val="issue-underline"/>
          <w:rFonts w:asciiTheme="majorBidi" w:hAnsiTheme="majorBidi" w:cstheme="majorBidi"/>
          <w:lang w:val="en-US"/>
        </w:rPr>
        <w:t>innovative</w:t>
      </w:r>
      <w:r w:rsidRPr="00D16F30">
        <w:rPr>
          <w:rFonts w:asciiTheme="majorBidi" w:hAnsiTheme="majorBidi" w:cstheme="majorBidi"/>
          <w:lang w:val="en-US"/>
        </w:rPr>
        <w:t xml:space="preserve"> and their willingness to implement green policies in Romanian corporations.</w:t>
      </w:r>
      <w:r w:rsidR="00070261">
        <w:rPr>
          <w:rFonts w:asciiTheme="majorBidi" w:hAnsiTheme="majorBidi" w:cstheme="majorBidi"/>
          <w:lang w:val="en-US"/>
        </w:rPr>
        <w:t xml:space="preserve"> As long as it is hard to objectively estimate innovation, we try to evaluate the following items:</w:t>
      </w:r>
    </w:p>
    <w:p w14:paraId="3994C274" w14:textId="04BFF8E6" w:rsidR="00341899" w:rsidRDefault="00C329D0" w:rsidP="00C329D0">
      <w:pPr>
        <w:pStyle w:val="pb-2"/>
        <w:numPr>
          <w:ilvl w:val="0"/>
          <w:numId w:val="10"/>
        </w:numPr>
        <w:spacing w:after="0" w:afterAutospacing="0"/>
        <w:contextualSpacing/>
        <w:jc w:val="both"/>
        <w:rPr>
          <w:rFonts w:asciiTheme="majorBidi" w:hAnsiTheme="majorBidi" w:cstheme="majorBidi"/>
          <w:lang w:val="en-US"/>
        </w:rPr>
      </w:pPr>
      <w:r>
        <w:rPr>
          <w:rFonts w:asciiTheme="majorBidi" w:hAnsiTheme="majorBidi" w:cstheme="majorBidi"/>
          <w:lang w:val="en-US"/>
        </w:rPr>
        <w:t>Research activity (Activity)</w:t>
      </w:r>
    </w:p>
    <w:p w14:paraId="356CB898" w14:textId="7B1593A7"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The degree of product novelty</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(Novelty)</w:t>
      </w:r>
      <w:r w:rsidR="00341899">
        <w:rPr>
          <w:rFonts w:asciiTheme="majorBidi" w:hAnsiTheme="majorBidi" w:cstheme="majorBidi"/>
          <w:lang w:val="en-US"/>
        </w:rPr>
        <w:t>,</w:t>
      </w:r>
      <w:r>
        <w:rPr>
          <w:rFonts w:asciiTheme="majorBidi" w:hAnsiTheme="majorBidi" w:cstheme="majorBidi"/>
          <w:lang w:val="en-US"/>
        </w:rPr>
        <w:t xml:space="preserve"> </w:t>
      </w:r>
    </w:p>
    <w:p w14:paraId="3E1B31A2" w14:textId="49C9352D" w:rsidR="00341899" w:rsidRP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Us</w:t>
      </w:r>
      <w:r>
        <w:rPr>
          <w:rFonts w:asciiTheme="majorBidi" w:hAnsiTheme="majorBidi" w:cstheme="majorBidi"/>
          <w:lang w:val="en-US"/>
        </w:rPr>
        <w:t>age</w:t>
      </w:r>
      <w:r w:rsidRPr="00070261">
        <w:rPr>
          <w:rFonts w:asciiTheme="majorBidi" w:hAnsiTheme="majorBidi" w:cstheme="majorBidi"/>
          <w:lang w:val="en-US"/>
        </w:rPr>
        <w:t xml:space="preserve"> the latest technologies</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(Latest)</w:t>
      </w:r>
      <w:r w:rsidR="00341899">
        <w:rPr>
          <w:rFonts w:asciiTheme="majorBidi" w:hAnsiTheme="majorBidi" w:cstheme="majorBidi"/>
          <w:lang w:val="en-US"/>
        </w:rPr>
        <w:t xml:space="preserve">, </w:t>
      </w:r>
      <w:r w:rsidRPr="00341899">
        <w:rPr>
          <w:rFonts w:asciiTheme="majorBidi" w:hAnsiTheme="majorBidi" w:cstheme="majorBidi"/>
          <w:lang w:val="en-US"/>
        </w:rPr>
        <w:t xml:space="preserve"> </w:t>
      </w:r>
    </w:p>
    <w:p w14:paraId="0A713CF8" w14:textId="1E74DF82"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Speed of development of new products</w:t>
      </w:r>
      <w:r w:rsidR="00341899">
        <w:rPr>
          <w:rFonts w:asciiTheme="majorBidi" w:hAnsiTheme="majorBidi" w:cstheme="majorBidi"/>
          <w:lang w:val="en-US"/>
        </w:rPr>
        <w:t xml:space="preserve"> by the company</w:t>
      </w:r>
      <w:r w:rsidR="0073400F">
        <w:rPr>
          <w:rFonts w:asciiTheme="majorBidi" w:hAnsiTheme="majorBidi" w:cstheme="majorBidi"/>
          <w:lang w:val="en-US"/>
        </w:rPr>
        <w:t xml:space="preserve"> (Speed)</w:t>
      </w:r>
      <w:r>
        <w:rPr>
          <w:rFonts w:asciiTheme="majorBidi" w:hAnsiTheme="majorBidi" w:cstheme="majorBidi"/>
          <w:lang w:val="en-US"/>
        </w:rPr>
        <w:t xml:space="preserve">, </w:t>
      </w:r>
    </w:p>
    <w:p w14:paraId="08DF42B1" w14:textId="00EF15CB"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Share of new products within the range</w:t>
      </w:r>
      <w:r>
        <w:rPr>
          <w:rFonts w:asciiTheme="majorBidi" w:hAnsiTheme="majorBidi" w:cstheme="majorBidi"/>
          <w:lang w:val="en-US"/>
        </w:rPr>
        <w:t xml:space="preserve"> of compan</w:t>
      </w:r>
      <w:r w:rsidR="00341899">
        <w:rPr>
          <w:rFonts w:asciiTheme="majorBidi" w:hAnsiTheme="majorBidi" w:cstheme="majorBidi"/>
          <w:lang w:val="en-US"/>
        </w:rPr>
        <w:t>y’s products</w:t>
      </w:r>
      <w:r w:rsidR="0073400F">
        <w:rPr>
          <w:rFonts w:asciiTheme="majorBidi" w:hAnsiTheme="majorBidi" w:cstheme="majorBidi"/>
          <w:lang w:val="en-US"/>
        </w:rPr>
        <w:t xml:space="preserve"> (Share)</w:t>
      </w:r>
      <w:r>
        <w:rPr>
          <w:rFonts w:asciiTheme="majorBidi" w:hAnsiTheme="majorBidi" w:cstheme="majorBidi"/>
          <w:lang w:val="en-US"/>
        </w:rPr>
        <w:t xml:space="preserve">. </w:t>
      </w:r>
    </w:p>
    <w:p w14:paraId="4158E54F" w14:textId="2EBA5B2B" w:rsidR="00D75627" w:rsidRDefault="00D75627" w:rsidP="00D75627">
      <w:pPr>
        <w:pStyle w:val="pb-2"/>
        <w:spacing w:after="0" w:afterAutospacing="0"/>
        <w:contextualSpacing/>
        <w:jc w:val="both"/>
        <w:rPr>
          <w:rFonts w:asciiTheme="majorBidi" w:hAnsiTheme="majorBidi" w:cstheme="majorBidi"/>
          <w:lang w:val="en-US"/>
        </w:rPr>
      </w:pPr>
    </w:p>
    <w:p w14:paraId="3E485A50" w14:textId="45F3D308" w:rsidR="00BE1402" w:rsidRDefault="00BE1402" w:rsidP="00D75627">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Again, we are looking into the possible interconnections between each and every of the mentioned above </w:t>
      </w:r>
      <w:r w:rsidR="004F7599">
        <w:rPr>
          <w:rFonts w:asciiTheme="majorBidi" w:hAnsiTheme="majorBidi" w:cstheme="majorBidi"/>
          <w:lang w:val="en-US"/>
        </w:rPr>
        <w:t xml:space="preserve">characteristics </w:t>
      </w:r>
    </w:p>
    <w:p w14:paraId="370DFD47" w14:textId="77777777" w:rsidR="00BE1402" w:rsidRDefault="00BE1402" w:rsidP="00D75627">
      <w:pPr>
        <w:pStyle w:val="pb-2"/>
        <w:spacing w:after="0" w:afterAutospacing="0"/>
        <w:contextualSpacing/>
        <w:jc w:val="both"/>
        <w:rPr>
          <w:rFonts w:asciiTheme="majorBidi" w:hAnsiTheme="majorBidi" w:cstheme="majorBidi"/>
          <w:lang w:val="en-US"/>
        </w:rPr>
      </w:pPr>
    </w:p>
    <w:p w14:paraId="1D131D57" w14:textId="48AD3800" w:rsidR="00D75627" w:rsidRDefault="00D75627" w:rsidP="00D75627">
      <w:pPr>
        <w:pStyle w:val="pb-2"/>
        <w:spacing w:before="0" w:beforeAutospacing="0"/>
        <w:jc w:val="both"/>
        <w:rPr>
          <w:rStyle w:val="a5"/>
          <w:rFonts w:asciiTheme="majorBidi" w:hAnsiTheme="majorBidi" w:cstheme="majorBidi"/>
          <w:b w:val="0"/>
          <w:bCs w:val="0"/>
          <w:lang w:val="en-US"/>
        </w:rPr>
      </w:pPr>
      <w:r w:rsidRPr="005826A7">
        <w:rPr>
          <w:rStyle w:val="a5"/>
          <w:rFonts w:asciiTheme="majorBidi" w:hAnsiTheme="majorBidi" w:cstheme="majorBidi"/>
          <w:lang w:val="en-US"/>
        </w:rPr>
        <w:t>H</w:t>
      </w:r>
      <w:r w:rsidR="00341899">
        <w:rPr>
          <w:rStyle w:val="a5"/>
          <w:rFonts w:asciiTheme="majorBidi" w:hAnsiTheme="majorBidi" w:cstheme="majorBidi"/>
          <w:lang w:val="en-US"/>
        </w:rPr>
        <w:t>3</w:t>
      </w:r>
      <w:r w:rsidRPr="005826A7">
        <w:rPr>
          <w:rStyle w:val="a5"/>
          <w:rFonts w:asciiTheme="majorBidi" w:hAnsiTheme="majorBidi" w:cstheme="majorBidi"/>
          <w:lang w:val="en-US"/>
        </w:rPr>
        <w:t>. Managers who perceive themselves as innovative are more likely to pursue green policies.</w:t>
      </w:r>
    </w:p>
    <w:p w14:paraId="1A057E58" w14:textId="6D966E10" w:rsidR="00341899" w:rsidRPr="00FA2A29" w:rsidRDefault="00341899" w:rsidP="00341899">
      <w:pPr>
        <w:pStyle w:val="pb-2"/>
        <w:spacing w:after="0" w:afterAutospacing="0"/>
        <w:contextualSpacing/>
        <w:jc w:val="both"/>
      </w:pPr>
      <w:r>
        <w:rPr>
          <w:rFonts w:asciiTheme="majorBidi" w:hAnsiTheme="majorBidi" w:cstheme="majorBidi"/>
          <w:b/>
          <w:bCs/>
          <w:lang w:val="en-US"/>
        </w:rPr>
        <w:t>Maturity</w:t>
      </w:r>
      <w:r w:rsidRPr="004D4597">
        <w:rPr>
          <w:rFonts w:asciiTheme="majorBidi" w:hAnsiTheme="majorBidi" w:cstheme="majorBidi"/>
          <w:b/>
          <w:bCs/>
          <w:lang w:val="en-US"/>
        </w:rPr>
        <w:t>:</w:t>
      </w:r>
      <w:r>
        <w:rPr>
          <w:rFonts w:asciiTheme="majorBidi" w:hAnsiTheme="majorBidi" w:cstheme="majorBidi"/>
          <w:lang w:val="en-US"/>
        </w:rPr>
        <w:t xml:space="preserve"> </w:t>
      </w:r>
      <w:r w:rsidRPr="00D16F30">
        <w:rPr>
          <w:rFonts w:asciiTheme="majorBidi" w:hAnsiTheme="majorBidi" w:cstheme="majorBidi"/>
          <w:lang w:val="en-US"/>
        </w:rPr>
        <w:t xml:space="preserve">Previous studies suggest that younger companies are more likely to engage in sustainability (Yin et al., 2022; </w:t>
      </w:r>
      <w:proofErr w:type="spellStart"/>
      <w:r w:rsidRPr="00D16F30">
        <w:rPr>
          <w:rFonts w:asciiTheme="majorBidi" w:hAnsiTheme="majorBidi" w:cstheme="majorBidi"/>
          <w:lang w:val="en-US"/>
        </w:rPr>
        <w:t>Jerónimo</w:t>
      </w:r>
      <w:proofErr w:type="spellEnd"/>
      <w:r w:rsidRPr="00D16F30">
        <w:rPr>
          <w:rFonts w:asciiTheme="majorBidi" w:hAnsiTheme="majorBidi" w:cstheme="majorBidi"/>
          <w:lang w:val="en-US"/>
        </w:rPr>
        <w:t xml:space="preserve"> et al.2020; </w:t>
      </w:r>
      <w:proofErr w:type="spellStart"/>
      <w:r w:rsidRPr="00D16F30">
        <w:rPr>
          <w:rFonts w:asciiTheme="majorBidi" w:hAnsiTheme="majorBidi" w:cstheme="majorBidi"/>
          <w:lang w:val="en-US"/>
        </w:rPr>
        <w:t>Mukhuty</w:t>
      </w:r>
      <w:proofErr w:type="spellEnd"/>
      <w:r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Pr="00D16F30">
        <w:rPr>
          <w:rFonts w:asciiTheme="majorBidi" w:hAnsiTheme="majorBidi" w:cstheme="majorBidi"/>
          <w:lang w:val="en-US"/>
        </w:rPr>
        <w:t>Broccardo</w:t>
      </w:r>
      <w:proofErr w:type="spellEnd"/>
      <w:r w:rsidRPr="00D16F30">
        <w:rPr>
          <w:rFonts w:asciiTheme="majorBidi" w:hAnsiTheme="majorBidi" w:cstheme="majorBidi"/>
          <w:lang w:val="en-US"/>
        </w:rPr>
        <w:t xml:space="preserve"> &amp; </w:t>
      </w:r>
      <w:proofErr w:type="spellStart"/>
      <w:r w:rsidRPr="00D16F30">
        <w:rPr>
          <w:rFonts w:asciiTheme="majorBidi" w:hAnsiTheme="majorBidi" w:cstheme="majorBidi"/>
          <w:lang w:val="en-US"/>
        </w:rPr>
        <w:t>Zicari</w:t>
      </w:r>
      <w:proofErr w:type="spellEnd"/>
      <w:r w:rsidRPr="00D16F30">
        <w:rPr>
          <w:rFonts w:asciiTheme="majorBidi" w:hAnsiTheme="majorBidi" w:cstheme="majorBidi"/>
          <w:lang w:val="en-US"/>
        </w:rPr>
        <w:t xml:space="preserve">, 2020). </w:t>
      </w:r>
      <w:r>
        <w:rPr>
          <w:rFonts w:asciiTheme="majorBidi" w:hAnsiTheme="majorBidi" w:cstheme="majorBidi"/>
          <w:lang w:val="en-US"/>
        </w:rPr>
        <w:t xml:space="preserve"> </w:t>
      </w:r>
      <w:r w:rsidRPr="00FA2A29">
        <w:t xml:space="preserve">The main idea for this hypothesis is that newer companies are often founded during a period when sustainability and environmental responsibility are increasingly recognized as critical business imperatives. </w:t>
      </w:r>
    </w:p>
    <w:p w14:paraId="0626CFFB" w14:textId="3F094071" w:rsidR="00341899" w:rsidRDefault="00341899" w:rsidP="00341899">
      <w:pPr>
        <w:pStyle w:val="a3"/>
        <w:jc w:val="both"/>
      </w:pPr>
      <w:r w:rsidRPr="00FA2A29">
        <w:rPr>
          <w:lang w:val="en-GB"/>
        </w:rPr>
        <w:t xml:space="preserve">Established and stable companies might have more resources to invest in sustainability initiatives. Also, they might also be more entrenched in traditional practices that are harder to change. </w:t>
      </w:r>
      <w:r w:rsidRPr="00FA2A29">
        <w:t xml:space="preserve">However, after the receiving the data of the research, we have found the support for the opposite claim, i.e. we test if there is a correlation between the age of a company and its commitment to ecological practices is insignificant within the Romanian context (Abdi et al., 2022, </w:t>
      </w:r>
      <w:proofErr w:type="spellStart"/>
      <w:r w:rsidRPr="00FA2A29">
        <w:rPr>
          <w:lang w:val="en-GB"/>
        </w:rPr>
        <w:t>Alkaraan</w:t>
      </w:r>
      <w:proofErr w:type="spellEnd"/>
      <w:r w:rsidRPr="00FA2A29">
        <w:rPr>
          <w:lang w:val="en-GB"/>
        </w:rPr>
        <w:t xml:space="preserve"> et al., 2023; </w:t>
      </w:r>
      <w:proofErr w:type="spellStart"/>
      <w:r w:rsidRPr="00FA2A29">
        <w:rPr>
          <w:lang w:val="en-GB"/>
        </w:rPr>
        <w:t>Sovacool</w:t>
      </w:r>
      <w:proofErr w:type="spellEnd"/>
      <w:r w:rsidRPr="00FA2A29">
        <w:rPr>
          <w:lang w:val="en-GB"/>
        </w:rPr>
        <w:t xml:space="preserve"> 2021</w:t>
      </w:r>
      <w:r>
        <w:t>).</w:t>
      </w:r>
    </w:p>
    <w:p w14:paraId="72E3681E" w14:textId="77777777" w:rsidR="00341899" w:rsidRDefault="00341899" w:rsidP="00341899">
      <w:pPr>
        <w:pStyle w:val="pb-2"/>
        <w:spacing w:after="0" w:afterAutospacing="0"/>
        <w:contextualSpacing/>
        <w:jc w:val="both"/>
        <w:rPr>
          <w:rFonts w:asciiTheme="majorBidi" w:hAnsiTheme="majorBidi" w:cstheme="majorBidi"/>
          <w:lang w:val="en-US"/>
        </w:rPr>
      </w:pPr>
      <w:r w:rsidRPr="00D16F30">
        <w:rPr>
          <w:rFonts w:asciiTheme="majorBidi" w:hAnsiTheme="majorBidi" w:cstheme="majorBidi"/>
          <w:lang w:val="en-US"/>
        </w:rPr>
        <w:t>This hypothesis tests whether age influences an organization's ecological efforts in Romania.</w:t>
      </w:r>
    </w:p>
    <w:p w14:paraId="70811D4F" w14:textId="77777777"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t>H4.</w:t>
      </w:r>
      <w:r w:rsidRPr="00D16F30">
        <w:rPr>
          <w:rFonts w:asciiTheme="majorBidi" w:hAnsiTheme="majorBidi" w:cstheme="majorBidi"/>
          <w:lang w:val="en-US"/>
        </w:rPr>
        <w:t xml:space="preserve"> </w:t>
      </w:r>
      <w:r w:rsidRPr="005826A7">
        <w:rPr>
          <w:rStyle w:val="a5"/>
          <w:rFonts w:asciiTheme="majorBidi" w:hAnsiTheme="majorBidi" w:cstheme="majorBidi"/>
          <w:lang w:val="en-US"/>
        </w:rPr>
        <w:t>Company age does not significantly affect commitment to ecological practices.</w:t>
      </w:r>
    </w:p>
    <w:p w14:paraId="244E6107" w14:textId="77777777" w:rsidR="00341899" w:rsidRPr="00D16F30" w:rsidRDefault="00341899" w:rsidP="00341899">
      <w:pPr>
        <w:pStyle w:val="pb-2"/>
        <w:spacing w:after="0" w:afterAutospacing="0"/>
        <w:contextualSpacing/>
        <w:jc w:val="both"/>
        <w:rPr>
          <w:rFonts w:asciiTheme="majorBidi" w:hAnsiTheme="majorBidi" w:cstheme="majorBidi"/>
          <w:lang w:val="en-US"/>
        </w:rPr>
      </w:pPr>
      <w:r w:rsidRPr="004D4597">
        <w:rPr>
          <w:b/>
          <w:bCs/>
          <w:lang w:val="en-US"/>
        </w:rPr>
        <w:lastRenderedPageBreak/>
        <w:t>Sectoral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14:paraId="6DED10CC" w14:textId="77777777"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t xml:space="preserve">H5. </w:t>
      </w:r>
      <w:r w:rsidRPr="005826A7">
        <w:rPr>
          <w:rStyle w:val="a5"/>
          <w:rFonts w:asciiTheme="majorBidi" w:hAnsiTheme="majorBidi" w:cstheme="majorBidi"/>
          <w:lang w:val="en-US"/>
        </w:rPr>
        <w:t>Transport companies in Romania are less inclined to adopt green technologies than other sectors.</w:t>
      </w:r>
      <w:r w:rsidRPr="005826A7">
        <w:rPr>
          <w:rFonts w:asciiTheme="majorBidi" w:hAnsiTheme="majorBidi" w:cstheme="majorBidi"/>
          <w:b/>
          <w:bCs/>
          <w:lang w:val="en-US"/>
        </w:rPr>
        <w:t xml:space="preserve"> </w:t>
      </w:r>
    </w:p>
    <w:p w14:paraId="4F4AD9B4" w14:textId="76218ADD" w:rsidR="00341899" w:rsidRPr="00CE59D8" w:rsidRDefault="00CE59D8" w:rsidP="00CE59D8">
      <w:pPr>
        <w:pStyle w:val="4"/>
        <w:jc w:val="both"/>
        <w:rPr>
          <w:rFonts w:ascii="Times New Roman" w:eastAsia="Times New Roman" w:hAnsi="Times New Roman" w:cs="Times New Roman"/>
          <w:i w:val="0"/>
          <w:iCs w:val="0"/>
          <w:color w:val="auto"/>
          <w:sz w:val="24"/>
          <w:szCs w:val="24"/>
        </w:rPr>
      </w:pPr>
      <w:r w:rsidRPr="00CE59D8">
        <w:rPr>
          <w:rFonts w:ascii="Times New Roman" w:eastAsia="Times New Roman" w:hAnsi="Times New Roman" w:cs="Times New Roman"/>
          <w:b/>
          <w:i w:val="0"/>
          <w:iCs w:val="0"/>
          <w:color w:val="auto"/>
          <w:sz w:val="24"/>
          <w:szCs w:val="24"/>
        </w:rPr>
        <w:t>Financial health:</w:t>
      </w:r>
      <w:r w:rsidRPr="00CE59D8">
        <w:rPr>
          <w:rFonts w:ascii="Times New Roman" w:eastAsia="Times New Roman" w:hAnsi="Times New Roman" w:cs="Times New Roman"/>
          <w:i w:val="0"/>
          <w:iCs w:val="0"/>
          <w:color w:val="auto"/>
          <w:sz w:val="24"/>
          <w:szCs w:val="24"/>
        </w:rPr>
        <w:t xml:space="preserve"> Financial performance is an important metric for any business, but its perception varies depending on objective reality or interpretation. An objective financial performance is measurable, quantifiable, and includes key metrics such as profitability, revenue growth, cash flow, and ROI. Subjective financial performance describes how managers and stakeholders interpret financial outcomes based on personal biases, expectations, and interpretations (</w:t>
      </w:r>
      <w:proofErr w:type="spellStart"/>
      <w:r w:rsidRPr="00CE59D8">
        <w:rPr>
          <w:rFonts w:ascii="Times New Roman" w:eastAsia="Times New Roman" w:hAnsi="Times New Roman" w:cs="Times New Roman"/>
          <w:i w:val="0"/>
          <w:iCs w:val="0"/>
          <w:color w:val="auto"/>
          <w:sz w:val="24"/>
          <w:szCs w:val="24"/>
        </w:rPr>
        <w:t>Zhong</w:t>
      </w:r>
      <w:proofErr w:type="spellEnd"/>
      <w:r w:rsidRPr="00CE59D8">
        <w:rPr>
          <w:rFonts w:ascii="Times New Roman" w:eastAsia="Times New Roman" w:hAnsi="Times New Roman" w:cs="Times New Roman"/>
          <w:i w:val="0"/>
          <w:iCs w:val="0"/>
          <w:color w:val="auto"/>
          <w:sz w:val="24"/>
          <w:szCs w:val="24"/>
        </w:rPr>
        <w:t>, 2022).</w:t>
      </w:r>
    </w:p>
    <w:p w14:paraId="02C034B7" w14:textId="77777777" w:rsidR="00CE59D8" w:rsidRPr="00FA2A29" w:rsidRDefault="00CE59D8" w:rsidP="00CE59D8">
      <w:pPr>
        <w:pStyle w:val="a3"/>
        <w:jc w:val="both"/>
      </w:pPr>
      <w:r w:rsidRPr="00FA2A29">
        <w:t xml:space="preserve">This hypothesis is the check of our subjective data by real economic data. We can check the </w:t>
      </w:r>
      <w:r w:rsidRPr="00C3282C">
        <w:t>financial performances of the companies versus the real data</w:t>
      </w:r>
      <w:r w:rsidRPr="00FA2A29">
        <w:t>. We have the opinion of company managers about their financial performances, and we can compare them with the actual available statistics. The hypothesis suggests that when a company experiences strong financial performance, the management of the company is likely to perceive and report their financial situation positively. The idea for this hypothesis is based on cognitive bias, where individuals’ subjective perceptions are influenced by actual performance outcomes.</w:t>
      </w:r>
    </w:p>
    <w:p w14:paraId="4D9498CF" w14:textId="749F2063" w:rsidR="00CE59D8" w:rsidRPr="00CE59D8" w:rsidRDefault="00CE59D8" w:rsidP="00CE59D8">
      <w:pPr>
        <w:pStyle w:val="pb-2"/>
        <w:spacing w:before="0" w:beforeAutospacing="0"/>
        <w:ind w:firstLine="284"/>
        <w:jc w:val="both"/>
        <w:rPr>
          <w:rStyle w:val="a5"/>
          <w:rFonts w:asciiTheme="majorBidi" w:hAnsiTheme="majorBidi" w:cstheme="majorBidi"/>
          <w:lang w:val="en-US"/>
        </w:rPr>
      </w:pPr>
      <w:r w:rsidRPr="00CE59D8">
        <w:rPr>
          <w:rStyle w:val="a5"/>
          <w:rFonts w:asciiTheme="majorBidi" w:hAnsiTheme="majorBidi" w:cstheme="majorBidi"/>
          <w:lang w:val="en-US"/>
        </w:rPr>
        <w:t>H6. Good financial performance correlates with positive subjective assessments of financial health.</w:t>
      </w:r>
      <w:r>
        <w:rPr>
          <w:rStyle w:val="a5"/>
          <w:rFonts w:asciiTheme="majorBidi" w:hAnsiTheme="majorBidi" w:cstheme="majorBidi"/>
          <w:lang w:val="en-US"/>
        </w:rPr>
        <w:t xml:space="preserve"> </w:t>
      </w:r>
    </w:p>
    <w:p w14:paraId="22250298" w14:textId="3F4FC856" w:rsidR="006C7A4A" w:rsidRDefault="006C7A4A" w:rsidP="00CE59D8">
      <w:pPr>
        <w:pStyle w:val="pb-2"/>
        <w:ind w:firstLine="284"/>
        <w:jc w:val="both"/>
        <w:rPr>
          <w:rFonts w:asciiTheme="majorBidi" w:hAnsiTheme="majorBidi" w:cstheme="majorBidi"/>
          <w:lang w:val="en-US"/>
        </w:rPr>
      </w:pPr>
      <w:r>
        <w:rPr>
          <w:rFonts w:asciiTheme="majorBidi" w:hAnsiTheme="majorBidi" w:cstheme="majorBidi"/>
          <w:lang w:val="en-US"/>
        </w:rPr>
        <w:t>The sustainability factors, we will analyze include the following items:</w:t>
      </w:r>
    </w:p>
    <w:p w14:paraId="6C254A09" w14:textId="431B2272"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 xml:space="preserve">company invests </w:t>
      </w:r>
      <w:r w:rsidRPr="006C7A4A">
        <w:rPr>
          <w:rFonts w:asciiTheme="majorBidi" w:hAnsiTheme="majorBidi" w:cstheme="majorBidi"/>
          <w:lang w:val="en-US"/>
        </w:rPr>
        <w:t>more than competitors in R&amp;D and innovations for environmental protection</w:t>
      </w:r>
      <w:r>
        <w:rPr>
          <w:rFonts w:asciiTheme="majorBidi" w:hAnsiTheme="majorBidi" w:cstheme="majorBidi"/>
          <w:lang w:val="en-US"/>
        </w:rPr>
        <w:t xml:space="preserve"> (Investment);</w:t>
      </w:r>
    </w:p>
    <w:p w14:paraId="2CB9821A" w14:textId="77C3E86C"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w:t>
      </w:r>
      <w:r w:rsidRPr="006C7A4A">
        <w:rPr>
          <w:rFonts w:asciiTheme="majorBidi" w:hAnsiTheme="majorBidi" w:cstheme="majorBidi"/>
          <w:lang w:val="en-US"/>
        </w:rPr>
        <w:t xml:space="preserve">he "green" products and services offered by </w:t>
      </w:r>
      <w:r>
        <w:rPr>
          <w:rFonts w:asciiTheme="majorBidi" w:hAnsiTheme="majorBidi" w:cstheme="majorBidi"/>
          <w:lang w:val="en-US"/>
        </w:rPr>
        <w:t>the</w:t>
      </w:r>
      <w:r w:rsidRPr="006C7A4A">
        <w:rPr>
          <w:rFonts w:asciiTheme="majorBidi" w:hAnsiTheme="majorBidi" w:cstheme="majorBidi"/>
          <w:lang w:val="en-US"/>
        </w:rPr>
        <w:t xml:space="preserve"> company are superior to those of the competition</w:t>
      </w:r>
      <w:r>
        <w:rPr>
          <w:rFonts w:asciiTheme="majorBidi" w:hAnsiTheme="majorBidi" w:cstheme="majorBidi"/>
          <w:lang w:val="en-US"/>
        </w:rPr>
        <w:t xml:space="preserve"> (Superiority); </w:t>
      </w:r>
    </w:p>
    <w:p w14:paraId="11DFAC2C" w14:textId="0931138B"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 company</w:t>
      </w:r>
      <w:r w:rsidRPr="006C7A4A">
        <w:rPr>
          <w:rFonts w:asciiTheme="majorBidi" w:hAnsiTheme="majorBidi" w:cstheme="majorBidi"/>
          <w:lang w:val="en-US"/>
        </w:rPr>
        <w:t xml:space="preserve"> have a better "green" reputation than the competition</w:t>
      </w:r>
      <w:r>
        <w:rPr>
          <w:rFonts w:asciiTheme="majorBidi" w:hAnsiTheme="majorBidi" w:cstheme="majorBidi"/>
          <w:lang w:val="en-US"/>
        </w:rPr>
        <w:t xml:space="preserve"> (Reputation);</w:t>
      </w:r>
    </w:p>
    <w:p w14:paraId="4C73B0C0" w14:textId="4D700CFD"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w:t>
      </w:r>
      <w:r w:rsidRPr="006C7A4A">
        <w:rPr>
          <w:rFonts w:asciiTheme="majorBidi" w:hAnsiTheme="majorBidi" w:cstheme="majorBidi"/>
          <w:lang w:val="en-US"/>
        </w:rPr>
        <w:t xml:space="preserve"> company has a competitive advantage in environmental protection based on the lowest costs</w:t>
      </w:r>
      <w:r>
        <w:rPr>
          <w:rFonts w:asciiTheme="majorBidi" w:hAnsiTheme="majorBidi" w:cstheme="majorBidi"/>
          <w:lang w:val="en-US"/>
        </w:rPr>
        <w:t xml:space="preserve"> (Advantage).</w:t>
      </w:r>
    </w:p>
    <w:p w14:paraId="51645DA8"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14:paraId="61D36979"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The hypotheses </w:t>
      </w:r>
      <w:r>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14:paraId="25566912" w14:textId="7F5E5AEE" w:rsidR="001A145F" w:rsidRPr="00D16F30"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Hypothesis </w:t>
      </w:r>
      <w:r>
        <w:rPr>
          <w:rFonts w:asciiTheme="majorBidi" w:hAnsiTheme="majorBidi" w:cstheme="majorBidi"/>
          <w:lang w:val="en-US"/>
        </w:rPr>
        <w:t>H6</w:t>
      </w:r>
      <w:r w:rsidRPr="00D16F30">
        <w:rPr>
          <w:rFonts w:asciiTheme="majorBidi" w:hAnsiTheme="majorBidi" w:cstheme="majorBidi"/>
          <w:lang w:val="en-US"/>
        </w:rPr>
        <w:t xml:space="preserve"> examines the psychological and cognitive factors that influence how company heads perceive and </w:t>
      </w:r>
      <w:r w:rsidRPr="00D16F30">
        <w:rPr>
          <w:rStyle w:val="issue-underline"/>
          <w:rFonts w:asciiTheme="majorBidi" w:hAnsiTheme="majorBidi" w:cstheme="majorBidi"/>
          <w:lang w:val="en-US"/>
        </w:rPr>
        <w:t>assess both financial</w:t>
      </w:r>
      <w:r w:rsidRPr="00D16F30">
        <w:rPr>
          <w:rFonts w:asciiTheme="majorBidi" w:hAnsiTheme="majorBidi" w:cstheme="majorBidi"/>
          <w:lang w:val="en-US"/>
        </w:rPr>
        <w:t xml:space="preserve"> performance and sustainability efforts. By examining the </w:t>
      </w:r>
      <w:r w:rsidRPr="00D16F30">
        <w:rPr>
          <w:rFonts w:asciiTheme="majorBidi" w:hAnsiTheme="majorBidi" w:cstheme="majorBidi"/>
          <w:lang w:val="en-US"/>
        </w:rPr>
        <w:lastRenderedPageBreak/>
        <w:t xml:space="preserve">correlations between subjective estimations of financial health and sustainability, the study seeks to understand whether certain biases or tendencies are consistent across different aspects of corporate performance </w:t>
      </w:r>
      <w:r w:rsidRPr="00D16F30">
        <w:rPr>
          <w:rStyle w:val="issue-underline"/>
          <w:rFonts w:asciiTheme="majorBidi" w:hAnsiTheme="majorBidi" w:cstheme="majorBidi"/>
          <w:lang w:val="en-US"/>
        </w:rPr>
        <w:t>to a</w:t>
      </w:r>
      <w:r w:rsidRPr="00D16F30">
        <w:rPr>
          <w:rFonts w:asciiTheme="majorBidi" w:hAnsiTheme="majorBidi" w:cstheme="majorBidi"/>
          <w:lang w:val="en-US"/>
        </w:rPr>
        <w:t xml:space="preserve"> deeper understanding of how internal perceptions shape the reporting and assessment of a company’s overall performance in the Romanian context.</w:t>
      </w:r>
    </w:p>
    <w:p w14:paraId="40F24154" w14:textId="183745BB" w:rsidR="00CE59D8" w:rsidRDefault="00CE59D8" w:rsidP="00CE59D8">
      <w:pPr>
        <w:pStyle w:val="pb-2"/>
        <w:ind w:firstLine="284"/>
        <w:jc w:val="both"/>
        <w:rPr>
          <w:rFonts w:asciiTheme="majorBidi" w:hAnsiTheme="majorBidi" w:cstheme="majorBidi"/>
          <w:lang w:val="en-US"/>
        </w:rPr>
      </w:pPr>
      <w:r w:rsidRPr="00190887">
        <w:rPr>
          <w:rFonts w:asciiTheme="majorBidi" w:hAnsiTheme="majorBidi" w:cstheme="majorBidi"/>
          <w:lang w:val="en-US"/>
        </w:rPr>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companies’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14:paraId="29841247" w14:textId="457F4191" w:rsidR="004D2041" w:rsidRDefault="00B7165F" w:rsidP="00CE59D8">
      <w:pPr>
        <w:pStyle w:val="pb-2"/>
        <w:ind w:firstLine="284"/>
        <w:jc w:val="both"/>
        <w:rPr>
          <w:rFonts w:asciiTheme="majorBidi" w:hAnsiTheme="majorBidi" w:cstheme="majorBidi"/>
          <w:lang w:val="en-US"/>
        </w:rPr>
      </w:pPr>
      <w:r>
        <w:rPr>
          <w:rFonts w:asciiTheme="majorBidi" w:hAnsiTheme="majorBidi" w:cstheme="majorBidi"/>
          <w:noProof/>
          <w:lang w:val="ru-RU" w:eastAsia="ru-RU"/>
          <w14:ligatures w14:val="standardContextual"/>
        </w:rPr>
        <mc:AlternateContent>
          <mc:Choice Requires="wpg">
            <w:drawing>
              <wp:anchor distT="0" distB="0" distL="114300" distR="114300" simplePos="0" relativeHeight="251686912" behindDoc="0" locked="0" layoutInCell="1" allowOverlap="1" wp14:anchorId="3E033304" wp14:editId="3E324587">
                <wp:simplePos x="0" y="0"/>
                <wp:positionH relativeFrom="column">
                  <wp:posOffset>123825</wp:posOffset>
                </wp:positionH>
                <wp:positionV relativeFrom="paragraph">
                  <wp:posOffset>-66675</wp:posOffset>
                </wp:positionV>
                <wp:extent cx="4552950" cy="1466850"/>
                <wp:effectExtent l="0" t="0" r="19050" b="19050"/>
                <wp:wrapNone/>
                <wp:docPr id="28" name="Группа 28"/>
                <wp:cNvGraphicFramePr/>
                <a:graphic xmlns:a="http://schemas.openxmlformats.org/drawingml/2006/main">
                  <a:graphicData uri="http://schemas.microsoft.com/office/word/2010/wordprocessingGroup">
                    <wpg:wgp>
                      <wpg:cNvGrpSpPr/>
                      <wpg:grpSpPr>
                        <a:xfrm>
                          <a:off x="0" y="0"/>
                          <a:ext cx="4552950" cy="1466850"/>
                          <a:chOff x="0" y="0"/>
                          <a:chExt cx="4552950" cy="1466850"/>
                        </a:xfrm>
                      </wpg:grpSpPr>
                      <wpg:grpSp>
                        <wpg:cNvPr id="22" name="Группа 22"/>
                        <wpg:cNvGrpSpPr/>
                        <wpg:grpSpPr>
                          <a:xfrm>
                            <a:off x="0" y="0"/>
                            <a:ext cx="4552950" cy="1466850"/>
                            <a:chOff x="0" y="0"/>
                            <a:chExt cx="4552950" cy="1466850"/>
                          </a:xfrm>
                        </wpg:grpSpPr>
                        <wps:wsp>
                          <wps:cNvPr id="3" name="Надпись 3"/>
                          <wps:cNvSpPr txBox="1"/>
                          <wps:spPr>
                            <a:xfrm>
                              <a:off x="0" y="485775"/>
                              <a:ext cx="1143000" cy="314325"/>
                            </a:xfrm>
                            <a:prstGeom prst="rect">
                              <a:avLst/>
                            </a:prstGeom>
                            <a:solidFill>
                              <a:schemeClr val="lt1"/>
                            </a:solidFill>
                            <a:ln w="6350">
                              <a:solidFill>
                                <a:prstClr val="black"/>
                              </a:solidFill>
                            </a:ln>
                          </wps:spPr>
                          <wps:txbx>
                            <w:txbxContent>
                              <w:p w14:paraId="18D85311" w14:textId="31931EC6" w:rsidR="004D2041" w:rsidRDefault="004D2041">
                                <w:r>
                                  <w:t>Financial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428750" y="0"/>
                              <a:ext cx="1552575" cy="314325"/>
                            </a:xfrm>
                            <a:prstGeom prst="rect">
                              <a:avLst/>
                            </a:prstGeom>
                            <a:solidFill>
                              <a:schemeClr val="lt1"/>
                            </a:solidFill>
                            <a:ln w="6350">
                              <a:solidFill>
                                <a:prstClr val="black"/>
                              </a:solidFill>
                            </a:ln>
                          </wps:spPr>
                          <wps:txbx>
                            <w:txbxContent>
                              <w:p w14:paraId="43BCC6D3" w14:textId="3042A4BD" w:rsidR="004D2041" w:rsidRDefault="004D2041" w:rsidP="004D2041">
                                <w:r>
                                  <w:t>Financial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428750" y="533400"/>
                              <a:ext cx="1552575" cy="314325"/>
                            </a:xfrm>
                            <a:prstGeom prst="rect">
                              <a:avLst/>
                            </a:prstGeom>
                            <a:solidFill>
                              <a:schemeClr val="lt1"/>
                            </a:solidFill>
                            <a:ln w="6350">
                              <a:solidFill>
                                <a:prstClr val="black"/>
                              </a:solidFill>
                            </a:ln>
                          </wps:spPr>
                          <wps:txbx>
                            <w:txbxContent>
                              <w:p w14:paraId="641B9296" w14:textId="0336CCA5" w:rsidR="004D2041" w:rsidRDefault="004D2041" w:rsidP="004D2041">
                                <w:r>
                                  <w:t>Proactive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428750" y="1104900"/>
                              <a:ext cx="1552575" cy="314325"/>
                            </a:xfrm>
                            <a:prstGeom prst="rect">
                              <a:avLst/>
                            </a:prstGeom>
                            <a:solidFill>
                              <a:schemeClr val="lt1"/>
                            </a:solidFill>
                            <a:ln w="6350">
                              <a:solidFill>
                                <a:prstClr val="black"/>
                              </a:solidFill>
                            </a:ln>
                          </wps:spPr>
                          <wps:txbx>
                            <w:txbxContent>
                              <w:p w14:paraId="5DE6766F" w14:textId="2CEAC062" w:rsidR="004D2041" w:rsidRDefault="004D2041" w:rsidP="004D2041">
                                <w:r>
                                  <w:t>Innovation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409950" y="533400"/>
                              <a:ext cx="1143000" cy="314325"/>
                            </a:xfrm>
                            <a:prstGeom prst="rect">
                              <a:avLst/>
                            </a:prstGeom>
                            <a:solidFill>
                              <a:schemeClr val="lt1"/>
                            </a:solidFill>
                            <a:ln w="6350">
                              <a:solidFill>
                                <a:prstClr val="black"/>
                              </a:solidFill>
                            </a:ln>
                          </wps:spPr>
                          <wps:txbx>
                            <w:txbxContent>
                              <w:p w14:paraId="3AFD9CF9" w14:textId="29C05354" w:rsidR="004D2041" w:rsidRDefault="004D2041" w:rsidP="004D2041">
                                <w: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 стрелкой 10"/>
                          <wps:cNvCnPr/>
                          <wps:spPr>
                            <a:xfrm flipV="1">
                              <a:off x="1143000" y="17145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a:off x="2200275" y="847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209800" y="314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2981325" y="17145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981325" y="676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flipV="1">
                              <a:off x="2981325" y="74295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1143000" y="6762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3409950" y="1076325"/>
                              <a:ext cx="1143000" cy="314325"/>
                            </a:xfrm>
                            <a:prstGeom prst="rect">
                              <a:avLst/>
                            </a:prstGeom>
                            <a:solidFill>
                              <a:schemeClr val="lt1"/>
                            </a:solidFill>
                            <a:ln w="6350">
                              <a:solidFill>
                                <a:prstClr val="black"/>
                              </a:solidFill>
                            </a:ln>
                          </wps:spPr>
                          <wps:txbx>
                            <w:txbxContent>
                              <w:p w14:paraId="10B88E94" w14:textId="0B5812A0" w:rsidR="00A80C1E" w:rsidRDefault="00A80C1E" w:rsidP="00A80C1E">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0" y="1152525"/>
                              <a:ext cx="1143000" cy="314325"/>
                            </a:xfrm>
                            <a:prstGeom prst="rect">
                              <a:avLst/>
                            </a:prstGeom>
                            <a:solidFill>
                              <a:schemeClr val="lt1"/>
                            </a:solidFill>
                            <a:ln w="6350">
                              <a:solidFill>
                                <a:prstClr val="black"/>
                              </a:solidFill>
                            </a:ln>
                          </wps:spPr>
                          <wps:txbx>
                            <w:txbxContent>
                              <w:p w14:paraId="4CCF33B4" w14:textId="7092947E" w:rsidR="00A80C1E" w:rsidRDefault="00A80C1E" w:rsidP="00A80C1E">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Прямая со стрелкой 23"/>
                        <wps:cNvCnPr/>
                        <wps:spPr>
                          <a:xfrm flipV="1">
                            <a:off x="1143000" y="742950"/>
                            <a:ext cx="285750" cy="476250"/>
                          </a:xfrm>
                          <a:prstGeom prst="bentConnector3">
                            <a:avLst>
                              <a:gd name="adj1" fmla="val 1393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43000" y="1276350"/>
                            <a:ext cx="2857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1143000" y="742950"/>
                            <a:ext cx="2266950" cy="723900"/>
                          </a:xfrm>
                          <a:prstGeom prst="bentConnector3">
                            <a:avLst>
                              <a:gd name="adj1" fmla="val 9207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V="1">
                            <a:off x="3695700" y="8477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2981325" y="12192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33304" id="Группа 28" o:spid="_x0000_s1026" style="position:absolute;left:0;text-align:left;margin-left:9.75pt;margin-top:-5.25pt;width:358.5pt;height:115.5pt;z-index:251686912" coordsize="4552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">
                <v:group id="Группа 22" o:spid="_x0000_s1027" style="position:absolute;width:45529;height:14668" coordsize="45529,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Надпись 3" o:spid="_x0000_s1028" type="#_x0000_t202" style="position:absolute;top:4857;width:11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8D85311" w14:textId="31931EC6" w:rsidR="004D2041" w:rsidRDefault="004D2041">
                          <w:r>
                            <w:t>Financial health</w:t>
                          </w:r>
                        </w:p>
                      </w:txbxContent>
                    </v:textbox>
                  </v:shape>
                  <v:shape id="Надпись 6" o:spid="_x0000_s1029" type="#_x0000_t202" style="position:absolute;left:14287;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3BCC6D3" w14:textId="3042A4BD" w:rsidR="004D2041" w:rsidRDefault="004D2041" w:rsidP="004D2041">
                          <w:r>
                            <w:t xml:space="preserve">Financial </w:t>
                          </w:r>
                          <w:r>
                            <w:t>satisfaction</w:t>
                          </w:r>
                        </w:p>
                      </w:txbxContent>
                    </v:textbox>
                  </v:shape>
                  <v:shape id="Надпись 7" o:spid="_x0000_s1030" type="#_x0000_t202" style="position:absolute;left:14287;top:5334;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41B9296" w14:textId="0336CCA5" w:rsidR="004D2041" w:rsidRDefault="004D2041" w:rsidP="004D2041">
                          <w:r>
                            <w:t>Proactive orientation</w:t>
                          </w:r>
                        </w:p>
                      </w:txbxContent>
                    </v:textbox>
                  </v:shape>
                  <v:shape id="Надпись 8" o:spid="_x0000_s1031" type="#_x0000_t202" style="position:absolute;left:14287;top:11049;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DE6766F" w14:textId="2CEAC062" w:rsidR="004D2041" w:rsidRDefault="004D2041" w:rsidP="004D2041">
                          <w:r>
                            <w:t>Innovation orientation</w:t>
                          </w:r>
                        </w:p>
                      </w:txbxContent>
                    </v:textbox>
                  </v:shape>
                  <v:shape id="Надпись 9" o:spid="_x0000_s1032" type="#_x0000_t202" style="position:absolute;left:34099;top:5334;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AFD9CF9" w14:textId="29C05354" w:rsidR="004D2041" w:rsidRDefault="004D2041" w:rsidP="004D2041">
                          <w:r>
                            <w:t>Sustainability</w:t>
                          </w:r>
                        </w:p>
                      </w:txbxContent>
                    </v:textbox>
                  </v:shape>
                  <v:shapetype id="_x0000_t32" coordsize="21600,21600" o:spt="32" o:oned="t" path="m,l21600,21600e" filled="f">
                    <v:path arrowok="t" fillok="f" o:connecttype="none"/>
                    <o:lock v:ext="edit" shapetype="t"/>
                  </v:shapetype>
                  <v:shape id="Прямая со стрелкой 10" o:spid="_x0000_s1033" type="#_x0000_t32" style="position:absolute;left:11430;top:1714;width:2857;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Прямая со стрелкой 12" o:spid="_x0000_s1034" type="#_x0000_t32" style="position:absolute;left:22002;top:847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Прямая со стрелкой 14" o:spid="_x0000_s1035" type="#_x0000_t32" style="position:absolute;left:22098;top:314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Прямая со стрелкой 15" o:spid="_x0000_s1036" type="#_x0000_t32" style="position:absolute;left:29813;top:1714;width:4286;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Прямая со стрелкой 16" o:spid="_x0000_s1037" type="#_x0000_t32" style="position:absolute;left:29813;top:6762;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Прямая со стрелкой 17" o:spid="_x0000_s1038" type="#_x0000_t32" style="position:absolute;left:29813;top:7429;width:4286;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Прямая со стрелкой 18" o:spid="_x0000_s1039" type="#_x0000_t32" style="position:absolute;left:11430;top:676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Надпись 19" o:spid="_x0000_s1040" type="#_x0000_t202" style="position:absolute;left:34099;top:10763;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0B88E94" w14:textId="0B5812A0" w:rsidR="00A80C1E" w:rsidRDefault="00A80C1E" w:rsidP="00A80C1E">
                          <w:r>
                            <w:t>Sector</w:t>
                          </w:r>
                        </w:p>
                      </w:txbxContent>
                    </v:textbox>
                  </v:shape>
                  <v:shape id="Надпись 20" o:spid="_x0000_s1041" type="#_x0000_t202" style="position:absolute;top:11525;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CF33B4" w14:textId="7092947E" w:rsidR="00A80C1E" w:rsidRDefault="00A80C1E" w:rsidP="00A80C1E">
                          <w:r>
                            <w:t>Age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23" o:spid="_x0000_s1042" type="#_x0000_t34" style="position:absolute;left:11430;top:7429;width:2857;height:4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" adj="3010" strokecolor="#4472c4 [3204]" strokeweight=".5pt">
                  <v:stroke dashstyle="dash" endarrow="block"/>
                </v:shape>
                <v:shape id="Прямая со стрелкой 24" o:spid="_x0000_s1043" type="#_x0000_t32" style="position:absolute;left:11430;top:12763;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" strokecolor="#4472c4 [3204]" strokeweight=".5pt">
                  <v:stroke dashstyle="dash" endarrow="block" joinstyle="miter"/>
                </v:shape>
                <v:shape id="Прямая со стрелкой 25" o:spid="_x0000_s1044" type="#_x0000_t34" style="position:absolute;left:11430;top:7429;width:22669;height:72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" adj="19889" strokecolor="#4472c4 [3204]" strokeweight=".5pt">
                  <v:stroke dashstyle="dash" endarrow="block"/>
                </v:shape>
                <v:shape id="Прямая со стрелкой 26" o:spid="_x0000_s1045" type="#_x0000_t32" style="position:absolute;left:36957;top:847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46" type="#_x0000_t32" style="position:absolute;left:29813;top:12192;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14:paraId="727FAA08" w14:textId="6C3AB2C4" w:rsidR="004D2041" w:rsidRDefault="004D2041" w:rsidP="00CE59D8">
      <w:pPr>
        <w:pStyle w:val="pb-2"/>
        <w:ind w:firstLine="284"/>
        <w:jc w:val="both"/>
        <w:rPr>
          <w:rFonts w:asciiTheme="majorBidi" w:hAnsiTheme="majorBidi" w:cstheme="majorBidi"/>
          <w:lang w:val="en-US"/>
        </w:rPr>
      </w:pPr>
    </w:p>
    <w:p w14:paraId="520A5A68" w14:textId="49DF8FDB" w:rsidR="00CE59D8" w:rsidRPr="00D16F30" w:rsidRDefault="00CE59D8" w:rsidP="00CE59D8">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 </w:t>
      </w:r>
    </w:p>
    <w:p w14:paraId="34774031" w14:textId="1D4FDE06" w:rsidR="004D2041" w:rsidRDefault="004D2041" w:rsidP="00CE59D8">
      <w:pPr>
        <w:pStyle w:val="pb-2"/>
        <w:tabs>
          <w:tab w:val="left" w:pos="3393"/>
        </w:tabs>
        <w:ind w:firstLine="284"/>
        <w:jc w:val="center"/>
        <w:rPr>
          <w:rFonts w:asciiTheme="majorBidi" w:hAnsiTheme="majorBidi" w:cstheme="majorBidi"/>
          <w:lang w:val="en-US"/>
        </w:rPr>
      </w:pPr>
    </w:p>
    <w:p w14:paraId="723B170D" w14:textId="1ED49FD7" w:rsidR="00CE59D8" w:rsidRDefault="00CE59D8" w:rsidP="00CE59D8">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Figure 1. Research Model</w:t>
      </w:r>
    </w:p>
    <w:p w14:paraId="0B690671" w14:textId="28A3D4FD" w:rsidR="00A80C1E" w:rsidRDefault="00A80C1E" w:rsidP="00A80C1E">
      <w:pPr>
        <w:pStyle w:val="pb-2"/>
        <w:ind w:firstLine="284"/>
        <w:jc w:val="both"/>
        <w:rPr>
          <w:rFonts w:asciiTheme="majorBidi" w:hAnsiTheme="majorBidi" w:cstheme="majorBidi"/>
          <w:lang w:val="en-US"/>
        </w:rPr>
      </w:pPr>
      <w:r>
        <w:rPr>
          <w:rFonts w:asciiTheme="majorBidi" w:hAnsiTheme="majorBidi" w:cstheme="majorBidi"/>
          <w:lang w:val="en-US"/>
        </w:rPr>
        <w:t xml:space="preserve">In fact, we want to investigate the applicability for this model, so we do not need to investigate these relationships with for example PLS-type analysis as proposed </w:t>
      </w:r>
      <w:r w:rsidRPr="00CB1BB3">
        <w:rPr>
          <w:rFonts w:asciiTheme="majorBidi" w:hAnsiTheme="majorBidi" w:cstheme="majorBidi"/>
          <w:lang w:val="en-US"/>
        </w:rPr>
        <w:t>(Valerie, 2012)</w:t>
      </w:r>
      <w:r>
        <w:rPr>
          <w:rFonts w:asciiTheme="majorBidi" w:hAnsiTheme="majorBidi" w:cstheme="majorBidi"/>
          <w:lang w:val="en-US"/>
        </w:rPr>
        <w:t>, but, instead, apply correlation analysis to every possible pairs of parameter to see whether we can approve the hypotheses for each pair.</w:t>
      </w:r>
    </w:p>
    <w:p w14:paraId="6031855E" w14:textId="77777777" w:rsidR="00CE59D8" w:rsidRDefault="00CE59D8" w:rsidP="00CE59D8">
      <w:pPr>
        <w:pStyle w:val="pb-2"/>
        <w:ind w:firstLine="284"/>
        <w:jc w:val="both"/>
        <w:rPr>
          <w:rFonts w:asciiTheme="majorBidi" w:hAnsiTheme="majorBidi" w:cstheme="majorBidi"/>
          <w:lang w:val="en-US"/>
        </w:rPr>
      </w:pPr>
      <w:r>
        <w:rPr>
          <w:rFonts w:asciiTheme="majorBidi" w:hAnsiTheme="majorBidi" w:cstheme="majorBidi"/>
          <w:lang w:val="en-US"/>
        </w:rPr>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14:paraId="66D64F99" w14:textId="77777777" w:rsidR="00CE59D8" w:rsidRPr="00D44776" w:rsidRDefault="00CE59D8" w:rsidP="00CE59D8">
      <w:pPr>
        <w:autoSpaceDE w:val="0"/>
        <w:autoSpaceDN w:val="0"/>
        <w:adjustRightInd w:val="0"/>
        <w:spacing w:line="240" w:lineRule="auto"/>
        <w:jc w:val="center"/>
        <w:rPr>
          <w:rFonts w:asciiTheme="majorBidi" w:hAnsiTheme="majorBidi" w:cstheme="majorBidi"/>
          <w:sz w:val="36"/>
          <w:szCs w:val="36"/>
        </w:rPr>
      </w:pPr>
      <w:r w:rsidRPr="00D44776">
        <w:rPr>
          <w:rFonts w:asciiTheme="majorBidi" w:hAnsiTheme="majorBidi" w:cstheme="majorBidi"/>
          <w:sz w:val="24"/>
          <w:szCs w:val="24"/>
        </w:rPr>
        <w:t>Table 2. Summary of the hypotheses</w:t>
      </w:r>
    </w:p>
    <w:tbl>
      <w:tblPr>
        <w:tblStyle w:val="a4"/>
        <w:tblW w:w="9067" w:type="dxa"/>
        <w:jc w:val="center"/>
        <w:tblLook w:val="04A0" w:firstRow="1" w:lastRow="0" w:firstColumn="1" w:lastColumn="0" w:noHBand="0" w:noVBand="1"/>
      </w:tblPr>
      <w:tblGrid>
        <w:gridCol w:w="570"/>
        <w:gridCol w:w="4245"/>
        <w:gridCol w:w="2268"/>
        <w:gridCol w:w="1984"/>
      </w:tblGrid>
      <w:tr w:rsidR="00CE59D8" w:rsidRPr="00D44776" w14:paraId="784AE1FB" w14:textId="77777777" w:rsidTr="0090448A">
        <w:trPr>
          <w:jc w:val="center"/>
        </w:trPr>
        <w:tc>
          <w:tcPr>
            <w:tcW w:w="570" w:type="dxa"/>
          </w:tcPr>
          <w:p w14:paraId="46B8825D" w14:textId="77777777" w:rsidR="00CE59D8" w:rsidRPr="00D44776" w:rsidRDefault="00CE59D8" w:rsidP="0090448A">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14:paraId="2F6E0533" w14:textId="77777777" w:rsidR="00CE59D8" w:rsidRPr="00D44776" w:rsidRDefault="00CE59D8" w:rsidP="0090448A">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14:paraId="2ACA4015" w14:textId="77777777" w:rsidR="00CE59D8" w:rsidRPr="00D44776" w:rsidRDefault="00CE59D8" w:rsidP="0090448A">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14:paraId="2C093534" w14:textId="77777777" w:rsidR="00CE59D8" w:rsidRPr="00D44776" w:rsidRDefault="00CE59D8" w:rsidP="0090448A">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CE59D8" w:rsidRPr="00D44776" w14:paraId="25CF4FB2" w14:textId="77777777" w:rsidTr="0090448A">
        <w:trPr>
          <w:jc w:val="center"/>
        </w:trPr>
        <w:tc>
          <w:tcPr>
            <w:tcW w:w="570" w:type="dxa"/>
          </w:tcPr>
          <w:p w14:paraId="6BCC4F12" w14:textId="77777777" w:rsidR="00CE59D8" w:rsidRPr="008421BF" w:rsidRDefault="00CE59D8" w:rsidP="0090448A">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14:paraId="18024D2B"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14:paraId="2B572631" w14:textId="77777777" w:rsidR="00CE59D8" w:rsidRPr="008421BF"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14:paraId="6AF82292"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4960E8C9" w14:textId="6B9C9075"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 xml:space="preserve">Proactive orientation </w:t>
            </w:r>
          </w:p>
        </w:tc>
      </w:tr>
      <w:tr w:rsidR="00E61422" w:rsidRPr="00D44776" w14:paraId="027C6729" w14:textId="77777777" w:rsidTr="0090448A">
        <w:trPr>
          <w:jc w:val="center"/>
        </w:trPr>
        <w:tc>
          <w:tcPr>
            <w:tcW w:w="570" w:type="dxa"/>
          </w:tcPr>
          <w:p w14:paraId="1D312FFD" w14:textId="15010E9B"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2</w:t>
            </w:r>
          </w:p>
        </w:tc>
        <w:tc>
          <w:tcPr>
            <w:tcW w:w="4245" w:type="dxa"/>
          </w:tcPr>
          <w:p w14:paraId="030ACBF7" w14:textId="6D39D246"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14:paraId="503F680B" w14:textId="5E44AB28" w:rsidR="00E61422" w:rsidRPr="003F6840" w:rsidRDefault="00E61422" w:rsidP="00E61422">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14:paraId="08C4BAC6"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2B87595F" w14:textId="7E3DFA2B"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 orientation</w:t>
            </w:r>
          </w:p>
        </w:tc>
      </w:tr>
      <w:tr w:rsidR="00E61422" w:rsidRPr="00D44776" w14:paraId="02C5239F" w14:textId="77777777" w:rsidTr="0090448A">
        <w:trPr>
          <w:jc w:val="center"/>
        </w:trPr>
        <w:tc>
          <w:tcPr>
            <w:tcW w:w="570" w:type="dxa"/>
          </w:tcPr>
          <w:p w14:paraId="0ABE2FE3" w14:textId="069544E8"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3</w:t>
            </w:r>
          </w:p>
        </w:tc>
        <w:tc>
          <w:tcPr>
            <w:tcW w:w="4245" w:type="dxa"/>
          </w:tcPr>
          <w:p w14:paraId="3D3FC878" w14:textId="180C7E88"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Managers who perceive themselves as innovative are more likely to pursue green policies.</w:t>
            </w:r>
          </w:p>
        </w:tc>
        <w:tc>
          <w:tcPr>
            <w:tcW w:w="2268" w:type="dxa"/>
          </w:tcPr>
          <w:p w14:paraId="52FA757D" w14:textId="325EE42D" w:rsidR="00E61422"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14:paraId="7D6451BC"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6D7A2AB4" w14:textId="21FF9D12" w:rsidR="00E61422" w:rsidRPr="00D44776" w:rsidRDefault="00E61422" w:rsidP="00E61422">
            <w:pPr>
              <w:pStyle w:val="pb-2"/>
              <w:spacing w:before="120" w:beforeAutospacing="0" w:after="0" w:afterAutospacing="0"/>
              <w:jc w:val="center"/>
              <w:rPr>
                <w:rFonts w:asciiTheme="majorBidi" w:hAnsiTheme="majorBidi" w:cstheme="majorBidi"/>
                <w:sz w:val="18"/>
                <w:szCs w:val="18"/>
              </w:rPr>
            </w:pPr>
          </w:p>
        </w:tc>
      </w:tr>
      <w:tr w:rsidR="00CE59D8" w:rsidRPr="00D44776" w14:paraId="7F92A7CC" w14:textId="77777777" w:rsidTr="0090448A">
        <w:trPr>
          <w:jc w:val="center"/>
        </w:trPr>
        <w:tc>
          <w:tcPr>
            <w:tcW w:w="570" w:type="dxa"/>
          </w:tcPr>
          <w:p w14:paraId="06EEC9A3" w14:textId="422C937E" w:rsidR="00CE59D8" w:rsidRPr="008421BF" w:rsidRDefault="00CE59D8" w:rsidP="006A12A6">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14:paraId="11BA3461"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14:paraId="2F782FA0"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14:paraId="39611D55"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30C7E46B" w14:textId="7ADF7CE0"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 Innovation</w:t>
            </w:r>
          </w:p>
        </w:tc>
      </w:tr>
      <w:tr w:rsidR="00CE59D8" w:rsidRPr="00D44776" w14:paraId="57E4D10F" w14:textId="77777777" w:rsidTr="0090448A">
        <w:trPr>
          <w:jc w:val="center"/>
        </w:trPr>
        <w:tc>
          <w:tcPr>
            <w:tcW w:w="570" w:type="dxa"/>
          </w:tcPr>
          <w:p w14:paraId="383C2F87" w14:textId="2CFCE7F7" w:rsidR="00CE59D8" w:rsidRPr="008421BF" w:rsidRDefault="006A12A6" w:rsidP="006A12A6">
            <w:pPr>
              <w:pStyle w:val="pb-2"/>
              <w:spacing w:before="120" w:beforeAutospacing="0" w:after="0" w:afterAutospacing="0"/>
              <w:jc w:val="center"/>
              <w:rPr>
                <w:rFonts w:asciiTheme="majorBidi" w:hAnsiTheme="majorBidi" w:cstheme="majorBidi"/>
                <w:b/>
                <w:bCs/>
                <w:sz w:val="18"/>
                <w:szCs w:val="18"/>
              </w:rPr>
            </w:pPr>
            <w:r>
              <w:rPr>
                <w:rFonts w:asciiTheme="majorBidi" w:hAnsiTheme="majorBidi" w:cstheme="majorBidi"/>
                <w:b/>
                <w:bCs/>
                <w:sz w:val="18"/>
                <w:szCs w:val="18"/>
              </w:rPr>
              <w:t>H5</w:t>
            </w:r>
          </w:p>
        </w:tc>
        <w:tc>
          <w:tcPr>
            <w:tcW w:w="4245" w:type="dxa"/>
          </w:tcPr>
          <w:p w14:paraId="77F80F9A" w14:textId="7A7441F3"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Transport companies in Romania are less inclined to adopt green technologies than other sectors.</w:t>
            </w:r>
          </w:p>
        </w:tc>
        <w:tc>
          <w:tcPr>
            <w:tcW w:w="2268" w:type="dxa"/>
          </w:tcPr>
          <w:p w14:paraId="027B84AE"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 difference</w:t>
            </w:r>
          </w:p>
        </w:tc>
        <w:tc>
          <w:tcPr>
            <w:tcW w:w="1984" w:type="dxa"/>
          </w:tcPr>
          <w:p w14:paraId="455479DD" w14:textId="77777777" w:rsidR="00CE59D8"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579DB2E5" w14:textId="2E89F314"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w:t>
            </w:r>
          </w:p>
        </w:tc>
      </w:tr>
      <w:tr w:rsidR="00CE59D8" w:rsidRPr="002922CD" w14:paraId="13F4A8E0" w14:textId="77777777" w:rsidTr="00FF54EF">
        <w:trPr>
          <w:jc w:val="center"/>
        </w:trPr>
        <w:tc>
          <w:tcPr>
            <w:tcW w:w="570" w:type="dxa"/>
            <w:shd w:val="clear" w:color="auto" w:fill="auto"/>
          </w:tcPr>
          <w:p w14:paraId="00352371" w14:textId="4D4DA120" w:rsidR="00CE59D8" w:rsidRPr="001831C7" w:rsidRDefault="00CE59D8" w:rsidP="006A12A6">
            <w:pPr>
              <w:spacing w:before="60" w:after="60"/>
              <w:jc w:val="center"/>
              <w:rPr>
                <w:rFonts w:asciiTheme="majorBidi" w:hAnsiTheme="majorBidi" w:cstheme="majorBidi"/>
                <w:b/>
                <w:sz w:val="18"/>
                <w:szCs w:val="18"/>
              </w:rPr>
            </w:pPr>
            <w:r w:rsidRPr="001831C7">
              <w:rPr>
                <w:rFonts w:asciiTheme="majorBidi" w:hAnsiTheme="majorBidi" w:cstheme="majorBidi"/>
                <w:b/>
                <w:sz w:val="18"/>
                <w:szCs w:val="18"/>
              </w:rPr>
              <w:t>H6</w:t>
            </w:r>
            <w:bookmarkStart w:id="0" w:name="_GoBack"/>
            <w:bookmarkEnd w:id="0"/>
            <w:r w:rsidR="006A12A6">
              <w:rPr>
                <w:rFonts w:asciiTheme="majorBidi" w:hAnsiTheme="majorBidi" w:cstheme="majorBidi"/>
                <w:b/>
                <w:sz w:val="18"/>
                <w:szCs w:val="18"/>
              </w:rPr>
              <w:t xml:space="preserve"> </w:t>
            </w:r>
          </w:p>
        </w:tc>
        <w:tc>
          <w:tcPr>
            <w:tcW w:w="4245" w:type="dxa"/>
            <w:shd w:val="clear" w:color="auto" w:fill="auto"/>
          </w:tcPr>
          <w:p w14:paraId="119D4440" w14:textId="77777777"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Good financial performance correlates with positive subjective assessments of financial health.</w:t>
            </w:r>
          </w:p>
        </w:tc>
        <w:tc>
          <w:tcPr>
            <w:tcW w:w="2268" w:type="dxa"/>
            <w:shd w:val="clear" w:color="auto" w:fill="auto"/>
          </w:tcPr>
          <w:p w14:paraId="59500672" w14:textId="5913005C"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Financial health</w:t>
            </w:r>
          </w:p>
        </w:tc>
        <w:tc>
          <w:tcPr>
            <w:tcW w:w="1984" w:type="dxa"/>
            <w:shd w:val="clear" w:color="auto" w:fill="auto"/>
          </w:tcPr>
          <w:p w14:paraId="2C40A2C4" w14:textId="77777777" w:rsidR="00CE59D8" w:rsidRDefault="00FF54EF"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r w:rsidR="00E61422">
              <w:rPr>
                <w:rFonts w:asciiTheme="majorBidi" w:hAnsiTheme="majorBidi" w:cstheme="majorBidi"/>
                <w:sz w:val="18"/>
                <w:szCs w:val="18"/>
              </w:rPr>
              <w:t>,</w:t>
            </w:r>
          </w:p>
          <w:p w14:paraId="6E141849" w14:textId="0151E96D"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w:t>
            </w:r>
          </w:p>
        </w:tc>
      </w:tr>
    </w:tbl>
    <w:p w14:paraId="4CAE6288" w14:textId="77777777" w:rsidR="00FF54EF" w:rsidRDefault="00FF54EF" w:rsidP="007C6A6A">
      <w:pPr>
        <w:pStyle w:val="2"/>
        <w:jc w:val="both"/>
        <w:rPr>
          <w:rFonts w:ascii="Times New Roman" w:hAnsi="Times New Roman" w:cs="Times New Roman"/>
          <w:b/>
          <w:color w:val="000000" w:themeColor="text1"/>
          <w:sz w:val="24"/>
          <w:szCs w:val="24"/>
          <w:shd w:val="clear" w:color="auto" w:fill="E9E9E9"/>
        </w:rPr>
      </w:pPr>
    </w:p>
    <w:p w14:paraId="33887E09" w14:textId="7FD94163"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4A1051B3"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6F1B149E" w14:textId="57BB6762" w:rsidR="002E048A" w:rsidRPr="002E048A" w:rsidRDefault="002E048A" w:rsidP="002370CA">
      <w:pPr>
        <w:pStyle w:val="pb-2"/>
        <w:jc w:val="both"/>
        <w:rPr>
          <w:rFonts w:asciiTheme="majorBidi" w:hAnsiTheme="majorBidi" w:cstheme="majorBidi"/>
          <w:color w:val="FF0000"/>
          <w:lang w:val="en-US"/>
        </w:rPr>
      </w:pPr>
      <w:r w:rsidRPr="002E048A">
        <w:rPr>
          <w:rFonts w:asciiTheme="majorBidi" w:hAnsiTheme="majorBidi" w:cstheme="majorBidi"/>
          <w:color w:val="FF0000"/>
          <w:lang w:val="en-US"/>
        </w:rPr>
        <w:t>Here, the description of how the questionnaire was collected, and what was included here</w:t>
      </w:r>
    </w:p>
    <w:p w14:paraId="4A53AE63" w14:textId="33EDB0F1"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ind</w:t>
      </w:r>
      <w:r w:rsidRPr="00892F80">
        <w:rPr>
          <w:rFonts w:asciiTheme="majorBidi" w:hAnsiTheme="majorBidi" w:cstheme="majorBidi"/>
          <w:lang w:val="en-US"/>
        </w:rPr>
        <w:t xml:space="preserve">ependent, moderate and </w:t>
      </w:r>
      <w:r>
        <w:rPr>
          <w:rFonts w:asciiTheme="majorBidi" w:hAnsiTheme="majorBidi" w:cstheme="majorBidi"/>
          <w:lang w:val="en-US"/>
        </w:rPr>
        <w:t>d</w:t>
      </w:r>
      <w:r w:rsidRPr="00892F80">
        <w:rPr>
          <w:rFonts w:asciiTheme="majorBidi" w:hAnsiTheme="majorBidi" w:cstheme="majorBidi"/>
          <w:lang w:val="en-US"/>
        </w:rPr>
        <w:t>ependent variables we perform pairwise correlation analysis for all the possible pairs of values and achieve the comrehansion, that all the reasearched variables are basically corellate between each other.</w:t>
      </w:r>
      <w:r w:rsidRPr="00CB1BB3">
        <w:rPr>
          <w:rFonts w:asciiTheme="majorBidi" w:hAnsiTheme="majorBidi" w:cstheme="majorBidi"/>
          <w:lang w:val="en-US"/>
        </w:rPr>
        <w:t xml:space="preserve"> </w:t>
      </w:r>
    </w:p>
    <w:p w14:paraId="0192B92D" w14:textId="77777777" w:rsidR="00A14C79" w:rsidRPr="00A73448" w:rsidRDefault="00A14C79" w:rsidP="00A14C79">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lastRenderedPageBreak/>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482AD666" w14:textId="2E6FDA00" w:rsidR="00B7165F" w:rsidRPr="00FC196C" w:rsidRDefault="007C6A6A" w:rsidP="00B7165F">
      <w:pPr>
        <w:pStyle w:val="pb-2"/>
        <w:jc w:val="center"/>
        <w:rPr>
          <w:rStyle w:val="a5"/>
          <w:lang w:val="en-US"/>
        </w:rPr>
      </w:pPr>
      <w:r w:rsidRPr="002B3DDA">
        <w:rPr>
          <w:noProof/>
          <w:lang w:val="ru-RU" w:eastAsia="ru-RU"/>
        </w:rPr>
        <w:drawing>
          <wp:anchor distT="0" distB="0" distL="114300" distR="114300" simplePos="0" relativeHeight="251657216" behindDoc="0" locked="0" layoutInCell="1" allowOverlap="1" wp14:anchorId="4F4878FD" wp14:editId="7262F65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7165F" w:rsidRPr="00B7165F">
        <w:t xml:space="preserve"> </w:t>
      </w:r>
      <w:r w:rsidR="00B7165F" w:rsidRPr="00DB172B">
        <w:rPr>
          <w:rStyle w:val="a5"/>
          <w:lang w:val="en-US"/>
        </w:rPr>
        <w:t>Figure 2.</w:t>
      </w:r>
      <w:r w:rsidR="00B7165F" w:rsidRPr="00FC196C">
        <w:rPr>
          <w:rStyle w:val="a5"/>
          <w:lang w:val="en-US"/>
        </w:rPr>
        <w:t xml:space="preserve"> </w:t>
      </w:r>
      <w:r w:rsidR="00B7165F" w:rsidRPr="00FC196C">
        <w:rPr>
          <w:lang w:val="en-US"/>
        </w:rPr>
        <w:t>Sectorial breakdown of companies in the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lang w:val="ru-RU" w:eastAsia="ru-RU"/>
          <w14:ligatures w14:val="standardContextual"/>
        </w:rPr>
        <w:lastRenderedPageBreak/>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61E44088" w14:textId="77777777" w:rsidR="00A24D87" w:rsidRDefault="00A24D87" w:rsidP="002457A2">
      <w:pPr>
        <w:jc w:val="both"/>
        <w:rPr>
          <w:rFonts w:ascii="Times New Roman" w:hAnsi="Times New Roman" w:cs="Times New Roman"/>
          <w:sz w:val="24"/>
          <w:szCs w:val="24"/>
        </w:rPr>
      </w:pPr>
    </w:p>
    <w:p w14:paraId="47763456" w14:textId="1BF10E0D"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695AA91"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xml:space="preserve">- </w:t>
      </w:r>
      <w:r w:rsidR="00C3282C">
        <w:rPr>
          <w:rFonts w:ascii="Times New Roman" w:hAnsi="Times New Roman" w:cs="Times New Roman"/>
          <w:sz w:val="24"/>
          <w:szCs w:val="24"/>
        </w:rPr>
        <w:t>p</w:t>
      </w:r>
      <w:r w:rsidRPr="002319FE">
        <w:rPr>
          <w:rFonts w:ascii="Times New Roman" w:hAnsi="Times New Roman" w:cs="Times New Roman"/>
          <w:sz w:val="24"/>
          <w:szCs w:val="24"/>
        </w:rPr>
        <w:t>-values (to estimate the hypothesis of not having a correlation between the data);</w:t>
      </w:r>
    </w:p>
    <w:p w14:paraId="5EC751E9" w14:textId="3D8AE169" w:rsidR="002457A2" w:rsidRDefault="00C3282C" w:rsidP="002457A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w:t>
      </w:r>
      <w:r w:rsidR="002457A2" w:rsidRPr="002319FE">
        <w:rPr>
          <w:rFonts w:ascii="Times New Roman" w:hAnsi="Times New Roman" w:cs="Times New Roman"/>
          <w:sz w:val="24"/>
          <w:szCs w:val="24"/>
        </w:rPr>
        <w:t>ne</w:t>
      </w:r>
      <w:proofErr w:type="gramEnd"/>
      <w:r w:rsidR="002457A2" w:rsidRPr="002319FE">
        <w:rPr>
          <w:rFonts w:ascii="Times New Roman" w:hAnsi="Times New Roman" w:cs="Times New Roman"/>
          <w:sz w:val="24"/>
          <w:szCs w:val="24"/>
        </w:rPr>
        <w:t>-Sample t-test (to check if the sample mean equals a specified value (in our case, 0)) for the difference of our data.</w:t>
      </w:r>
    </w:p>
    <w:p w14:paraId="13F63DA2" w14:textId="73DA3404" w:rsidR="00771FA2" w:rsidRPr="002319FE" w:rsidRDefault="00771FA2" w:rsidP="002457A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fix the level of confidence for our hypotheses in all these tests to usual value of 0.95. </w:t>
      </w: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A1</w:t>
      </w:r>
    </w:p>
    <w:p w14:paraId="715C3EA1" w14:textId="6C79CC1E" w:rsidR="00FC379F" w:rsidRPr="002319FE" w:rsidRDefault="00FC379F" w:rsidP="00771FA2">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r w:rsidR="00771FA2">
        <w:rPr>
          <w:lang w:val="en-GB"/>
        </w:rPr>
        <w:t xml:space="preserve"> Again, the level of confidence to reject the hypothesis is set to </w:t>
      </w:r>
      <w:r w:rsidR="00771FA2">
        <w:t>0.95.</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22AB7163" w14:textId="6E0D55CC" w:rsidR="00170D79" w:rsidRDefault="00170D79" w:rsidP="00FC379F">
      <w:pPr>
        <w:pStyle w:val="a3"/>
        <w:jc w:val="both"/>
        <w:rPr>
          <w:lang w:val="en-GB"/>
        </w:rPr>
      </w:pPr>
      <w:r>
        <w:rPr>
          <w:lang w:val="en-GB"/>
        </w:rPr>
        <w:t xml:space="preserve">In the first part of the analysis, we tried to estimate the state of the Romania cargo transport by using the statistics about age of the tracks. These statistics includes not only companies, that took part in our questionnaire, but the general data of transport in Romania. This analysis emphasises that, significant part of the transport parks is overaged. Then, we tried to estimate whether </w:t>
      </w:r>
      <w:r w:rsidR="00E9513D">
        <w:rPr>
          <w:lang w:val="en-GB"/>
        </w:rPr>
        <w:t>the ecological performance displayed in our answers corresponds to the age of the tracks used by the companies in our list. Also, we looked in whether ages of the tracks form regarding companies are in the same state that overall age of the transport.</w:t>
      </w:r>
    </w:p>
    <w:p w14:paraId="7B72A238" w14:textId="2DB2A142" w:rsidR="00FC379F" w:rsidRPr="002319FE" w:rsidRDefault="00E9513D" w:rsidP="00FC379F">
      <w:pPr>
        <w:pStyle w:val="a3"/>
        <w:jc w:val="both"/>
        <w:rPr>
          <w:lang w:val="en-GB"/>
        </w:rPr>
      </w:pPr>
      <w:r>
        <w:rPr>
          <w:lang w:val="en-GB"/>
        </w:rPr>
        <w:t>Finally, t</w:t>
      </w:r>
      <w:r w:rsidR="00FC379F" w:rsidRPr="002319FE">
        <w:rPr>
          <w:lang w:val="en-GB"/>
        </w:rPr>
        <w:t>o check the hypothesis F1 we apply Mann-Whitney U Test to compare the distributions of Transport and non-transport ecology parameters and to determine whether Transport samples tend to have larger values than the other.</w:t>
      </w:r>
    </w:p>
    <w:p w14:paraId="376266A5" w14:textId="0C8C98EC" w:rsidR="00FC379F" w:rsidRPr="00A0130F" w:rsidRDefault="00A0130F" w:rsidP="00A24D87">
      <w:pPr>
        <w:pStyle w:val="a3"/>
        <w:jc w:val="both"/>
        <w:rPr>
          <w:color w:val="002060"/>
          <w:shd w:val="clear" w:color="auto" w:fill="E9E9E9"/>
        </w:rPr>
      </w:pPr>
      <w:r>
        <w:rPr>
          <w:i/>
          <w:color w:val="0070C0"/>
          <w:lang w:val="en-GB"/>
        </w:rPr>
        <w:t xml:space="preserve"> </w:t>
      </w:r>
      <w:r w:rsidR="00856A8E" w:rsidRPr="00A0130F">
        <w:rPr>
          <w:color w:val="002060"/>
          <w:spacing w:val="4"/>
          <w:shd w:val="clear" w:color="auto" w:fill="E9E9E9"/>
        </w:rPr>
        <w:t xml:space="preserve">Analysis of the real Financial data: estimation of real performance </w:t>
      </w:r>
      <w:r w:rsidR="00856A8E" w:rsidRPr="00A0130F">
        <w:rPr>
          <w:rFonts w:eastAsiaTheme="majorEastAsia"/>
          <w:color w:val="002060"/>
          <w:shd w:val="clear" w:color="auto" w:fill="E9E9E9"/>
        </w:rPr>
        <w:t xml:space="preserve">for </w:t>
      </w:r>
      <w:r w:rsidR="00FC379F" w:rsidRPr="00A0130F">
        <w:rPr>
          <w:color w:val="002060"/>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4149BAEB"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w:t>
      </w:r>
      <w:r w:rsidRPr="00C324E5">
        <w:rPr>
          <w:color w:val="002060"/>
          <w:lang w:val="en-GB"/>
        </w:rPr>
        <w:t>from</w:t>
      </w:r>
      <w:r w:rsidR="00C324E5" w:rsidRPr="00C324E5">
        <w:rPr>
          <w:color w:val="002060"/>
          <w:lang w:val="en-GB"/>
        </w:rPr>
        <w:t xml:space="preserve"> official bulletin of Ministry of Finance in Romania</w:t>
      </w:r>
      <w:r w:rsidR="006C1FBD">
        <w:rPr>
          <w:color w:val="002060"/>
          <w:lang w:val="en-GB"/>
        </w:rPr>
        <w:t xml:space="preserve"> (</w:t>
      </w:r>
      <w:r w:rsidR="006C1FBD" w:rsidRPr="00C324E5">
        <w:t>Ministry of Finance in Romania</w:t>
      </w:r>
      <w:r w:rsidR="006C1FBD">
        <w:t>, 2024</w:t>
      </w:r>
      <w:r w:rsidR="006C1FBD">
        <w:rPr>
          <w:color w:val="002060"/>
          <w:lang w:val="en-GB"/>
        </w:rPr>
        <w:t>)</w:t>
      </w:r>
      <w:r w:rsidRPr="00C324E5">
        <w:rPr>
          <w:color w:val="002060"/>
          <w:lang w:val="en-GB"/>
        </w:rPr>
        <w:t>.</w:t>
      </w:r>
    </w:p>
    <w:p w14:paraId="0DFF01A9" w14:textId="0483AF0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Here, we have the next data for each firm: Turnover, Profit Net, Liab</w:t>
      </w:r>
      <w:r w:rsidR="00E46FA1">
        <w:rPr>
          <w:color w:val="002060"/>
          <w:lang w:val="en-GB"/>
        </w:rPr>
        <w:t>ilities, Fixed assets, Circular</w:t>
      </w:r>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526369B1" w:rsidR="00A0130F" w:rsidRDefault="009D7C86" w:rsidP="009D7C86">
      <w:pPr>
        <w:pStyle w:val="a3"/>
        <w:spacing w:before="0" w:beforeAutospacing="0" w:after="0" w:afterAutospacing="0"/>
        <w:jc w:val="both"/>
        <w:rPr>
          <w:color w:val="002060"/>
          <w:lang w:val="en-GB"/>
        </w:rPr>
      </w:pPr>
      <w:r w:rsidRPr="00A0130F">
        <w:rPr>
          <w:color w:val="002060"/>
          <w:lang w:val="en-GB"/>
        </w:rPr>
        <w:t xml:space="preserve">Unfortunately, all these issues cannot be overcome completely, since we cannot remove subjectivity of these estimations completely (some managers can consider 10000 USD year profit per person as very good, while some may consider the same profit as bad). Also, the corresponding </w:t>
      </w:r>
      <w:r w:rsidRPr="00A0130F">
        <w:rPr>
          <w:color w:val="002060"/>
          <w:lang w:val="en-GB"/>
        </w:rPr>
        <w:lastRenderedPageBreak/>
        <w:t>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1AE6F7A1" w14:textId="6926BE7B" w:rsidR="004C58B3" w:rsidRPr="004C58B3" w:rsidRDefault="004C58B3" w:rsidP="009D7C86">
      <w:pPr>
        <w:pStyle w:val="a3"/>
        <w:spacing w:before="0" w:beforeAutospacing="0" w:after="0" w:afterAutospacing="0"/>
        <w:jc w:val="both"/>
        <w:rPr>
          <w:color w:val="002060"/>
          <w:lang w:val="en-GB"/>
        </w:rPr>
      </w:pPr>
      <w:r w:rsidRPr="004C58B3">
        <w:rPr>
          <w:color w:val="002060"/>
          <w:lang w:val="en-GB"/>
        </w:rPr>
        <w:t>We tried also to estimate the objective financial results on</w:t>
      </w:r>
      <w:r>
        <w:rPr>
          <w:color w:val="002060"/>
          <w:lang w:val="en-GB"/>
        </w:rPr>
        <w:t xml:space="preserve"> </w:t>
      </w:r>
      <w:r w:rsidRPr="004C58B3">
        <w:rPr>
          <w:color w:val="002060"/>
          <w:lang w:val="en-GB"/>
        </w:rPr>
        <w:t>relative terms by changes in the last 2-3 years, however we faced the next issues:</w:t>
      </w:r>
    </w:p>
    <w:p w14:paraId="73B21F0A" w14:textId="48D19CC3" w:rsidR="004C58B3" w:rsidRP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 xml:space="preserve">part of the financial data includes only one year statistics </w:t>
      </w:r>
    </w:p>
    <w:p w14:paraId="4ADA8657" w14:textId="00493375" w:rsid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different nature of the financial parameters makes it hard to understand correctly</w:t>
      </w:r>
      <w:r w:rsidRPr="004C58B3">
        <w:rPr>
          <w:color w:val="002060"/>
          <w:lang w:val="en-GB"/>
        </w:rPr>
        <w:br/>
        <w:t xml:space="preserve">the progress/regress. </w:t>
      </w:r>
    </w:p>
    <w:p w14:paraId="498BAD8A" w14:textId="2BAC0ED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evaluate whether the subjective performances by managers are, at least, have some correlations with their answers on the questions, and, thus, our estimations and conclusions are trustful not only as the subjective data, but as the reality</w:t>
      </w:r>
      <w:r w:rsidR="0037148D">
        <w:rPr>
          <w:color w:val="002060"/>
          <w:lang w:val="en-GB"/>
        </w:rPr>
        <w:t xml:space="preserve"> with the following approach</w:t>
      </w:r>
      <w:r w:rsidRPr="00A0130F">
        <w:rPr>
          <w:color w:val="002060"/>
          <w:lang w:val="en-GB"/>
        </w:rPr>
        <w:t>.</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302BB68A"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ROA =Net Profit</w:t>
      </w:r>
      <w:proofErr w:type="gramStart"/>
      <w:r w:rsidRPr="00A24D87">
        <w:rPr>
          <w:i/>
          <w:color w:val="002060"/>
          <w:lang w:val="en-GB"/>
        </w:rPr>
        <w:t>/(</w:t>
      </w:r>
      <w:proofErr w:type="gramEnd"/>
      <w:r w:rsidRPr="00A24D87">
        <w:rPr>
          <w:i/>
          <w:color w:val="002060"/>
          <w:lang w:val="en-GB"/>
        </w:rPr>
        <w:t>Fixed assets + Circula</w:t>
      </w:r>
      <w:r w:rsidR="00E46FA1" w:rsidRPr="00A24D87">
        <w:rPr>
          <w:i/>
          <w:color w:val="002060"/>
          <w:lang w:val="en-GB"/>
        </w:rPr>
        <w:t>r</w:t>
      </w:r>
      <w:r w:rsidRPr="00A24D87">
        <w:rPr>
          <w:i/>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18069FD5"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get the more precise characteristic for Gross Profit, we can use the next relation:</w:t>
      </w:r>
    </w:p>
    <w:p w14:paraId="408353EF" w14:textId="00812506"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 xml:space="preserve">Real </w:t>
      </w:r>
      <w:proofErr w:type="gramStart"/>
      <w:r w:rsidRPr="00A24D87">
        <w:rPr>
          <w:i/>
          <w:color w:val="002060"/>
          <w:lang w:val="en-GB"/>
        </w:rPr>
        <w:t>Profit  =</w:t>
      </w:r>
      <w:proofErr w:type="gramEnd"/>
      <w:r w:rsidRPr="00A24D87">
        <w:rPr>
          <w:i/>
          <w:color w:val="002060"/>
          <w:lang w:val="en-GB"/>
        </w:rPr>
        <w:t xml:space="preserve"> Turnover + Profit Net - Liabilities + Fixed assets + </w:t>
      </w:r>
      <w:proofErr w:type="spellStart"/>
      <w:r w:rsidRPr="00A24D87">
        <w:rPr>
          <w:i/>
          <w:color w:val="002060"/>
          <w:lang w:val="en-GB"/>
        </w:rPr>
        <w:t>Circulant</w:t>
      </w:r>
      <w:proofErr w:type="spellEnd"/>
      <w:r w:rsidRPr="00A24D87">
        <w:rPr>
          <w:i/>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lastRenderedPageBreak/>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We perform described earlier correlation analysis to explore the relationship between green performance and financial performance across the sample and receive the following results.</w:t>
      </w:r>
      <w:r w:rsidRPr="002319FE">
        <w:rPr>
          <w:color w:val="002060"/>
        </w:rPr>
        <w:t xml:space="preserve"> </w:t>
      </w:r>
    </w:p>
    <w:p w14:paraId="5ED5AE99" w14:textId="787A0E11" w:rsidR="000C7160" w:rsidRDefault="000C7160" w:rsidP="000C7160">
      <w:pPr>
        <w:rPr>
          <w:color w:val="002060"/>
        </w:rPr>
      </w:pPr>
      <w:r w:rsidRPr="002319FE">
        <w:rPr>
          <w:color w:val="002060"/>
        </w:rPr>
        <w:t>The p-values for all of the parameters are almost equal to zero (with maximum value is 6.681962e-08), therefore we must reject the hypothesis, that our data have no correlation.</w:t>
      </w:r>
    </w:p>
    <w:p w14:paraId="22DFE710" w14:textId="2C941F86" w:rsidR="009F7617" w:rsidRPr="002319FE" w:rsidRDefault="009F7617" w:rsidP="009F7617">
      <w:pPr>
        <w:rPr>
          <w:color w:val="002060"/>
        </w:rPr>
      </w:pPr>
      <w:r>
        <w:rPr>
          <w:color w:val="002060"/>
        </w:rPr>
        <w:t xml:space="preserve">Now, we calculate </w:t>
      </w:r>
      <w:r w:rsidRPr="002319FE">
        <w:rPr>
          <w:color w:val="002060"/>
        </w:rPr>
        <w:t xml:space="preserve">Kendall’s Tau </w:t>
      </w:r>
      <w:r>
        <w:rPr>
          <w:color w:val="002060"/>
        </w:rPr>
        <w:t>as</w:t>
      </w:r>
      <w:r w:rsidRPr="002319FE">
        <w:rPr>
          <w:color w:val="002060"/>
        </w:rPr>
        <w:t xml:space="preserve"> p-values is close to zero</w:t>
      </w:r>
      <w:r>
        <w:rPr>
          <w:color w:val="002060"/>
        </w:rPr>
        <w:t xml:space="preserve">, </w:t>
      </w:r>
      <w:r w:rsidRPr="002319FE">
        <w:rPr>
          <w:color w:val="002060"/>
        </w:rPr>
        <w:t>Pearson correlation coefficients</w:t>
      </w:r>
      <w:r>
        <w:rPr>
          <w:color w:val="002060"/>
        </w:rPr>
        <w:t xml:space="preserve">, and </w:t>
      </w:r>
      <w:r w:rsidRPr="002319FE">
        <w:rPr>
          <w:color w:val="002060"/>
        </w:rPr>
        <w:t>Spearman’s Rank Correlation Coefficient</w:t>
      </w:r>
      <w:r>
        <w:rPr>
          <w:color w:val="002060"/>
        </w:rPr>
        <w:t>s.</w:t>
      </w:r>
    </w:p>
    <w:p w14:paraId="46981D1E" w14:textId="7D7A9603" w:rsidR="000C7160" w:rsidRDefault="009F7617" w:rsidP="000C7160">
      <w:pPr>
        <w:rPr>
          <w:color w:val="002060"/>
        </w:rPr>
      </w:pPr>
      <w:r>
        <w:rPr>
          <w:color w:val="002060"/>
        </w:rPr>
        <w:t xml:space="preserve">The full result is represented in the Appendix, while </w:t>
      </w:r>
      <w:r w:rsidR="000C7160"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440"/>
        <w:gridCol w:w="1605"/>
      </w:tblGrid>
      <w:tr w:rsidR="002319FE" w:rsidRPr="002319FE" w14:paraId="26F80921" w14:textId="77777777" w:rsidTr="00A24D87">
        <w:trPr>
          <w:trHeight w:val="255"/>
        </w:trPr>
        <w:tc>
          <w:tcPr>
            <w:tcW w:w="2335" w:type="dxa"/>
            <w:shd w:val="clear" w:color="auto" w:fill="auto"/>
            <w:noWrap/>
            <w:vAlign w:val="bottom"/>
            <w:hideMark/>
          </w:tcPr>
          <w:p w14:paraId="54A1D333" w14:textId="1DEE22FD" w:rsidR="000C7160" w:rsidRPr="002319FE" w:rsidRDefault="000C7160" w:rsidP="00A24D87">
            <w:pPr>
              <w:spacing w:after="0" w:line="240" w:lineRule="auto"/>
              <w:rPr>
                <w:rFonts w:ascii="Times New Roman" w:eastAsia="Times New Roman" w:hAnsi="Times New Roman" w:cs="Times New Roman"/>
                <w:color w:val="002060"/>
                <w:sz w:val="24"/>
                <w:szCs w:val="24"/>
              </w:rPr>
            </w:pPr>
            <w:r w:rsidRPr="002319FE">
              <w:rPr>
                <w:color w:val="002060"/>
              </w:rPr>
              <w:t xml:space="preserve"> </w:t>
            </w:r>
            <w:r w:rsidR="00A24D87">
              <w:rPr>
                <w:color w:val="002060"/>
              </w:rPr>
              <w:t>Finance parameter</w:t>
            </w:r>
          </w:p>
        </w:tc>
        <w:tc>
          <w:tcPr>
            <w:tcW w:w="1530" w:type="dxa"/>
            <w:shd w:val="clear" w:color="auto" w:fill="auto"/>
            <w:noWrap/>
            <w:vAlign w:val="bottom"/>
            <w:hideMark/>
          </w:tcPr>
          <w:p w14:paraId="5F303A6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440" w:type="dxa"/>
            <w:shd w:val="clear" w:color="auto" w:fill="auto"/>
            <w:noWrap/>
            <w:vAlign w:val="bottom"/>
            <w:hideMark/>
          </w:tcPr>
          <w:p w14:paraId="583E147B"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440" w:type="dxa"/>
            <w:shd w:val="clear" w:color="auto" w:fill="auto"/>
            <w:noWrap/>
            <w:vAlign w:val="bottom"/>
            <w:hideMark/>
          </w:tcPr>
          <w:p w14:paraId="60A484F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05" w:type="dxa"/>
            <w:shd w:val="clear" w:color="auto" w:fill="auto"/>
            <w:noWrap/>
            <w:vAlign w:val="bottom"/>
            <w:hideMark/>
          </w:tcPr>
          <w:p w14:paraId="228D6F6A" w14:textId="15E33BEE" w:rsidR="000C7160" w:rsidRPr="002319FE" w:rsidRDefault="00892F80" w:rsidP="00892F8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7B2EC2A1" w14:textId="77777777" w:rsidTr="00A24D87">
        <w:trPr>
          <w:trHeight w:val="255"/>
        </w:trPr>
        <w:tc>
          <w:tcPr>
            <w:tcW w:w="2335" w:type="dxa"/>
            <w:shd w:val="clear" w:color="auto" w:fill="auto"/>
            <w:noWrap/>
            <w:vAlign w:val="bottom"/>
            <w:hideMark/>
          </w:tcPr>
          <w:p w14:paraId="4FA9544E" w14:textId="692AA5C4"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2E1419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541B82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3E74E40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255CFBA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A24D87">
        <w:trPr>
          <w:trHeight w:val="255"/>
        </w:trPr>
        <w:tc>
          <w:tcPr>
            <w:tcW w:w="2335" w:type="dxa"/>
            <w:shd w:val="clear" w:color="auto" w:fill="auto"/>
            <w:noWrap/>
            <w:vAlign w:val="bottom"/>
            <w:hideMark/>
          </w:tcPr>
          <w:p w14:paraId="4BED8496" w14:textId="5525393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204501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2A82A9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719E1D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59DA621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A24D87">
        <w:trPr>
          <w:trHeight w:val="255"/>
        </w:trPr>
        <w:tc>
          <w:tcPr>
            <w:tcW w:w="2335" w:type="dxa"/>
            <w:shd w:val="clear" w:color="auto" w:fill="auto"/>
            <w:noWrap/>
            <w:vAlign w:val="bottom"/>
            <w:hideMark/>
          </w:tcPr>
          <w:p w14:paraId="3F60E61D" w14:textId="314579EF"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368BB2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440" w:type="dxa"/>
            <w:shd w:val="clear" w:color="auto" w:fill="auto"/>
            <w:noWrap/>
            <w:vAlign w:val="bottom"/>
            <w:hideMark/>
          </w:tcPr>
          <w:p w14:paraId="63DFBD9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440" w:type="dxa"/>
            <w:shd w:val="clear" w:color="auto" w:fill="auto"/>
            <w:noWrap/>
            <w:vAlign w:val="bottom"/>
            <w:hideMark/>
          </w:tcPr>
          <w:p w14:paraId="197983E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605" w:type="dxa"/>
            <w:shd w:val="clear" w:color="auto" w:fill="auto"/>
            <w:noWrap/>
            <w:vAlign w:val="bottom"/>
            <w:hideMark/>
          </w:tcPr>
          <w:p w14:paraId="65C60F4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A24D87">
        <w:trPr>
          <w:trHeight w:val="255"/>
        </w:trPr>
        <w:tc>
          <w:tcPr>
            <w:tcW w:w="2335" w:type="dxa"/>
            <w:shd w:val="clear" w:color="auto" w:fill="auto"/>
            <w:noWrap/>
            <w:vAlign w:val="bottom"/>
            <w:hideMark/>
          </w:tcPr>
          <w:p w14:paraId="47E6426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78F46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440" w:type="dxa"/>
            <w:shd w:val="clear" w:color="auto" w:fill="auto"/>
            <w:noWrap/>
            <w:vAlign w:val="bottom"/>
            <w:hideMark/>
          </w:tcPr>
          <w:p w14:paraId="7E9C4CA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440" w:type="dxa"/>
            <w:shd w:val="clear" w:color="auto" w:fill="auto"/>
            <w:noWrap/>
            <w:vAlign w:val="bottom"/>
            <w:hideMark/>
          </w:tcPr>
          <w:p w14:paraId="4D35EAF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605" w:type="dxa"/>
            <w:shd w:val="clear" w:color="auto" w:fill="auto"/>
            <w:noWrap/>
            <w:vAlign w:val="bottom"/>
            <w:hideMark/>
          </w:tcPr>
          <w:p w14:paraId="28835A5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A24D87">
        <w:trPr>
          <w:trHeight w:val="255"/>
        </w:trPr>
        <w:tc>
          <w:tcPr>
            <w:tcW w:w="2335" w:type="dxa"/>
            <w:shd w:val="clear" w:color="auto" w:fill="auto"/>
            <w:noWrap/>
            <w:vAlign w:val="bottom"/>
            <w:hideMark/>
          </w:tcPr>
          <w:p w14:paraId="44506EE8" w14:textId="017B994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5CBBA0E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440" w:type="dxa"/>
            <w:shd w:val="clear" w:color="auto" w:fill="auto"/>
            <w:noWrap/>
            <w:vAlign w:val="bottom"/>
            <w:hideMark/>
          </w:tcPr>
          <w:p w14:paraId="2519C4D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440" w:type="dxa"/>
            <w:shd w:val="clear" w:color="auto" w:fill="auto"/>
            <w:noWrap/>
            <w:vAlign w:val="bottom"/>
            <w:hideMark/>
          </w:tcPr>
          <w:p w14:paraId="68A07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605" w:type="dxa"/>
            <w:shd w:val="clear" w:color="auto" w:fill="auto"/>
            <w:noWrap/>
            <w:vAlign w:val="bottom"/>
            <w:hideMark/>
          </w:tcPr>
          <w:p w14:paraId="6F15EAE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A24D87">
        <w:trPr>
          <w:trHeight w:val="255"/>
        </w:trPr>
        <w:tc>
          <w:tcPr>
            <w:tcW w:w="2335" w:type="dxa"/>
            <w:shd w:val="clear" w:color="auto" w:fill="auto"/>
            <w:noWrap/>
            <w:vAlign w:val="bottom"/>
            <w:hideMark/>
          </w:tcPr>
          <w:p w14:paraId="602B8ADA" w14:textId="6754A75A"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017AC96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440" w:type="dxa"/>
            <w:shd w:val="clear" w:color="auto" w:fill="auto"/>
            <w:noWrap/>
            <w:vAlign w:val="bottom"/>
            <w:hideMark/>
          </w:tcPr>
          <w:p w14:paraId="5E8E3A9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440" w:type="dxa"/>
            <w:shd w:val="clear" w:color="auto" w:fill="auto"/>
            <w:noWrap/>
            <w:vAlign w:val="bottom"/>
            <w:hideMark/>
          </w:tcPr>
          <w:p w14:paraId="116A33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605" w:type="dxa"/>
            <w:shd w:val="clear" w:color="auto" w:fill="auto"/>
            <w:noWrap/>
            <w:vAlign w:val="bottom"/>
            <w:hideMark/>
          </w:tcPr>
          <w:p w14:paraId="32505F5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A24D87">
        <w:trPr>
          <w:trHeight w:val="255"/>
        </w:trPr>
        <w:tc>
          <w:tcPr>
            <w:tcW w:w="2335" w:type="dxa"/>
            <w:shd w:val="clear" w:color="auto" w:fill="auto"/>
            <w:noWrap/>
            <w:vAlign w:val="bottom"/>
            <w:hideMark/>
          </w:tcPr>
          <w:p w14:paraId="572073AA" w14:textId="35A52221" w:rsidR="000C7160" w:rsidRPr="002319FE" w:rsidRDefault="000C716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13021E0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440" w:type="dxa"/>
            <w:shd w:val="clear" w:color="auto" w:fill="auto"/>
            <w:noWrap/>
            <w:vAlign w:val="bottom"/>
            <w:hideMark/>
          </w:tcPr>
          <w:p w14:paraId="53476B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440" w:type="dxa"/>
            <w:shd w:val="clear" w:color="auto" w:fill="auto"/>
            <w:noWrap/>
            <w:vAlign w:val="bottom"/>
            <w:hideMark/>
          </w:tcPr>
          <w:p w14:paraId="75EC6AF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605" w:type="dxa"/>
            <w:shd w:val="clear" w:color="auto" w:fill="auto"/>
            <w:noWrap/>
            <w:vAlign w:val="bottom"/>
            <w:hideMark/>
          </w:tcPr>
          <w:p w14:paraId="09D0B1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4B2BE47D" w14:textId="48DC0AE6" w:rsidR="009F7617" w:rsidRDefault="00A24D87" w:rsidP="000C7160">
      <w:pPr>
        <w:rPr>
          <w:color w:val="002060"/>
        </w:rPr>
      </w:pPr>
      <w:r>
        <w:rPr>
          <w:color w:val="002060"/>
        </w:rPr>
        <w:t xml:space="preserve">Table 1.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3A153AD9" w14:textId="49A5BB5D" w:rsidR="000C7160" w:rsidRPr="002319FE" w:rsidRDefault="000C7160" w:rsidP="000C7160">
      <w:pPr>
        <w:rPr>
          <w:color w:val="002060"/>
        </w:rPr>
      </w:pPr>
      <w:r w:rsidRPr="002319FE">
        <w:rPr>
          <w:color w:val="002060"/>
        </w:rPr>
        <w:t xml:space="preserve">Thus, we </w:t>
      </w:r>
      <w:r w:rsidR="009F7617">
        <w:rPr>
          <w:color w:val="002060"/>
        </w:rPr>
        <w:t>can conclude, we have</w:t>
      </w:r>
      <w:r w:rsidRPr="002319FE">
        <w:rPr>
          <w:color w:val="002060"/>
        </w:rPr>
        <w:t xml:space="preserve"> not very strong linear positive relationships for every pair of our parameters. </w:t>
      </w:r>
    </w:p>
    <w:p w14:paraId="43FDFD8D" w14:textId="39DEEE12" w:rsidR="000C7160" w:rsidRPr="002319FE" w:rsidRDefault="009F7617" w:rsidP="009F7617">
      <w:pPr>
        <w:rPr>
          <w:color w:val="002060"/>
        </w:rPr>
      </w:pPr>
      <w:r>
        <w:rPr>
          <w:color w:val="002060"/>
        </w:rPr>
        <w:t>Now</w:t>
      </w:r>
      <w:r w:rsidR="000C7160" w:rsidRPr="002319FE">
        <w:rPr>
          <w:color w:val="002060"/>
        </w:rPr>
        <w:t>, we can estimate for the data, is whether the linear equivalence gives us the same value, or mathematic estimation is skewed</w:t>
      </w:r>
      <w:r>
        <w:rPr>
          <w:color w:val="002060"/>
        </w:rPr>
        <w:t xml:space="preserve">, i.e. how much ecological performance is lower or greater than financial results. </w:t>
      </w:r>
      <w:r w:rsidR="000C7160" w:rsidRPr="002319FE">
        <w:rPr>
          <w:color w:val="002060"/>
        </w:rPr>
        <w:t xml:space="preserve">For this purpose, we check perform </w:t>
      </w:r>
      <w:proofErr w:type="gramStart"/>
      <w:r w:rsidR="000C7160" w:rsidRPr="002319FE">
        <w:rPr>
          <w:color w:val="002060"/>
        </w:rPr>
        <w:t>one</w:t>
      </w:r>
      <w:proofErr w:type="gramEnd"/>
      <w:r w:rsidR="000C7160" w:rsidRPr="002319FE">
        <w:rPr>
          <w:color w:val="002060"/>
        </w:rPr>
        <w:t>-Sample t-test for the corresponding differences to check if the sample mean equals a specified value (in the case of H1 is 1):</w:t>
      </w:r>
    </w:p>
    <w:tbl>
      <w:tblPr>
        <w:tblW w:w="8365" w:type="dxa"/>
        <w:tblLook w:val="04A0" w:firstRow="1" w:lastRow="0" w:firstColumn="1" w:lastColumn="0" w:noHBand="0" w:noVBand="1"/>
      </w:tblPr>
      <w:tblGrid>
        <w:gridCol w:w="2335"/>
        <w:gridCol w:w="1530"/>
        <w:gridCol w:w="1530"/>
        <w:gridCol w:w="1350"/>
        <w:gridCol w:w="1620"/>
      </w:tblGrid>
      <w:tr w:rsidR="002319FE" w:rsidRPr="002319FE" w14:paraId="42538A45"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67F97" w14:textId="53C10DF0" w:rsidR="000C7160" w:rsidRPr="002319FE" w:rsidRDefault="00A24D87" w:rsidP="00170D79">
            <w:pPr>
              <w:spacing w:after="0" w:line="240" w:lineRule="auto"/>
              <w:rPr>
                <w:rFonts w:ascii="Times New Roman" w:eastAsia="Times New Roman" w:hAnsi="Times New Roman" w:cs="Times New Roman"/>
                <w:color w:val="002060"/>
                <w:sz w:val="24"/>
                <w:szCs w:val="24"/>
              </w:rPr>
            </w:pPr>
            <w:r>
              <w:rPr>
                <w:color w:val="002060"/>
              </w:rPr>
              <w:t>Finance parameter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7B6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1993"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CE02"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FDFA4" w14:textId="56935160"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0D356D6B"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975A8" w14:textId="07FF7B4A"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3700A"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30C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54BC"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7A7B"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C329D0" w:rsidRPr="002319FE" w14:paraId="246E225A"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36634" w14:textId="24301AF6"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4CBE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62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EBF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1156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C329D0" w:rsidRPr="002319FE" w14:paraId="6904F818"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890B1" w14:textId="2A9BE91C"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A068"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-11.0431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D81EA"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-9.90104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D901B"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-9.94439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E01B8"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-10.0947</w:t>
            </w:r>
          </w:p>
        </w:tc>
      </w:tr>
      <w:tr w:rsidR="00C329D0" w:rsidRPr="002319FE" w14:paraId="33BE35F9"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A23B" w14:textId="59738B71" w:rsidR="00C329D0" w:rsidRPr="002319FE" w:rsidRDefault="00C329D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2B8C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-10.2603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69FB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-9.10179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6836"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-9.38389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9A2FA"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-9.7507</w:t>
            </w:r>
          </w:p>
        </w:tc>
      </w:tr>
      <w:tr w:rsidR="00C329D0" w:rsidRPr="002319FE" w14:paraId="2B1E99D1"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9738A" w14:textId="1E724E3A" w:rsidR="00C329D0" w:rsidRPr="002319FE" w:rsidRDefault="00C329D0" w:rsidP="00C329D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2460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-8.81812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678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-7.85241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2A63"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-8.00826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D067D"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-8.3944</w:t>
            </w:r>
          </w:p>
        </w:tc>
      </w:tr>
      <w:tr w:rsidR="00C329D0" w:rsidRPr="002319FE" w14:paraId="70E50427"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FA770" w14:textId="1F617883" w:rsidR="00C329D0" w:rsidRPr="002319FE" w:rsidRDefault="00C329D0" w:rsidP="00C329D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75C9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-11.7523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7CBB9"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-10.4945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F3AE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-11.1071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32FFE"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-11.1563</w:t>
            </w:r>
          </w:p>
        </w:tc>
      </w:tr>
      <w:tr w:rsidR="00C329D0" w:rsidRPr="002319FE" w14:paraId="5C8DF8DF" w14:textId="77777777" w:rsidTr="00A24D87">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4721" w14:textId="65E15BF2" w:rsidR="00C329D0" w:rsidRPr="002319FE" w:rsidRDefault="00C329D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E734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-9.85552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A91FE"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-8.90953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F6D2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-8.95619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4DA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-9.51257</w:t>
            </w:r>
          </w:p>
        </w:tc>
      </w:tr>
    </w:tbl>
    <w:p w14:paraId="41962B7C" w14:textId="37A10D7E" w:rsidR="00A24D87" w:rsidRDefault="00A24D87" w:rsidP="00A24D87">
      <w:pPr>
        <w:rPr>
          <w:color w:val="002060"/>
        </w:rPr>
      </w:pPr>
      <w:r>
        <w:rPr>
          <w:color w:val="002060"/>
        </w:rPr>
        <w:t>Table</w:t>
      </w:r>
      <w:r w:rsidR="000B3706">
        <w:rPr>
          <w:color w:val="002060"/>
        </w:rPr>
        <w:t xml:space="preserve"> </w:t>
      </w:r>
      <w:r>
        <w:rPr>
          <w:color w:val="002060"/>
        </w:rPr>
        <w:t xml:space="preserve">2. </w:t>
      </w:r>
      <w:r w:rsidRPr="002319FE">
        <w:rPr>
          <w:color w:val="002060"/>
        </w:rPr>
        <w:t>t-stat</w:t>
      </w:r>
      <w:r w:rsidR="00FF1951">
        <w:rPr>
          <w:color w:val="002060"/>
        </w:rPr>
        <w:t>istics</w:t>
      </w:r>
      <w:r>
        <w:rPr>
          <w:color w:val="002060"/>
        </w:rPr>
        <w:t xml:space="preserve"> for Finance minus Ecological parameters with mean equal to one</w:t>
      </w:r>
    </w:p>
    <w:p w14:paraId="5DF439BC" w14:textId="1ACE523F" w:rsidR="000C7160" w:rsidRPr="002319FE" w:rsidRDefault="000C7160" w:rsidP="000C7160">
      <w:pPr>
        <w:rPr>
          <w:color w:val="002060"/>
        </w:rPr>
      </w:pPr>
      <w:r w:rsidRPr="002319FE">
        <w:rPr>
          <w:color w:val="002060"/>
        </w:rPr>
        <w:t>Corresponding p-values for t-stats are all close to zero, with maximum value 7.844526-13.</w:t>
      </w:r>
    </w:p>
    <w:p w14:paraId="7D57CB3E" w14:textId="4A59CEB9" w:rsidR="000C7160" w:rsidRPr="002319FE" w:rsidRDefault="000C7160" w:rsidP="000C7160">
      <w:pPr>
        <w:rPr>
          <w:b/>
          <w:color w:val="002060"/>
        </w:rPr>
      </w:pPr>
      <w:r w:rsidRPr="002319FE">
        <w:rPr>
          <w:b/>
          <w:color w:val="002060"/>
        </w:rPr>
        <w:t>Therefore, we can conclude that the differences of Ecology parameters and Finance parameters are normally distributed with mean equal to one</w:t>
      </w:r>
      <w:r w:rsidR="009F7617">
        <w:rPr>
          <w:b/>
          <w:color w:val="002060"/>
        </w:rPr>
        <w:t>, i.e. financial performance is estimated on one point less by 1—5 mark th</w:t>
      </w:r>
      <w:r w:rsidR="00BD1E2A">
        <w:rPr>
          <w:b/>
          <w:color w:val="002060"/>
        </w:rPr>
        <w:t>a</w:t>
      </w:r>
      <w:r w:rsidR="009F7617">
        <w:rPr>
          <w:b/>
          <w:color w:val="002060"/>
        </w:rPr>
        <w:t>n</w:t>
      </w:r>
      <w:r w:rsidR="00BD1E2A">
        <w:rPr>
          <w:b/>
          <w:color w:val="002060"/>
        </w:rPr>
        <w:t xml:space="preserve"> ecological performance,</w:t>
      </w:r>
      <w:r w:rsidR="009F7617">
        <w:rPr>
          <w:b/>
          <w:color w:val="002060"/>
        </w:rPr>
        <w:t xml:space="preserve"> </w:t>
      </w:r>
      <w:r w:rsidR="00BD1E2A">
        <w:rPr>
          <w:b/>
          <w:color w:val="002060"/>
        </w:rPr>
        <w:t>in average</w:t>
      </w:r>
      <w:r w:rsidRPr="002319FE">
        <w:rPr>
          <w:b/>
          <w:color w:val="002060"/>
        </w:rPr>
        <w:t>.</w:t>
      </w:r>
      <w:r w:rsidR="00B553AC">
        <w:rPr>
          <w:b/>
          <w:color w:val="002060"/>
        </w:rPr>
        <w:t xml:space="preserve"> Also, the results show good level of confidence above 0.95.</w:t>
      </w:r>
    </w:p>
    <w:p w14:paraId="7D7AF91C" w14:textId="0D76C1A6" w:rsidR="000C7160" w:rsidRDefault="000C7160" w:rsidP="000C7160">
      <w:pPr>
        <w:rPr>
          <w:rFonts w:ascii="Times New Roman" w:hAnsi="Times New Roman" w:cs="Times New Roman"/>
          <w:color w:val="002060"/>
        </w:rPr>
      </w:pPr>
      <w:r w:rsidRPr="002319FE">
        <w:rPr>
          <w:rFonts w:ascii="Times New Roman" w:hAnsi="Times New Roman" w:cs="Times New Roman"/>
          <w:color w:val="002060"/>
        </w:rPr>
        <w:t>Checking H2 hypothesis</w:t>
      </w:r>
    </w:p>
    <w:p w14:paraId="3582B070" w14:textId="77777777" w:rsidR="00C329D0" w:rsidRPr="002319FE" w:rsidRDefault="00C329D0" w:rsidP="00C329D0">
      <w:pPr>
        <w:rPr>
          <w:color w:val="002060"/>
        </w:rPr>
      </w:pPr>
      <w:r w:rsidRPr="002319FE">
        <w:rPr>
          <w:color w:val="002060"/>
        </w:rPr>
        <w:lastRenderedPageBreak/>
        <w:t xml:space="preserve">Using the same analysis approach to estimate dependency between proactive orientation of the firms and their ecological orientation, we get the following results: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92"/>
      </w:tblGrid>
      <w:tr w:rsidR="00C329D0" w:rsidRPr="002319FE" w14:paraId="33EAE44D" w14:textId="77777777" w:rsidTr="0090448A">
        <w:trPr>
          <w:trHeight w:val="255"/>
        </w:trPr>
        <w:tc>
          <w:tcPr>
            <w:tcW w:w="3055" w:type="dxa"/>
            <w:shd w:val="clear" w:color="auto" w:fill="auto"/>
            <w:noWrap/>
            <w:vAlign w:val="bottom"/>
            <w:hideMark/>
          </w:tcPr>
          <w:p w14:paraId="71B799A4" w14:textId="77777777" w:rsidR="00C329D0" w:rsidRPr="002319FE" w:rsidRDefault="00C329D0" w:rsidP="0090448A">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2B8E2A6E" w14:textId="77777777" w:rsidR="00C329D0" w:rsidRPr="002319FE" w:rsidRDefault="00C329D0" w:rsidP="0090448A">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7FE8F90" w14:textId="77777777" w:rsidR="00C329D0" w:rsidRPr="002319FE" w:rsidRDefault="00C329D0" w:rsidP="0090448A">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4BD6335F" w14:textId="77777777" w:rsidR="00C329D0" w:rsidRPr="002319FE" w:rsidRDefault="00C329D0" w:rsidP="0090448A">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92" w:type="dxa"/>
            <w:shd w:val="clear" w:color="auto" w:fill="auto"/>
            <w:noWrap/>
            <w:vAlign w:val="bottom"/>
            <w:hideMark/>
          </w:tcPr>
          <w:p w14:paraId="737D95DB" w14:textId="77777777" w:rsidR="00C329D0" w:rsidRPr="002319FE" w:rsidRDefault="00C329D0" w:rsidP="0090448A">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6C79EC4B" w14:textId="77777777" w:rsidTr="0090448A">
        <w:trPr>
          <w:trHeight w:val="255"/>
        </w:trPr>
        <w:tc>
          <w:tcPr>
            <w:tcW w:w="3055" w:type="dxa"/>
            <w:shd w:val="clear" w:color="auto" w:fill="auto"/>
            <w:noWrap/>
            <w:vAlign w:val="bottom"/>
            <w:hideMark/>
          </w:tcPr>
          <w:p w14:paraId="55452D9F" w14:textId="77777777" w:rsidR="00C329D0" w:rsidRPr="002319FE" w:rsidRDefault="00C329D0" w:rsidP="0090448A">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195" w:type="dxa"/>
            <w:shd w:val="clear" w:color="auto" w:fill="auto"/>
            <w:noWrap/>
            <w:vAlign w:val="bottom"/>
            <w:hideMark/>
          </w:tcPr>
          <w:p w14:paraId="59F409D2"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239" w:type="dxa"/>
            <w:shd w:val="clear" w:color="auto" w:fill="auto"/>
            <w:noWrap/>
            <w:vAlign w:val="bottom"/>
            <w:hideMark/>
          </w:tcPr>
          <w:p w14:paraId="0229AE0F"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1184" w:type="dxa"/>
            <w:shd w:val="clear" w:color="auto" w:fill="auto"/>
            <w:noWrap/>
            <w:vAlign w:val="bottom"/>
            <w:hideMark/>
          </w:tcPr>
          <w:p w14:paraId="14073717"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1692" w:type="dxa"/>
            <w:shd w:val="clear" w:color="auto" w:fill="auto"/>
            <w:noWrap/>
            <w:vAlign w:val="bottom"/>
            <w:hideMark/>
          </w:tcPr>
          <w:p w14:paraId="73D92554"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C329D0" w:rsidRPr="002319FE" w14:paraId="63FA8AD4" w14:textId="77777777" w:rsidTr="0090448A">
        <w:trPr>
          <w:trHeight w:val="255"/>
        </w:trPr>
        <w:tc>
          <w:tcPr>
            <w:tcW w:w="3055" w:type="dxa"/>
            <w:shd w:val="clear" w:color="auto" w:fill="auto"/>
            <w:noWrap/>
            <w:vAlign w:val="bottom"/>
            <w:hideMark/>
          </w:tcPr>
          <w:p w14:paraId="1C6ADEED" w14:textId="77777777" w:rsidR="00C329D0" w:rsidRPr="002319FE" w:rsidRDefault="00C329D0" w:rsidP="0090448A">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195" w:type="dxa"/>
            <w:shd w:val="clear" w:color="auto" w:fill="auto"/>
            <w:noWrap/>
            <w:vAlign w:val="bottom"/>
            <w:hideMark/>
          </w:tcPr>
          <w:p w14:paraId="4AF6F04E"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239" w:type="dxa"/>
            <w:shd w:val="clear" w:color="auto" w:fill="auto"/>
            <w:noWrap/>
            <w:vAlign w:val="bottom"/>
            <w:hideMark/>
          </w:tcPr>
          <w:p w14:paraId="7E6DC1BD"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1184" w:type="dxa"/>
            <w:shd w:val="clear" w:color="auto" w:fill="auto"/>
            <w:noWrap/>
            <w:vAlign w:val="bottom"/>
            <w:hideMark/>
          </w:tcPr>
          <w:p w14:paraId="53AE74F5"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1692" w:type="dxa"/>
            <w:shd w:val="clear" w:color="auto" w:fill="auto"/>
            <w:noWrap/>
            <w:vAlign w:val="bottom"/>
            <w:hideMark/>
          </w:tcPr>
          <w:p w14:paraId="66C9BA3C"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C329D0" w:rsidRPr="002319FE" w14:paraId="27B34D97" w14:textId="77777777" w:rsidTr="0090448A">
        <w:trPr>
          <w:trHeight w:val="255"/>
        </w:trPr>
        <w:tc>
          <w:tcPr>
            <w:tcW w:w="3055" w:type="dxa"/>
            <w:shd w:val="clear" w:color="auto" w:fill="auto"/>
            <w:noWrap/>
            <w:vAlign w:val="bottom"/>
            <w:hideMark/>
          </w:tcPr>
          <w:p w14:paraId="1DACCA99" w14:textId="77777777" w:rsidR="00C329D0" w:rsidRPr="002319FE" w:rsidRDefault="00C329D0" w:rsidP="0090448A">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195" w:type="dxa"/>
            <w:shd w:val="clear" w:color="auto" w:fill="auto"/>
            <w:noWrap/>
            <w:vAlign w:val="bottom"/>
            <w:hideMark/>
          </w:tcPr>
          <w:p w14:paraId="08E5126C"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239" w:type="dxa"/>
            <w:shd w:val="clear" w:color="auto" w:fill="auto"/>
            <w:noWrap/>
            <w:vAlign w:val="bottom"/>
            <w:hideMark/>
          </w:tcPr>
          <w:p w14:paraId="57006D9C"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1184" w:type="dxa"/>
            <w:shd w:val="clear" w:color="auto" w:fill="auto"/>
            <w:noWrap/>
            <w:vAlign w:val="bottom"/>
            <w:hideMark/>
          </w:tcPr>
          <w:p w14:paraId="4679D23D"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1692" w:type="dxa"/>
            <w:shd w:val="clear" w:color="auto" w:fill="auto"/>
            <w:noWrap/>
            <w:vAlign w:val="bottom"/>
            <w:hideMark/>
          </w:tcPr>
          <w:p w14:paraId="4A833C76"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C329D0" w:rsidRPr="002319FE" w14:paraId="527F0F3F" w14:textId="77777777" w:rsidTr="0090448A">
        <w:trPr>
          <w:trHeight w:val="255"/>
        </w:trPr>
        <w:tc>
          <w:tcPr>
            <w:tcW w:w="3055" w:type="dxa"/>
            <w:shd w:val="clear" w:color="auto" w:fill="auto"/>
            <w:noWrap/>
            <w:vAlign w:val="bottom"/>
            <w:hideMark/>
          </w:tcPr>
          <w:p w14:paraId="24B461B7" w14:textId="77777777" w:rsidR="00C329D0" w:rsidRPr="002319FE" w:rsidRDefault="00C329D0" w:rsidP="0090448A">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c>
          <w:tcPr>
            <w:tcW w:w="1195" w:type="dxa"/>
            <w:shd w:val="clear" w:color="auto" w:fill="auto"/>
            <w:noWrap/>
            <w:vAlign w:val="bottom"/>
            <w:hideMark/>
          </w:tcPr>
          <w:p w14:paraId="37156460"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239" w:type="dxa"/>
            <w:shd w:val="clear" w:color="auto" w:fill="auto"/>
            <w:noWrap/>
            <w:vAlign w:val="bottom"/>
            <w:hideMark/>
          </w:tcPr>
          <w:p w14:paraId="4AB887DF"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1184" w:type="dxa"/>
            <w:shd w:val="clear" w:color="auto" w:fill="auto"/>
            <w:noWrap/>
            <w:vAlign w:val="bottom"/>
            <w:hideMark/>
          </w:tcPr>
          <w:p w14:paraId="24415D6A"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1692" w:type="dxa"/>
            <w:shd w:val="clear" w:color="auto" w:fill="auto"/>
            <w:noWrap/>
            <w:vAlign w:val="bottom"/>
            <w:hideMark/>
          </w:tcPr>
          <w:p w14:paraId="7AA97875" w14:textId="77777777" w:rsidR="00C329D0" w:rsidRPr="002319FE" w:rsidRDefault="00C329D0" w:rsidP="0090448A">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6F78CFB5" w14:textId="77777777" w:rsidR="00C329D0" w:rsidRDefault="00C329D0" w:rsidP="00C329D0">
      <w:pPr>
        <w:rPr>
          <w:color w:val="002060"/>
        </w:rPr>
      </w:pPr>
      <w:r>
        <w:rPr>
          <w:color w:val="002060"/>
        </w:rPr>
        <w:t xml:space="preserve">Table 5. </w:t>
      </w:r>
      <w:r w:rsidRPr="002319FE">
        <w:rPr>
          <w:color w:val="002060"/>
        </w:rPr>
        <w:t>Pearson correlation coefficients</w:t>
      </w:r>
      <w:r>
        <w:rPr>
          <w:color w:val="002060"/>
        </w:rPr>
        <w:t xml:space="preserve"> for Proactivity </w:t>
      </w:r>
      <w:proofErr w:type="gramStart"/>
      <w:r>
        <w:rPr>
          <w:color w:val="002060"/>
        </w:rPr>
        <w:t>vs</w:t>
      </w:r>
      <w:proofErr w:type="gramEnd"/>
      <w:r>
        <w:rPr>
          <w:color w:val="002060"/>
        </w:rPr>
        <w:t xml:space="preserve"> Ecological parameters</w:t>
      </w:r>
    </w:p>
    <w:p w14:paraId="08C53B35" w14:textId="77777777" w:rsidR="00C329D0" w:rsidRPr="002319FE" w:rsidRDefault="00C329D0" w:rsidP="00C329D0">
      <w:pPr>
        <w:rPr>
          <w:color w:val="002060"/>
        </w:rPr>
      </w:pPr>
      <w:r w:rsidRPr="002319FE">
        <w:rPr>
          <w:color w:val="002060"/>
        </w:rPr>
        <w:t>The p-values for all of the parameters are almost equal to zero (with maximum value is 9.795415e-07), therefore we must reject the hypothesis, that our data have no correlation.</w:t>
      </w:r>
    </w:p>
    <w:p w14:paraId="117D1BD3" w14:textId="77777777" w:rsidR="00C329D0" w:rsidRPr="002319FE" w:rsidRDefault="00C329D0" w:rsidP="00C329D0">
      <w:pPr>
        <w:rPr>
          <w:color w:val="002060"/>
        </w:rPr>
      </w:pPr>
      <w:r w:rsidRPr="002319FE">
        <w:rPr>
          <w:color w:val="002060"/>
        </w:rPr>
        <w:t>The results for Kendal’s tau and Spearman rates further confirm this suggestion.</w:t>
      </w:r>
      <w:r w:rsidRPr="00E83FB8">
        <w:rPr>
          <w:color w:val="002060"/>
        </w:rPr>
        <w:t xml:space="preserve"> </w:t>
      </w:r>
      <w:r>
        <w:rPr>
          <w:color w:val="002060"/>
        </w:rPr>
        <w:t xml:space="preserve">Full statistics with </w:t>
      </w:r>
      <w:r w:rsidRPr="002319FE">
        <w:rPr>
          <w:color w:val="002060"/>
        </w:rPr>
        <w:t xml:space="preserve">Kendall’s Tau </w:t>
      </w:r>
      <w:r>
        <w:rPr>
          <w:color w:val="002060"/>
        </w:rPr>
        <w:t>as</w:t>
      </w:r>
      <w:r w:rsidRPr="002319FE">
        <w:rPr>
          <w:color w:val="002060"/>
        </w:rPr>
        <w:t xml:space="preserve"> p-values is</w:t>
      </w:r>
      <w:r>
        <w:rPr>
          <w:color w:val="002060"/>
        </w:rPr>
        <w:t xml:space="preserve"> and </w:t>
      </w:r>
      <w:r w:rsidRPr="002319FE">
        <w:rPr>
          <w:color w:val="002060"/>
        </w:rPr>
        <w:t>Spearman’s Rank Correlation Coefficient</w:t>
      </w:r>
      <w:r>
        <w:rPr>
          <w:color w:val="002060"/>
        </w:rPr>
        <w:t>s is presented in Appendix.</w:t>
      </w:r>
    </w:p>
    <w:p w14:paraId="07A130A4" w14:textId="77777777" w:rsidR="00C329D0" w:rsidRPr="002319FE" w:rsidRDefault="00C329D0" w:rsidP="00C329D0">
      <w:pPr>
        <w:rPr>
          <w:color w:val="002060"/>
        </w:rPr>
      </w:pPr>
      <w:r w:rsidRPr="002319FE">
        <w:rPr>
          <w:color w:val="002060"/>
        </w:rPr>
        <w:t>For the estimations of the differences we have the next tables:</w:t>
      </w:r>
    </w:p>
    <w:p w14:paraId="4DD3C5E4" w14:textId="77777777" w:rsidR="00C329D0" w:rsidRPr="002319FE" w:rsidRDefault="00C329D0" w:rsidP="00C329D0">
      <w:pPr>
        <w:rPr>
          <w:color w:val="002060"/>
        </w:rPr>
      </w:pPr>
      <w:r w:rsidRPr="002319FE">
        <w:rPr>
          <w:color w:val="002060"/>
        </w:rPr>
        <w:t>t-stat for differences</w:t>
      </w:r>
    </w:p>
    <w:tbl>
      <w:tblPr>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85"/>
      </w:tblGrid>
      <w:tr w:rsidR="00C329D0" w:rsidRPr="002319FE" w14:paraId="3E8DE732" w14:textId="77777777" w:rsidTr="00C329D0">
        <w:trPr>
          <w:trHeight w:val="255"/>
        </w:trPr>
        <w:tc>
          <w:tcPr>
            <w:tcW w:w="3055" w:type="dxa"/>
            <w:shd w:val="clear" w:color="auto" w:fill="auto"/>
            <w:noWrap/>
            <w:vAlign w:val="bottom"/>
            <w:hideMark/>
          </w:tcPr>
          <w:p w14:paraId="505B8C27" w14:textId="77777777" w:rsidR="00C329D0" w:rsidRPr="002319FE" w:rsidRDefault="00C329D0" w:rsidP="0090448A">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631C8337" w14:textId="77777777" w:rsidR="00C329D0" w:rsidRPr="002319FE" w:rsidRDefault="00C329D0" w:rsidP="0090448A">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57E2C705" w14:textId="77777777" w:rsidR="00C329D0" w:rsidRPr="002319FE" w:rsidRDefault="00C329D0" w:rsidP="0090448A">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31F9F631" w14:textId="77777777" w:rsidR="00C329D0" w:rsidRPr="002319FE" w:rsidRDefault="00C329D0" w:rsidP="0090448A">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85" w:type="dxa"/>
            <w:shd w:val="clear" w:color="auto" w:fill="auto"/>
            <w:noWrap/>
            <w:vAlign w:val="bottom"/>
            <w:hideMark/>
          </w:tcPr>
          <w:p w14:paraId="5D667470" w14:textId="77777777" w:rsidR="00C329D0" w:rsidRPr="002319FE" w:rsidRDefault="00C329D0" w:rsidP="0090448A">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50735EC6" w14:textId="77777777" w:rsidTr="00C329D0">
        <w:trPr>
          <w:trHeight w:val="255"/>
        </w:trPr>
        <w:tc>
          <w:tcPr>
            <w:tcW w:w="3055" w:type="dxa"/>
            <w:shd w:val="clear" w:color="auto" w:fill="auto"/>
            <w:noWrap/>
            <w:vAlign w:val="bottom"/>
            <w:hideMark/>
          </w:tcPr>
          <w:p w14:paraId="64EB4254" w14:textId="641DDF8F"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195" w:type="dxa"/>
            <w:shd w:val="clear" w:color="auto" w:fill="auto"/>
            <w:noWrap/>
            <w:vAlign w:val="bottom"/>
            <w:hideMark/>
          </w:tcPr>
          <w:p w14:paraId="305C7033"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-7.87377</w:t>
            </w:r>
          </w:p>
        </w:tc>
        <w:tc>
          <w:tcPr>
            <w:tcW w:w="1239" w:type="dxa"/>
            <w:shd w:val="clear" w:color="auto" w:fill="auto"/>
            <w:noWrap/>
            <w:vAlign w:val="bottom"/>
            <w:hideMark/>
          </w:tcPr>
          <w:p w14:paraId="65492CA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-6.87386</w:t>
            </w:r>
          </w:p>
        </w:tc>
        <w:tc>
          <w:tcPr>
            <w:tcW w:w="1184" w:type="dxa"/>
            <w:shd w:val="clear" w:color="auto" w:fill="auto"/>
            <w:noWrap/>
            <w:vAlign w:val="bottom"/>
            <w:hideMark/>
          </w:tcPr>
          <w:p w14:paraId="434280CB"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-7.0147</w:t>
            </w:r>
          </w:p>
        </w:tc>
        <w:tc>
          <w:tcPr>
            <w:tcW w:w="1685" w:type="dxa"/>
            <w:shd w:val="clear" w:color="auto" w:fill="auto"/>
            <w:noWrap/>
            <w:vAlign w:val="bottom"/>
            <w:hideMark/>
          </w:tcPr>
          <w:p w14:paraId="6953D731"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-7.90812</w:t>
            </w:r>
          </w:p>
        </w:tc>
      </w:tr>
      <w:tr w:rsidR="00C329D0" w:rsidRPr="002319FE" w14:paraId="137E7996" w14:textId="77777777" w:rsidTr="00C329D0">
        <w:trPr>
          <w:trHeight w:val="255"/>
        </w:trPr>
        <w:tc>
          <w:tcPr>
            <w:tcW w:w="3055" w:type="dxa"/>
            <w:shd w:val="clear" w:color="auto" w:fill="auto"/>
            <w:noWrap/>
            <w:vAlign w:val="bottom"/>
            <w:hideMark/>
          </w:tcPr>
          <w:p w14:paraId="7507A1F3" w14:textId="1B142CF5"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195" w:type="dxa"/>
            <w:shd w:val="clear" w:color="auto" w:fill="auto"/>
            <w:noWrap/>
            <w:vAlign w:val="bottom"/>
            <w:hideMark/>
          </w:tcPr>
          <w:p w14:paraId="40DCE72E"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-8.96548</w:t>
            </w:r>
          </w:p>
        </w:tc>
        <w:tc>
          <w:tcPr>
            <w:tcW w:w="1239" w:type="dxa"/>
            <w:shd w:val="clear" w:color="auto" w:fill="auto"/>
            <w:noWrap/>
            <w:vAlign w:val="bottom"/>
            <w:hideMark/>
          </w:tcPr>
          <w:p w14:paraId="759DABF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-8.09345</w:t>
            </w:r>
          </w:p>
        </w:tc>
        <w:tc>
          <w:tcPr>
            <w:tcW w:w="1184" w:type="dxa"/>
            <w:shd w:val="clear" w:color="auto" w:fill="auto"/>
            <w:noWrap/>
            <w:vAlign w:val="bottom"/>
            <w:hideMark/>
          </w:tcPr>
          <w:p w14:paraId="3CDA53C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-8.24649</w:t>
            </w:r>
          </w:p>
        </w:tc>
        <w:tc>
          <w:tcPr>
            <w:tcW w:w="1685" w:type="dxa"/>
            <w:shd w:val="clear" w:color="auto" w:fill="auto"/>
            <w:noWrap/>
            <w:vAlign w:val="bottom"/>
            <w:hideMark/>
          </w:tcPr>
          <w:p w14:paraId="1ECC023C"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-9.00382</w:t>
            </w:r>
          </w:p>
        </w:tc>
      </w:tr>
      <w:tr w:rsidR="00C329D0" w:rsidRPr="002319FE" w14:paraId="222DBFA9" w14:textId="77777777" w:rsidTr="00C329D0">
        <w:trPr>
          <w:trHeight w:val="255"/>
        </w:trPr>
        <w:tc>
          <w:tcPr>
            <w:tcW w:w="3055" w:type="dxa"/>
            <w:shd w:val="clear" w:color="auto" w:fill="auto"/>
            <w:noWrap/>
            <w:vAlign w:val="bottom"/>
            <w:hideMark/>
          </w:tcPr>
          <w:p w14:paraId="760B3566" w14:textId="4F2F56B0"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195" w:type="dxa"/>
            <w:shd w:val="clear" w:color="auto" w:fill="auto"/>
            <w:noWrap/>
            <w:vAlign w:val="bottom"/>
            <w:hideMark/>
          </w:tcPr>
          <w:p w14:paraId="270C75F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-9.20875</w:t>
            </w:r>
          </w:p>
        </w:tc>
        <w:tc>
          <w:tcPr>
            <w:tcW w:w="1239" w:type="dxa"/>
            <w:shd w:val="clear" w:color="auto" w:fill="auto"/>
            <w:noWrap/>
            <w:vAlign w:val="bottom"/>
            <w:hideMark/>
          </w:tcPr>
          <w:p w14:paraId="2415DAB3"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-8.49884</w:t>
            </w:r>
          </w:p>
        </w:tc>
        <w:tc>
          <w:tcPr>
            <w:tcW w:w="1184" w:type="dxa"/>
            <w:shd w:val="clear" w:color="auto" w:fill="auto"/>
            <w:noWrap/>
            <w:vAlign w:val="bottom"/>
            <w:hideMark/>
          </w:tcPr>
          <w:p w14:paraId="7573BC5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-8.66025</w:t>
            </w:r>
          </w:p>
        </w:tc>
        <w:tc>
          <w:tcPr>
            <w:tcW w:w="1685" w:type="dxa"/>
            <w:shd w:val="clear" w:color="auto" w:fill="auto"/>
            <w:noWrap/>
            <w:vAlign w:val="bottom"/>
            <w:hideMark/>
          </w:tcPr>
          <w:p w14:paraId="740C97F0"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-9.54747</w:t>
            </w:r>
          </w:p>
        </w:tc>
      </w:tr>
      <w:tr w:rsidR="00C329D0" w:rsidRPr="002319FE" w14:paraId="5154704D" w14:textId="77777777" w:rsidTr="00C329D0">
        <w:trPr>
          <w:trHeight w:val="255"/>
        </w:trPr>
        <w:tc>
          <w:tcPr>
            <w:tcW w:w="3055" w:type="dxa"/>
            <w:shd w:val="clear" w:color="auto" w:fill="auto"/>
            <w:noWrap/>
            <w:vAlign w:val="bottom"/>
            <w:hideMark/>
          </w:tcPr>
          <w:p w14:paraId="501E7868" w14:textId="157188FB" w:rsidR="00C329D0" w:rsidRPr="002319FE" w:rsidRDefault="00C329D0" w:rsidP="00C329D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c>
          <w:tcPr>
            <w:tcW w:w="1195" w:type="dxa"/>
            <w:shd w:val="clear" w:color="auto" w:fill="auto"/>
            <w:noWrap/>
            <w:vAlign w:val="bottom"/>
            <w:hideMark/>
          </w:tcPr>
          <w:p w14:paraId="3BFE0898"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-4.8793</w:t>
            </w:r>
          </w:p>
        </w:tc>
        <w:tc>
          <w:tcPr>
            <w:tcW w:w="1239" w:type="dxa"/>
            <w:shd w:val="clear" w:color="auto" w:fill="auto"/>
            <w:noWrap/>
            <w:vAlign w:val="bottom"/>
            <w:hideMark/>
          </w:tcPr>
          <w:p w14:paraId="1B9C8EC1"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-4.11442</w:t>
            </w:r>
          </w:p>
        </w:tc>
        <w:tc>
          <w:tcPr>
            <w:tcW w:w="1184" w:type="dxa"/>
            <w:shd w:val="clear" w:color="auto" w:fill="auto"/>
            <w:noWrap/>
            <w:vAlign w:val="bottom"/>
            <w:hideMark/>
          </w:tcPr>
          <w:p w14:paraId="601D4C4A"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-4.25859</w:t>
            </w:r>
          </w:p>
        </w:tc>
        <w:tc>
          <w:tcPr>
            <w:tcW w:w="1685" w:type="dxa"/>
            <w:shd w:val="clear" w:color="auto" w:fill="auto"/>
            <w:noWrap/>
            <w:vAlign w:val="bottom"/>
            <w:hideMark/>
          </w:tcPr>
          <w:p w14:paraId="5F04AC5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-5.04982</w:t>
            </w:r>
          </w:p>
        </w:tc>
      </w:tr>
    </w:tbl>
    <w:p w14:paraId="2F652CFD" w14:textId="77777777" w:rsidR="00C329D0" w:rsidRDefault="00C329D0" w:rsidP="00C329D0">
      <w:pPr>
        <w:rPr>
          <w:color w:val="002060"/>
        </w:rPr>
      </w:pPr>
      <w:r w:rsidRPr="002319FE">
        <w:rPr>
          <w:color w:val="002060"/>
        </w:rPr>
        <w:tab/>
      </w:r>
      <w:r>
        <w:rPr>
          <w:color w:val="002060"/>
        </w:rPr>
        <w:t xml:space="preserve">Table 6. </w:t>
      </w:r>
      <w:r w:rsidRPr="002319FE">
        <w:rPr>
          <w:color w:val="002060"/>
        </w:rPr>
        <w:t>t-stat</w:t>
      </w:r>
      <w:r>
        <w:rPr>
          <w:color w:val="002060"/>
        </w:rPr>
        <w:t>istics for Proactivity minus Ecological parameters with mean equal to zero</w:t>
      </w:r>
    </w:p>
    <w:p w14:paraId="577BB8C8" w14:textId="77777777" w:rsidR="00C329D0" w:rsidRPr="002319FE" w:rsidRDefault="00C329D0" w:rsidP="00C329D0">
      <w:pPr>
        <w:rPr>
          <w:color w:val="002060"/>
        </w:rPr>
      </w:pPr>
      <w:r>
        <w:rPr>
          <w:color w:val="002060"/>
        </w:rPr>
        <w:t xml:space="preserve">Where </w:t>
      </w:r>
      <w:r w:rsidRPr="002319FE">
        <w:rPr>
          <w:color w:val="002060"/>
        </w:rPr>
        <w:t>p-values for t-stats are close to zero with maximum value 0.000064</w:t>
      </w:r>
      <w:r>
        <w:rPr>
          <w:color w:val="002060"/>
        </w:rPr>
        <w:t>.</w:t>
      </w:r>
    </w:p>
    <w:p w14:paraId="320262BA" w14:textId="27A25FD0" w:rsidR="00B553AC" w:rsidRPr="002319FE" w:rsidRDefault="00C329D0" w:rsidP="00B553AC">
      <w:pPr>
        <w:rPr>
          <w:b/>
          <w:color w:val="002060"/>
        </w:rPr>
      </w:pPr>
      <w:r w:rsidRPr="002319FE">
        <w:rPr>
          <w:b/>
          <w:color w:val="002060"/>
        </w:rPr>
        <w:t>Thus, we can conclude that the Ecology estimations are almost equal to proactive orientation, with difference as normally distributed with zero mean value</w:t>
      </w:r>
      <w:r>
        <w:rPr>
          <w:b/>
          <w:color w:val="002060"/>
        </w:rPr>
        <w:t xml:space="preserve">, i.e. </w:t>
      </w:r>
      <w:r w:rsidRPr="002319FE">
        <w:rPr>
          <w:color w:val="002060"/>
        </w:rPr>
        <w:t>innovations and ecology</w:t>
      </w:r>
      <w:r w:rsidRPr="002319FE">
        <w:rPr>
          <w:b/>
          <w:color w:val="002060"/>
        </w:rPr>
        <w:t xml:space="preserve"> </w:t>
      </w:r>
      <w:r>
        <w:rPr>
          <w:b/>
          <w:color w:val="002060"/>
        </w:rPr>
        <w:t>are estimated almost equally in average.</w:t>
      </w:r>
      <w:r w:rsidR="00B553AC">
        <w:rPr>
          <w:b/>
          <w:color w:val="002060"/>
        </w:rPr>
        <w:t xml:space="preserve"> Also, the results show good level of confidence above 0.95.</w:t>
      </w:r>
    </w:p>
    <w:p w14:paraId="11ECD77F" w14:textId="1B42669D" w:rsidR="00C329D0" w:rsidRPr="002319FE" w:rsidRDefault="00C329D0" w:rsidP="00C329D0">
      <w:pPr>
        <w:rPr>
          <w:rFonts w:ascii="Times New Roman" w:hAnsi="Times New Roman" w:cs="Times New Roman"/>
          <w:color w:val="002060"/>
        </w:rPr>
      </w:pPr>
      <w:r w:rsidRPr="002319FE">
        <w:rPr>
          <w:rFonts w:ascii="Times New Roman" w:hAnsi="Times New Roman" w:cs="Times New Roman"/>
          <w:b/>
          <w:color w:val="002060"/>
          <w:spacing w:val="4"/>
          <w:sz w:val="28"/>
          <w:szCs w:val="28"/>
          <w:shd w:val="clear" w:color="auto" w:fill="E9E9E9"/>
        </w:rPr>
        <w:t xml:space="preserve"> </w:t>
      </w:r>
      <w:r>
        <w:rPr>
          <w:rFonts w:ascii="Times New Roman" w:hAnsi="Times New Roman" w:cs="Times New Roman"/>
          <w:color w:val="002060"/>
        </w:rPr>
        <w:t>Checking H3</w:t>
      </w:r>
      <w:r w:rsidRPr="002319FE">
        <w:rPr>
          <w:rFonts w:ascii="Times New Roman" w:hAnsi="Times New Roman" w:cs="Times New Roman"/>
          <w:color w:val="002060"/>
        </w:rPr>
        <w:t xml:space="preserve">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t>Pearson correlation coefficients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530"/>
        <w:gridCol w:w="1350"/>
        <w:gridCol w:w="1620"/>
      </w:tblGrid>
      <w:tr w:rsidR="002319FE" w:rsidRPr="002319FE" w14:paraId="76F47637" w14:textId="77777777" w:rsidTr="00A24D87">
        <w:trPr>
          <w:trHeight w:val="255"/>
        </w:trPr>
        <w:tc>
          <w:tcPr>
            <w:tcW w:w="2335" w:type="dxa"/>
            <w:shd w:val="clear" w:color="auto" w:fill="auto"/>
            <w:noWrap/>
            <w:vAlign w:val="bottom"/>
            <w:hideMark/>
          </w:tcPr>
          <w:p w14:paraId="7A0A76BF" w14:textId="0D796C19"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530" w:type="dxa"/>
            <w:shd w:val="clear" w:color="auto" w:fill="auto"/>
            <w:noWrap/>
            <w:vAlign w:val="bottom"/>
            <w:hideMark/>
          </w:tcPr>
          <w:p w14:paraId="7E7A757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3AFA6992"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shd w:val="clear" w:color="auto" w:fill="auto"/>
            <w:noWrap/>
            <w:vAlign w:val="bottom"/>
            <w:hideMark/>
          </w:tcPr>
          <w:p w14:paraId="33B0D730"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223C1B6A" w14:textId="2AEB1D77"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3907847E" w14:textId="77777777" w:rsidTr="00A24D87">
        <w:trPr>
          <w:trHeight w:val="255"/>
        </w:trPr>
        <w:tc>
          <w:tcPr>
            <w:tcW w:w="2335" w:type="dxa"/>
            <w:shd w:val="clear" w:color="auto" w:fill="auto"/>
            <w:noWrap/>
            <w:vAlign w:val="bottom"/>
            <w:hideMark/>
          </w:tcPr>
          <w:p w14:paraId="1B680B7A" w14:textId="74473B12"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Activity</w:t>
            </w:r>
          </w:p>
        </w:tc>
        <w:tc>
          <w:tcPr>
            <w:tcW w:w="1530" w:type="dxa"/>
            <w:shd w:val="clear" w:color="auto" w:fill="auto"/>
            <w:noWrap/>
            <w:vAlign w:val="bottom"/>
            <w:hideMark/>
          </w:tcPr>
          <w:p w14:paraId="018D059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530" w:type="dxa"/>
            <w:shd w:val="clear" w:color="auto" w:fill="auto"/>
            <w:noWrap/>
            <w:vAlign w:val="bottom"/>
            <w:hideMark/>
          </w:tcPr>
          <w:p w14:paraId="1A1C232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1350" w:type="dxa"/>
            <w:shd w:val="clear" w:color="auto" w:fill="auto"/>
            <w:noWrap/>
            <w:vAlign w:val="bottom"/>
            <w:hideMark/>
          </w:tcPr>
          <w:p w14:paraId="447DA34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1620" w:type="dxa"/>
            <w:shd w:val="clear" w:color="auto" w:fill="auto"/>
            <w:noWrap/>
            <w:vAlign w:val="bottom"/>
            <w:hideMark/>
          </w:tcPr>
          <w:p w14:paraId="22EEAA4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2319FE" w:rsidRPr="002319FE" w14:paraId="0E2CF6C7" w14:textId="77777777" w:rsidTr="00A24D87">
        <w:trPr>
          <w:trHeight w:val="255"/>
        </w:trPr>
        <w:tc>
          <w:tcPr>
            <w:tcW w:w="2335" w:type="dxa"/>
            <w:shd w:val="clear" w:color="auto" w:fill="auto"/>
            <w:noWrap/>
            <w:vAlign w:val="bottom"/>
            <w:hideMark/>
          </w:tcPr>
          <w:p w14:paraId="7072A4AC" w14:textId="1F4C749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Novelty</w:t>
            </w:r>
          </w:p>
        </w:tc>
        <w:tc>
          <w:tcPr>
            <w:tcW w:w="1530" w:type="dxa"/>
            <w:shd w:val="clear" w:color="auto" w:fill="auto"/>
            <w:noWrap/>
            <w:vAlign w:val="bottom"/>
            <w:hideMark/>
          </w:tcPr>
          <w:p w14:paraId="79243E9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530" w:type="dxa"/>
            <w:shd w:val="clear" w:color="auto" w:fill="auto"/>
            <w:noWrap/>
            <w:vAlign w:val="bottom"/>
            <w:hideMark/>
          </w:tcPr>
          <w:p w14:paraId="7E81F4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1350" w:type="dxa"/>
            <w:shd w:val="clear" w:color="auto" w:fill="auto"/>
            <w:noWrap/>
            <w:vAlign w:val="bottom"/>
            <w:hideMark/>
          </w:tcPr>
          <w:p w14:paraId="5A7E942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1620" w:type="dxa"/>
            <w:shd w:val="clear" w:color="auto" w:fill="auto"/>
            <w:noWrap/>
            <w:vAlign w:val="bottom"/>
            <w:hideMark/>
          </w:tcPr>
          <w:p w14:paraId="4505E4F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2319FE" w:rsidRPr="002319FE" w14:paraId="2E56BE71" w14:textId="77777777" w:rsidTr="00A24D87">
        <w:trPr>
          <w:trHeight w:val="255"/>
        </w:trPr>
        <w:tc>
          <w:tcPr>
            <w:tcW w:w="2335" w:type="dxa"/>
            <w:shd w:val="clear" w:color="auto" w:fill="auto"/>
            <w:noWrap/>
            <w:vAlign w:val="bottom"/>
            <w:hideMark/>
          </w:tcPr>
          <w:p w14:paraId="6E03E21E" w14:textId="0973227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Latest</w:t>
            </w:r>
          </w:p>
        </w:tc>
        <w:tc>
          <w:tcPr>
            <w:tcW w:w="1530" w:type="dxa"/>
            <w:shd w:val="clear" w:color="auto" w:fill="auto"/>
            <w:noWrap/>
            <w:vAlign w:val="bottom"/>
            <w:hideMark/>
          </w:tcPr>
          <w:p w14:paraId="2606911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530" w:type="dxa"/>
            <w:shd w:val="clear" w:color="auto" w:fill="auto"/>
            <w:noWrap/>
            <w:vAlign w:val="bottom"/>
            <w:hideMark/>
          </w:tcPr>
          <w:p w14:paraId="64F8B9F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1350" w:type="dxa"/>
            <w:shd w:val="clear" w:color="auto" w:fill="auto"/>
            <w:noWrap/>
            <w:vAlign w:val="bottom"/>
            <w:hideMark/>
          </w:tcPr>
          <w:p w14:paraId="3502B1F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1620" w:type="dxa"/>
            <w:shd w:val="clear" w:color="auto" w:fill="auto"/>
            <w:noWrap/>
            <w:vAlign w:val="bottom"/>
            <w:hideMark/>
          </w:tcPr>
          <w:p w14:paraId="437303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2319FE" w:rsidRPr="002319FE" w14:paraId="53A590D8" w14:textId="77777777" w:rsidTr="00A24D87">
        <w:trPr>
          <w:trHeight w:val="255"/>
        </w:trPr>
        <w:tc>
          <w:tcPr>
            <w:tcW w:w="2335" w:type="dxa"/>
            <w:shd w:val="clear" w:color="auto" w:fill="auto"/>
            <w:noWrap/>
            <w:vAlign w:val="bottom"/>
            <w:hideMark/>
          </w:tcPr>
          <w:p w14:paraId="50D4D316" w14:textId="3F8F63AE"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Speed</w:t>
            </w:r>
          </w:p>
        </w:tc>
        <w:tc>
          <w:tcPr>
            <w:tcW w:w="1530" w:type="dxa"/>
            <w:shd w:val="clear" w:color="auto" w:fill="auto"/>
            <w:noWrap/>
            <w:vAlign w:val="bottom"/>
            <w:hideMark/>
          </w:tcPr>
          <w:p w14:paraId="0FB2CB4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530" w:type="dxa"/>
            <w:shd w:val="clear" w:color="auto" w:fill="auto"/>
            <w:noWrap/>
            <w:vAlign w:val="bottom"/>
            <w:hideMark/>
          </w:tcPr>
          <w:p w14:paraId="592C7BC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1350" w:type="dxa"/>
            <w:shd w:val="clear" w:color="auto" w:fill="auto"/>
            <w:noWrap/>
            <w:vAlign w:val="bottom"/>
            <w:hideMark/>
          </w:tcPr>
          <w:p w14:paraId="1A94F1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1620" w:type="dxa"/>
            <w:shd w:val="clear" w:color="auto" w:fill="auto"/>
            <w:noWrap/>
            <w:vAlign w:val="bottom"/>
            <w:hideMark/>
          </w:tcPr>
          <w:p w14:paraId="5EFE0F8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2319FE" w:rsidRPr="002319FE" w14:paraId="2FA93012" w14:textId="77777777" w:rsidTr="00A24D87">
        <w:trPr>
          <w:trHeight w:val="255"/>
        </w:trPr>
        <w:tc>
          <w:tcPr>
            <w:tcW w:w="2335" w:type="dxa"/>
            <w:shd w:val="clear" w:color="auto" w:fill="auto"/>
            <w:noWrap/>
            <w:vAlign w:val="bottom"/>
            <w:hideMark/>
          </w:tcPr>
          <w:p w14:paraId="11B2852A" w14:textId="3DD598A1"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Share</w:t>
            </w:r>
          </w:p>
        </w:tc>
        <w:tc>
          <w:tcPr>
            <w:tcW w:w="1530" w:type="dxa"/>
            <w:shd w:val="clear" w:color="auto" w:fill="auto"/>
            <w:noWrap/>
            <w:vAlign w:val="bottom"/>
            <w:hideMark/>
          </w:tcPr>
          <w:p w14:paraId="08AB55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530" w:type="dxa"/>
            <w:shd w:val="clear" w:color="auto" w:fill="auto"/>
            <w:noWrap/>
            <w:vAlign w:val="bottom"/>
            <w:hideMark/>
          </w:tcPr>
          <w:p w14:paraId="3007867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1350" w:type="dxa"/>
            <w:shd w:val="clear" w:color="auto" w:fill="auto"/>
            <w:noWrap/>
            <w:vAlign w:val="bottom"/>
            <w:hideMark/>
          </w:tcPr>
          <w:p w14:paraId="2BBF74A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1620" w:type="dxa"/>
            <w:shd w:val="clear" w:color="auto" w:fill="auto"/>
            <w:noWrap/>
            <w:vAlign w:val="bottom"/>
            <w:hideMark/>
          </w:tcPr>
          <w:p w14:paraId="6AEA0AB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8F732A" w14:textId="030F4206" w:rsidR="00A24D87" w:rsidRDefault="00A24D87" w:rsidP="00A24D87">
      <w:pPr>
        <w:rPr>
          <w:color w:val="002060"/>
        </w:rPr>
      </w:pPr>
      <w:r>
        <w:rPr>
          <w:color w:val="002060"/>
        </w:rPr>
        <w:t xml:space="preserve">Table 3. </w:t>
      </w:r>
      <w:r w:rsidRPr="002319FE">
        <w:rPr>
          <w:color w:val="002060"/>
        </w:rPr>
        <w:t>Pearson correlation coefficients</w:t>
      </w:r>
      <w:r>
        <w:rPr>
          <w:color w:val="002060"/>
        </w:rPr>
        <w:t xml:space="preserve"> for Innov</w:t>
      </w:r>
      <w:r w:rsidR="000B3706">
        <w:rPr>
          <w:color w:val="002060"/>
        </w:rPr>
        <w:t>a</w:t>
      </w:r>
      <w:r>
        <w:rPr>
          <w:color w:val="002060"/>
        </w:rPr>
        <w:t xml:space="preserve">tion </w:t>
      </w:r>
      <w:proofErr w:type="gramStart"/>
      <w:r>
        <w:rPr>
          <w:color w:val="002060"/>
        </w:rPr>
        <w:t>vs</w:t>
      </w:r>
      <w:proofErr w:type="gramEnd"/>
      <w:r>
        <w:rPr>
          <w:color w:val="002060"/>
        </w:rPr>
        <w:t xml:space="preserve"> Ecological parameters</w:t>
      </w:r>
    </w:p>
    <w:p w14:paraId="28E2DFE6" w14:textId="5031D773" w:rsidR="00E83FB8" w:rsidRPr="002319FE" w:rsidRDefault="000C7160" w:rsidP="00E83FB8">
      <w:pPr>
        <w:rPr>
          <w:color w:val="002060"/>
        </w:rPr>
      </w:pPr>
      <w:r w:rsidRPr="002319FE">
        <w:rPr>
          <w:color w:val="002060"/>
        </w:rPr>
        <w:t>The values of corresponding Spearman rates and Kendal’s Tau are close to the above values.</w:t>
      </w:r>
      <w:r w:rsidR="00E83FB8">
        <w:rPr>
          <w:color w:val="002060"/>
        </w:rPr>
        <w:t xml:space="preserve"> 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278E729A" w14:textId="6D567822" w:rsidR="000C7160" w:rsidRPr="002319FE" w:rsidRDefault="000C7160" w:rsidP="000C7160">
      <w:pPr>
        <w:rPr>
          <w:color w:val="002060"/>
        </w:rPr>
      </w:pPr>
      <w:r w:rsidRPr="002319FE">
        <w:rPr>
          <w:color w:val="002060"/>
        </w:rPr>
        <w:lastRenderedPageBreak/>
        <w:t>The p-values for all of the parameters are almost equal to zero (with maximum value is 9.795415</w:t>
      </w:r>
      <w:r w:rsidR="000B3706">
        <w:rPr>
          <w:color w:val="002060"/>
        </w:rPr>
        <w:t>e</w:t>
      </w:r>
      <w:r w:rsidRPr="002319FE">
        <w:rPr>
          <w:color w:val="002060"/>
        </w:rPr>
        <w:t>-07), therefore we must reject the hypothesis, that our data have no correlation.</w:t>
      </w:r>
    </w:p>
    <w:p w14:paraId="1ECF3F49" w14:textId="2CC3B2DB" w:rsidR="000C7160" w:rsidRPr="002319FE" w:rsidRDefault="000C7160" w:rsidP="000C7160">
      <w:pPr>
        <w:rPr>
          <w:color w:val="002060"/>
        </w:rPr>
      </w:pPr>
      <w:r w:rsidRPr="002319FE">
        <w:rPr>
          <w:color w:val="002060"/>
        </w:rPr>
        <w:t xml:space="preserve">For the estimations of </w:t>
      </w:r>
      <w:r w:rsidR="00E83FB8" w:rsidRPr="002319FE">
        <w:rPr>
          <w:color w:val="002060"/>
        </w:rPr>
        <w:t xml:space="preserve">t-stat for differences </w:t>
      </w:r>
      <w:r w:rsidRPr="002319FE">
        <w:rPr>
          <w:color w:val="002060"/>
        </w:rPr>
        <w:t>with suspected mean equal to zero:</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440"/>
        <w:gridCol w:w="1530"/>
        <w:gridCol w:w="1350"/>
        <w:gridCol w:w="1620"/>
      </w:tblGrid>
      <w:tr w:rsidR="002319FE" w:rsidRPr="002319FE" w14:paraId="118665EA" w14:textId="77777777" w:rsidTr="000B3706">
        <w:trPr>
          <w:trHeight w:val="255"/>
        </w:trPr>
        <w:tc>
          <w:tcPr>
            <w:tcW w:w="2425" w:type="dxa"/>
            <w:shd w:val="clear" w:color="auto" w:fill="auto"/>
            <w:noWrap/>
            <w:vAlign w:val="bottom"/>
            <w:hideMark/>
          </w:tcPr>
          <w:p w14:paraId="2A759C72" w14:textId="2E83D0D6"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440" w:type="dxa"/>
            <w:shd w:val="clear" w:color="auto" w:fill="auto"/>
            <w:noWrap/>
            <w:vAlign w:val="bottom"/>
            <w:hideMark/>
          </w:tcPr>
          <w:p w14:paraId="7CFF8838"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7219BF22"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350" w:type="dxa"/>
            <w:shd w:val="clear" w:color="auto" w:fill="auto"/>
            <w:noWrap/>
            <w:vAlign w:val="bottom"/>
            <w:hideMark/>
          </w:tcPr>
          <w:p w14:paraId="60C65FA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35517871" w14:textId="68F90CD6"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4D8E08DC" w14:textId="77777777" w:rsidTr="000B3706">
        <w:trPr>
          <w:trHeight w:val="255"/>
        </w:trPr>
        <w:tc>
          <w:tcPr>
            <w:tcW w:w="2425" w:type="dxa"/>
            <w:shd w:val="clear" w:color="auto" w:fill="auto"/>
            <w:noWrap/>
            <w:vAlign w:val="bottom"/>
            <w:hideMark/>
          </w:tcPr>
          <w:p w14:paraId="6C0073D5" w14:textId="72A02F79"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Activity</w:t>
            </w:r>
          </w:p>
        </w:tc>
        <w:tc>
          <w:tcPr>
            <w:tcW w:w="1440" w:type="dxa"/>
            <w:shd w:val="clear" w:color="auto" w:fill="auto"/>
            <w:noWrap/>
            <w:vAlign w:val="bottom"/>
            <w:hideMark/>
          </w:tcPr>
          <w:p w14:paraId="6868AA90"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-5.49689</w:t>
            </w:r>
          </w:p>
        </w:tc>
        <w:tc>
          <w:tcPr>
            <w:tcW w:w="1530" w:type="dxa"/>
            <w:shd w:val="clear" w:color="auto" w:fill="auto"/>
            <w:noWrap/>
            <w:vAlign w:val="bottom"/>
            <w:hideMark/>
          </w:tcPr>
          <w:p w14:paraId="12643DA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-4.23674</w:t>
            </w:r>
          </w:p>
        </w:tc>
        <w:tc>
          <w:tcPr>
            <w:tcW w:w="1350" w:type="dxa"/>
            <w:shd w:val="clear" w:color="auto" w:fill="auto"/>
            <w:noWrap/>
            <w:vAlign w:val="bottom"/>
            <w:hideMark/>
          </w:tcPr>
          <w:p w14:paraId="2A9D8290"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-4.45247</w:t>
            </w:r>
          </w:p>
        </w:tc>
        <w:tc>
          <w:tcPr>
            <w:tcW w:w="1620" w:type="dxa"/>
            <w:shd w:val="clear" w:color="auto" w:fill="auto"/>
            <w:noWrap/>
            <w:vAlign w:val="bottom"/>
            <w:hideMark/>
          </w:tcPr>
          <w:p w14:paraId="77A69AD0"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-4.82057</w:t>
            </w:r>
          </w:p>
        </w:tc>
      </w:tr>
      <w:tr w:rsidR="00C329D0" w:rsidRPr="002319FE" w14:paraId="3BD2EA7A" w14:textId="77777777" w:rsidTr="000B3706">
        <w:trPr>
          <w:trHeight w:val="255"/>
        </w:trPr>
        <w:tc>
          <w:tcPr>
            <w:tcW w:w="2425" w:type="dxa"/>
            <w:shd w:val="clear" w:color="auto" w:fill="auto"/>
            <w:noWrap/>
            <w:vAlign w:val="bottom"/>
            <w:hideMark/>
          </w:tcPr>
          <w:p w14:paraId="5CF6BDF5" w14:textId="67F496EB" w:rsidR="00C329D0" w:rsidRPr="002319FE" w:rsidRDefault="00C329D0" w:rsidP="00C329D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Novelty</w:t>
            </w:r>
          </w:p>
        </w:tc>
        <w:tc>
          <w:tcPr>
            <w:tcW w:w="1440" w:type="dxa"/>
            <w:shd w:val="clear" w:color="auto" w:fill="auto"/>
            <w:noWrap/>
            <w:vAlign w:val="bottom"/>
            <w:hideMark/>
          </w:tcPr>
          <w:p w14:paraId="00E23846"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-7.69839</w:t>
            </w:r>
          </w:p>
        </w:tc>
        <w:tc>
          <w:tcPr>
            <w:tcW w:w="1530" w:type="dxa"/>
            <w:shd w:val="clear" w:color="auto" w:fill="auto"/>
            <w:noWrap/>
            <w:vAlign w:val="bottom"/>
            <w:hideMark/>
          </w:tcPr>
          <w:p w14:paraId="019587DC"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-6.63556</w:t>
            </w:r>
          </w:p>
        </w:tc>
        <w:tc>
          <w:tcPr>
            <w:tcW w:w="1350" w:type="dxa"/>
            <w:shd w:val="clear" w:color="auto" w:fill="auto"/>
            <w:noWrap/>
            <w:vAlign w:val="bottom"/>
            <w:hideMark/>
          </w:tcPr>
          <w:p w14:paraId="6089BFC3"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-6.7759</w:t>
            </w:r>
          </w:p>
        </w:tc>
        <w:tc>
          <w:tcPr>
            <w:tcW w:w="1620" w:type="dxa"/>
            <w:shd w:val="clear" w:color="auto" w:fill="auto"/>
            <w:noWrap/>
            <w:vAlign w:val="bottom"/>
            <w:hideMark/>
          </w:tcPr>
          <w:p w14:paraId="1F8E9410"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-7.08552</w:t>
            </w:r>
          </w:p>
        </w:tc>
      </w:tr>
      <w:tr w:rsidR="00C329D0" w:rsidRPr="002319FE" w14:paraId="64ECDFA8" w14:textId="77777777" w:rsidTr="000B3706">
        <w:trPr>
          <w:trHeight w:val="255"/>
        </w:trPr>
        <w:tc>
          <w:tcPr>
            <w:tcW w:w="2425" w:type="dxa"/>
            <w:shd w:val="clear" w:color="auto" w:fill="auto"/>
            <w:noWrap/>
            <w:vAlign w:val="bottom"/>
            <w:hideMark/>
          </w:tcPr>
          <w:p w14:paraId="257A1ACC" w14:textId="3C70DE6A"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Latest</w:t>
            </w:r>
          </w:p>
        </w:tc>
        <w:tc>
          <w:tcPr>
            <w:tcW w:w="1440" w:type="dxa"/>
            <w:shd w:val="clear" w:color="auto" w:fill="auto"/>
            <w:noWrap/>
            <w:vAlign w:val="bottom"/>
            <w:hideMark/>
          </w:tcPr>
          <w:p w14:paraId="5862BABB"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-9.24315</w:t>
            </w:r>
          </w:p>
        </w:tc>
        <w:tc>
          <w:tcPr>
            <w:tcW w:w="1530" w:type="dxa"/>
            <w:shd w:val="clear" w:color="auto" w:fill="auto"/>
            <w:noWrap/>
            <w:vAlign w:val="bottom"/>
            <w:hideMark/>
          </w:tcPr>
          <w:p w14:paraId="5EA281BB"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-8.25507</w:t>
            </w:r>
          </w:p>
        </w:tc>
        <w:tc>
          <w:tcPr>
            <w:tcW w:w="1350" w:type="dxa"/>
            <w:shd w:val="clear" w:color="auto" w:fill="auto"/>
            <w:noWrap/>
            <w:vAlign w:val="bottom"/>
            <w:hideMark/>
          </w:tcPr>
          <w:p w14:paraId="1B57CF0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-7.99443</w:t>
            </w:r>
          </w:p>
        </w:tc>
        <w:tc>
          <w:tcPr>
            <w:tcW w:w="1620" w:type="dxa"/>
            <w:shd w:val="clear" w:color="auto" w:fill="auto"/>
            <w:noWrap/>
            <w:vAlign w:val="bottom"/>
            <w:hideMark/>
          </w:tcPr>
          <w:p w14:paraId="12AF2A0D"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-8.45429</w:t>
            </w:r>
          </w:p>
        </w:tc>
      </w:tr>
      <w:tr w:rsidR="00C329D0" w:rsidRPr="002319FE" w14:paraId="7E2CE3D1" w14:textId="77777777" w:rsidTr="000B3706">
        <w:trPr>
          <w:trHeight w:val="255"/>
        </w:trPr>
        <w:tc>
          <w:tcPr>
            <w:tcW w:w="2425" w:type="dxa"/>
            <w:shd w:val="clear" w:color="auto" w:fill="auto"/>
            <w:noWrap/>
            <w:vAlign w:val="bottom"/>
            <w:hideMark/>
          </w:tcPr>
          <w:p w14:paraId="6E4D0CF1" w14:textId="23F6967F"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Speed</w:t>
            </w:r>
          </w:p>
        </w:tc>
        <w:tc>
          <w:tcPr>
            <w:tcW w:w="1440" w:type="dxa"/>
            <w:shd w:val="clear" w:color="auto" w:fill="auto"/>
            <w:noWrap/>
            <w:vAlign w:val="bottom"/>
            <w:hideMark/>
          </w:tcPr>
          <w:p w14:paraId="1CF65C62"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-6.67825</w:t>
            </w:r>
          </w:p>
        </w:tc>
        <w:tc>
          <w:tcPr>
            <w:tcW w:w="1530" w:type="dxa"/>
            <w:shd w:val="clear" w:color="auto" w:fill="auto"/>
            <w:noWrap/>
            <w:vAlign w:val="bottom"/>
            <w:hideMark/>
          </w:tcPr>
          <w:p w14:paraId="3242E58F"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-5.70406</w:t>
            </w:r>
          </w:p>
        </w:tc>
        <w:tc>
          <w:tcPr>
            <w:tcW w:w="1350" w:type="dxa"/>
            <w:shd w:val="clear" w:color="auto" w:fill="auto"/>
            <w:noWrap/>
            <w:vAlign w:val="bottom"/>
            <w:hideMark/>
          </w:tcPr>
          <w:p w14:paraId="4B6D5D24"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-5.78952</w:t>
            </w:r>
          </w:p>
        </w:tc>
        <w:tc>
          <w:tcPr>
            <w:tcW w:w="1620" w:type="dxa"/>
            <w:shd w:val="clear" w:color="auto" w:fill="auto"/>
            <w:noWrap/>
            <w:vAlign w:val="bottom"/>
            <w:hideMark/>
          </w:tcPr>
          <w:p w14:paraId="3D9AFEC7"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-6.18992</w:t>
            </w:r>
          </w:p>
        </w:tc>
      </w:tr>
      <w:tr w:rsidR="00C329D0" w:rsidRPr="002319FE" w14:paraId="18C1C770" w14:textId="77777777" w:rsidTr="000B3706">
        <w:trPr>
          <w:trHeight w:val="255"/>
        </w:trPr>
        <w:tc>
          <w:tcPr>
            <w:tcW w:w="2425" w:type="dxa"/>
            <w:shd w:val="clear" w:color="auto" w:fill="auto"/>
            <w:noWrap/>
            <w:vAlign w:val="bottom"/>
            <w:hideMark/>
          </w:tcPr>
          <w:p w14:paraId="1B2CCCBA" w14:textId="613C9162" w:rsidR="00C329D0" w:rsidRPr="002319FE" w:rsidRDefault="00C329D0" w:rsidP="00C329D0">
            <w:pPr>
              <w:spacing w:after="0" w:line="240" w:lineRule="auto"/>
              <w:rPr>
                <w:rFonts w:ascii="Arial" w:eastAsia="Times New Roman" w:hAnsi="Arial" w:cs="Arial"/>
                <w:color w:val="002060"/>
                <w:sz w:val="20"/>
                <w:szCs w:val="20"/>
              </w:rPr>
            </w:pPr>
            <w:r>
              <w:rPr>
                <w:rFonts w:asciiTheme="majorBidi" w:hAnsiTheme="majorBidi" w:cstheme="majorBidi"/>
              </w:rPr>
              <w:t>Share</w:t>
            </w:r>
          </w:p>
        </w:tc>
        <w:tc>
          <w:tcPr>
            <w:tcW w:w="1440" w:type="dxa"/>
            <w:shd w:val="clear" w:color="auto" w:fill="auto"/>
            <w:noWrap/>
            <w:vAlign w:val="bottom"/>
            <w:hideMark/>
          </w:tcPr>
          <w:p w14:paraId="20B6C288"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-7.09049</w:t>
            </w:r>
          </w:p>
        </w:tc>
        <w:tc>
          <w:tcPr>
            <w:tcW w:w="1530" w:type="dxa"/>
            <w:shd w:val="clear" w:color="auto" w:fill="auto"/>
            <w:noWrap/>
            <w:vAlign w:val="bottom"/>
            <w:hideMark/>
          </w:tcPr>
          <w:p w14:paraId="1E518F69"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-6.04877</w:t>
            </w:r>
          </w:p>
        </w:tc>
        <w:tc>
          <w:tcPr>
            <w:tcW w:w="1350" w:type="dxa"/>
            <w:shd w:val="clear" w:color="auto" w:fill="auto"/>
            <w:noWrap/>
            <w:vAlign w:val="bottom"/>
            <w:hideMark/>
          </w:tcPr>
          <w:p w14:paraId="39F764DE"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-6.10982</w:t>
            </w:r>
          </w:p>
        </w:tc>
        <w:tc>
          <w:tcPr>
            <w:tcW w:w="1620" w:type="dxa"/>
            <w:shd w:val="clear" w:color="auto" w:fill="auto"/>
            <w:noWrap/>
            <w:vAlign w:val="bottom"/>
            <w:hideMark/>
          </w:tcPr>
          <w:p w14:paraId="62E57B8D" w14:textId="77777777" w:rsidR="00C329D0" w:rsidRPr="002319FE" w:rsidRDefault="00C329D0" w:rsidP="00C329D0">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-6.57799</w:t>
            </w:r>
          </w:p>
        </w:tc>
      </w:tr>
    </w:tbl>
    <w:p w14:paraId="3257BA54" w14:textId="03D00053" w:rsidR="000B3706" w:rsidRDefault="000B3706" w:rsidP="000B3706">
      <w:pPr>
        <w:rPr>
          <w:color w:val="002060"/>
        </w:rPr>
      </w:pPr>
      <w:r>
        <w:rPr>
          <w:color w:val="002060"/>
        </w:rPr>
        <w:t xml:space="preserve">Table 4. </w:t>
      </w:r>
      <w:r w:rsidRPr="002319FE">
        <w:rPr>
          <w:color w:val="002060"/>
        </w:rPr>
        <w:t>t-stat</w:t>
      </w:r>
      <w:r w:rsidR="00FF1951">
        <w:rPr>
          <w:color w:val="002060"/>
        </w:rPr>
        <w:t>istics</w:t>
      </w:r>
      <w:r>
        <w:rPr>
          <w:color w:val="002060"/>
        </w:rPr>
        <w:t xml:space="preserve"> for Innovation minus Ecological parameters with mean equal to zero</w:t>
      </w:r>
    </w:p>
    <w:p w14:paraId="0FB67E2B" w14:textId="24998EA7" w:rsidR="00B553AC" w:rsidRPr="002319FE" w:rsidRDefault="00E83FB8" w:rsidP="00B553AC">
      <w:pPr>
        <w:rPr>
          <w:b/>
          <w:color w:val="002060"/>
        </w:rPr>
      </w:pPr>
      <w:r>
        <w:rPr>
          <w:color w:val="002060"/>
        </w:rPr>
        <w:t xml:space="preserve">We see, that </w:t>
      </w:r>
      <w:r w:rsidR="000C7160" w:rsidRPr="002319FE">
        <w:rPr>
          <w:color w:val="002060"/>
        </w:rPr>
        <w:t xml:space="preserve">p-values for t-stats are close to zero with maximum value 0.0000398, therefore we can conclude that the values of </w:t>
      </w:r>
      <w:r w:rsidR="000C7160" w:rsidRPr="002319FE">
        <w:rPr>
          <w:b/>
          <w:color w:val="002060"/>
        </w:rPr>
        <w:t>Ecology parameters minus corresponding values of Innovation parameters form normal distribution with mean equal to zero</w:t>
      </w:r>
      <w:r>
        <w:rPr>
          <w:b/>
          <w:color w:val="002060"/>
        </w:rPr>
        <w:t xml:space="preserve">, i.e. </w:t>
      </w:r>
      <w:r w:rsidRPr="002319FE">
        <w:rPr>
          <w:color w:val="002060"/>
        </w:rPr>
        <w:t>innovations and ecology</w:t>
      </w:r>
      <w:r w:rsidR="000C7160" w:rsidRPr="002319FE">
        <w:rPr>
          <w:b/>
          <w:color w:val="002060"/>
        </w:rPr>
        <w:t xml:space="preserve"> </w:t>
      </w:r>
      <w:r>
        <w:rPr>
          <w:b/>
          <w:color w:val="002060"/>
        </w:rPr>
        <w:t>are estimated almost equally in average.</w:t>
      </w:r>
      <w:r w:rsidR="00B553AC">
        <w:rPr>
          <w:b/>
          <w:color w:val="002060"/>
        </w:rPr>
        <w:t xml:space="preserve"> Also, the results show good level of confidence above 0.95.</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73"/>
      </w:tblGrid>
      <w:tr w:rsidR="00E46FA1" w:rsidRPr="002319FE" w14:paraId="3A088901" w14:textId="77777777" w:rsidTr="00FF1951">
        <w:trPr>
          <w:trHeight w:val="255"/>
        </w:trPr>
        <w:tc>
          <w:tcPr>
            <w:tcW w:w="3235" w:type="dxa"/>
            <w:shd w:val="clear" w:color="auto" w:fill="auto"/>
            <w:noWrap/>
            <w:vAlign w:val="bottom"/>
            <w:hideMark/>
          </w:tcPr>
          <w:p w14:paraId="4C8FFE39" w14:textId="7B90B697" w:rsidR="000C7160" w:rsidRPr="002319FE" w:rsidRDefault="00FF1951" w:rsidP="00FF195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vAlign w:val="bottom"/>
            <w:hideMark/>
          </w:tcPr>
          <w:p w14:paraId="4B189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77777777" w:rsidR="000C7160" w:rsidRPr="002319FE" w:rsidRDefault="000C7160" w:rsidP="00170D79">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1E5A532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162" w:type="dxa"/>
            <w:shd w:val="clear" w:color="auto" w:fill="auto"/>
            <w:noWrap/>
            <w:vAlign w:val="bottom"/>
            <w:hideMark/>
          </w:tcPr>
          <w:p w14:paraId="0A354E46" w14:textId="04E4D0DA"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E46FA1" w:rsidRPr="002319FE" w14:paraId="22A47352" w14:textId="77777777" w:rsidTr="00FF1951">
        <w:trPr>
          <w:trHeight w:val="255"/>
        </w:trPr>
        <w:tc>
          <w:tcPr>
            <w:tcW w:w="3235" w:type="dxa"/>
            <w:shd w:val="clear" w:color="auto" w:fill="auto"/>
            <w:noWrap/>
            <w:vAlign w:val="bottom"/>
            <w:hideMark/>
          </w:tcPr>
          <w:p w14:paraId="747CC05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70EB55F7" w14:textId="68C0D297"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w:t>
            </w:r>
          </w:p>
        </w:tc>
        <w:tc>
          <w:tcPr>
            <w:tcW w:w="1239" w:type="dxa"/>
            <w:shd w:val="clear" w:color="auto" w:fill="auto"/>
            <w:noWrap/>
            <w:vAlign w:val="bottom"/>
            <w:hideMark/>
          </w:tcPr>
          <w:p w14:paraId="0F4DE3E3" w14:textId="73FF08C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w:t>
            </w:r>
          </w:p>
        </w:tc>
        <w:tc>
          <w:tcPr>
            <w:tcW w:w="1184" w:type="dxa"/>
            <w:shd w:val="clear" w:color="auto" w:fill="auto"/>
            <w:noWrap/>
            <w:vAlign w:val="bottom"/>
            <w:hideMark/>
          </w:tcPr>
          <w:p w14:paraId="3A2C3862" w14:textId="03F7D6BF"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w:t>
            </w:r>
          </w:p>
        </w:tc>
        <w:tc>
          <w:tcPr>
            <w:tcW w:w="1162" w:type="dxa"/>
            <w:shd w:val="clear" w:color="auto" w:fill="auto"/>
            <w:noWrap/>
            <w:vAlign w:val="bottom"/>
            <w:hideMark/>
          </w:tcPr>
          <w:p w14:paraId="4D7BD4ED" w14:textId="22993C2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w:t>
            </w:r>
            <w:r w:rsidR="00E46FA1">
              <w:rPr>
                <w:rFonts w:ascii="Arial" w:eastAsia="Times New Roman" w:hAnsi="Arial" w:cs="Arial"/>
                <w:color w:val="002060"/>
                <w:sz w:val="20"/>
                <w:szCs w:val="20"/>
              </w:rPr>
              <w:t>0</w:t>
            </w:r>
          </w:p>
        </w:tc>
      </w:tr>
      <w:tr w:rsidR="00E46FA1" w:rsidRPr="002319FE" w14:paraId="49F1BC84" w14:textId="77777777" w:rsidTr="00FF1951">
        <w:trPr>
          <w:trHeight w:val="255"/>
        </w:trPr>
        <w:tc>
          <w:tcPr>
            <w:tcW w:w="3235" w:type="dxa"/>
            <w:shd w:val="clear" w:color="auto" w:fill="auto"/>
            <w:noWrap/>
            <w:vAlign w:val="bottom"/>
            <w:hideMark/>
          </w:tcPr>
          <w:p w14:paraId="19E8E7D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71398F3" w14:textId="0E80C3A2"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w:t>
            </w:r>
          </w:p>
        </w:tc>
        <w:tc>
          <w:tcPr>
            <w:tcW w:w="1239" w:type="dxa"/>
            <w:shd w:val="clear" w:color="auto" w:fill="auto"/>
            <w:noWrap/>
            <w:vAlign w:val="bottom"/>
            <w:hideMark/>
          </w:tcPr>
          <w:p w14:paraId="65DF5454" w14:textId="33F93636"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w:t>
            </w:r>
          </w:p>
        </w:tc>
        <w:tc>
          <w:tcPr>
            <w:tcW w:w="1184" w:type="dxa"/>
            <w:shd w:val="clear" w:color="auto" w:fill="auto"/>
            <w:noWrap/>
            <w:vAlign w:val="bottom"/>
            <w:hideMark/>
          </w:tcPr>
          <w:p w14:paraId="43B3013E" w14:textId="7C63512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w:t>
            </w:r>
          </w:p>
        </w:tc>
        <w:tc>
          <w:tcPr>
            <w:tcW w:w="1162" w:type="dxa"/>
            <w:shd w:val="clear" w:color="auto" w:fill="auto"/>
            <w:noWrap/>
            <w:vAlign w:val="bottom"/>
            <w:hideMark/>
          </w:tcPr>
          <w:p w14:paraId="4543827D" w14:textId="7551A78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0.0655316</w:t>
            </w:r>
          </w:p>
        </w:tc>
      </w:tr>
      <w:tr w:rsidR="00E46FA1" w:rsidRPr="002319FE" w14:paraId="56D09EE1" w14:textId="77777777" w:rsidTr="00FF1951">
        <w:trPr>
          <w:trHeight w:val="255"/>
        </w:trPr>
        <w:tc>
          <w:tcPr>
            <w:tcW w:w="3235" w:type="dxa"/>
            <w:shd w:val="clear" w:color="auto" w:fill="auto"/>
            <w:noWrap/>
            <w:vAlign w:val="bottom"/>
            <w:hideMark/>
          </w:tcPr>
          <w:p w14:paraId="59D9FC4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1AAF1D76" w14:textId="44BF9FA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w:t>
            </w:r>
          </w:p>
        </w:tc>
        <w:tc>
          <w:tcPr>
            <w:tcW w:w="1239" w:type="dxa"/>
            <w:shd w:val="clear" w:color="auto" w:fill="auto"/>
            <w:noWrap/>
            <w:vAlign w:val="bottom"/>
            <w:hideMark/>
          </w:tcPr>
          <w:p w14:paraId="4B09F528" w14:textId="6ECD0B6C"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w:t>
            </w:r>
          </w:p>
        </w:tc>
        <w:tc>
          <w:tcPr>
            <w:tcW w:w="1184" w:type="dxa"/>
            <w:shd w:val="clear" w:color="auto" w:fill="auto"/>
            <w:noWrap/>
            <w:vAlign w:val="bottom"/>
            <w:hideMark/>
          </w:tcPr>
          <w:p w14:paraId="580EEFB3" w14:textId="133B7E2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w:t>
            </w:r>
            <w:r w:rsidR="00E46FA1">
              <w:rPr>
                <w:rFonts w:ascii="Arial" w:eastAsia="Times New Roman" w:hAnsi="Arial" w:cs="Arial"/>
                <w:color w:val="002060"/>
                <w:sz w:val="20"/>
                <w:szCs w:val="20"/>
              </w:rPr>
              <w:t>800</w:t>
            </w:r>
          </w:p>
        </w:tc>
        <w:tc>
          <w:tcPr>
            <w:tcW w:w="1162" w:type="dxa"/>
            <w:shd w:val="clear" w:color="auto" w:fill="auto"/>
            <w:noWrap/>
            <w:vAlign w:val="bottom"/>
            <w:hideMark/>
          </w:tcPr>
          <w:p w14:paraId="500E7CA5" w14:textId="427521A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w:t>
            </w:r>
            <w:r w:rsidR="00E46FA1">
              <w:rPr>
                <w:rFonts w:ascii="Arial" w:eastAsia="Times New Roman" w:hAnsi="Arial" w:cs="Arial"/>
                <w:color w:val="002060"/>
                <w:sz w:val="20"/>
                <w:szCs w:val="20"/>
              </w:rPr>
              <w:t>4</w:t>
            </w:r>
          </w:p>
        </w:tc>
      </w:tr>
    </w:tbl>
    <w:p w14:paraId="1C6C0EE2" w14:textId="7BDD69B5" w:rsidR="000C7160" w:rsidRPr="002319FE" w:rsidRDefault="00FF1951" w:rsidP="00FF1951">
      <w:pPr>
        <w:rPr>
          <w:color w:val="002060"/>
        </w:rPr>
      </w:pPr>
      <w:r>
        <w:rPr>
          <w:color w:val="002060"/>
        </w:rPr>
        <w:t>Table 7. Correlation coefficients of Ecology parameters vs ages of firms</w:t>
      </w:r>
    </w:p>
    <w:p w14:paraId="7883B237" w14:textId="185C999B" w:rsidR="000C7160" w:rsidRPr="002319FE" w:rsidRDefault="00E46FA1" w:rsidP="000C7160">
      <w:pPr>
        <w:rPr>
          <w:color w:val="002060"/>
        </w:rPr>
      </w:pPr>
      <w:r>
        <w:rPr>
          <w:b/>
          <w:color w:val="002060"/>
        </w:rPr>
        <w:t>W</w:t>
      </w:r>
      <w:r w:rsidR="000C7160" w:rsidRPr="002319FE">
        <w:rPr>
          <w:b/>
          <w:color w:val="002060"/>
        </w:rPr>
        <w:t>e</w:t>
      </w:r>
      <w:r>
        <w:rPr>
          <w:b/>
          <w:color w:val="002060"/>
        </w:rPr>
        <w:t xml:space="preserve"> can </w:t>
      </w:r>
      <w:proofErr w:type="spellStart"/>
      <w:r>
        <w:rPr>
          <w:b/>
          <w:color w:val="002060"/>
        </w:rPr>
        <w:t>deduce</w:t>
      </w:r>
      <w:proofErr w:type="spellEnd"/>
      <w:r w:rsidR="000C7160" w:rsidRPr="002319FE">
        <w:rPr>
          <w:b/>
          <w:color w:val="002060"/>
        </w:rPr>
        <w:t xml:space="preserve"> from here </w:t>
      </w:r>
      <w:r>
        <w:rPr>
          <w:b/>
          <w:color w:val="002060"/>
        </w:rPr>
        <w:t xml:space="preserve">that </w:t>
      </w:r>
      <w:r w:rsidR="000C7160" w:rsidRPr="002319FE">
        <w:rPr>
          <w:b/>
          <w:color w:val="002060"/>
        </w:rPr>
        <w:t>the correlation between age of the company and its ecology position is very low, so we can see, that the age of company does not play vital role in factors of ecology</w:t>
      </w:r>
      <w:r w:rsidR="000C7160" w:rsidRPr="002319FE">
        <w:rPr>
          <w:color w:val="002060"/>
        </w:rPr>
        <w:t xml:space="preserve">. </w:t>
      </w:r>
    </w:p>
    <w:p w14:paraId="179D96FB" w14:textId="70C55657" w:rsidR="00781CDC"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5D8E2C28" w14:textId="5011F066" w:rsidR="00E83FB8" w:rsidRDefault="00E83FB8" w:rsidP="00781CDC">
      <w:pPr>
        <w:jc w:val="both"/>
        <w:rPr>
          <w:rFonts w:ascii="Times New Roman" w:hAnsi="Times New Roman" w:cs="Times New Roman"/>
          <w:color w:val="002060"/>
          <w:spacing w:val="4"/>
          <w:sz w:val="24"/>
          <w:szCs w:val="24"/>
          <w:shd w:val="clear" w:color="auto" w:fill="E9E9E9"/>
        </w:rPr>
      </w:pPr>
      <w:r>
        <w:rPr>
          <w:rFonts w:ascii="Times New Roman" w:hAnsi="Times New Roman" w:cs="Times New Roman"/>
          <w:color w:val="002060"/>
          <w:spacing w:val="4"/>
          <w:sz w:val="24"/>
          <w:szCs w:val="24"/>
          <w:shd w:val="clear" w:color="auto" w:fill="E9E9E9"/>
        </w:rPr>
        <w:t>In order to estimate the state of the Ecology in transport of Romania, we took the data from the track registration systems to represent the histogram of transport age groups:</w:t>
      </w:r>
    </w:p>
    <w:p w14:paraId="1DC7ABC8" w14:textId="77777777" w:rsidR="00950F1D" w:rsidRDefault="00170D79" w:rsidP="00950F1D">
      <w:pPr>
        <w:spacing w:before="100" w:beforeAutospacing="1" w:after="100" w:afterAutospacing="1" w:line="240" w:lineRule="auto"/>
        <w:jc w:val="center"/>
        <w:rPr>
          <w:color w:val="00B0F0"/>
          <w:lang w:val="en-GB"/>
        </w:rPr>
      </w:pPr>
      <w:r w:rsidRPr="00552256">
        <w:rPr>
          <w:rFonts w:ascii="Times New Roman" w:eastAsia="Times New Roman" w:hAnsi="Times New Roman" w:cs="Times New Roman"/>
          <w:noProof/>
          <w:sz w:val="24"/>
          <w:szCs w:val="24"/>
          <w:lang w:val="ru-RU" w:eastAsia="ru-RU"/>
        </w:rPr>
        <w:lastRenderedPageBreak/>
        <w:drawing>
          <wp:inline distT="0" distB="0" distL="0" distR="0" wp14:anchorId="0E4BC5BC" wp14:editId="0BED72CD">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B5BFA39" w14:textId="5B284CA9" w:rsidR="00170D79" w:rsidRPr="001C53C2" w:rsidRDefault="00170D79" w:rsidP="00950F1D">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3. Histogram of </w:t>
      </w:r>
      <w:r w:rsidR="001C53C2">
        <w:rPr>
          <w:rFonts w:ascii="Times New Roman" w:eastAsia="Times New Roman" w:hAnsi="Times New Roman" w:cs="Times New Roman"/>
          <w:color w:val="002060"/>
          <w:sz w:val="24"/>
          <w:szCs w:val="24"/>
          <w:lang w:val="en-GB"/>
        </w:rPr>
        <w:t>tracks</w:t>
      </w:r>
      <w:r w:rsidRPr="001C53C2">
        <w:rPr>
          <w:rFonts w:ascii="Times New Roman" w:eastAsia="Times New Roman" w:hAnsi="Times New Roman" w:cs="Times New Roman"/>
          <w:color w:val="002060"/>
          <w:sz w:val="24"/>
          <w:szCs w:val="24"/>
          <w:lang w:val="en-GB"/>
        </w:rPr>
        <w:t xml:space="preserve"> ages by years </w:t>
      </w:r>
    </w:p>
    <w:p w14:paraId="029B2C96" w14:textId="55079249" w:rsidR="00170D79" w:rsidRPr="002319FE" w:rsidRDefault="00E83FB8" w:rsidP="00170D79">
      <w:pPr>
        <w:pStyle w:val="a3"/>
        <w:jc w:val="both"/>
        <w:rPr>
          <w:color w:val="002060"/>
          <w:lang w:val="en-GB"/>
        </w:rPr>
      </w:pPr>
      <w:r>
        <w:rPr>
          <w:color w:val="002060"/>
          <w:lang w:val="en-GB"/>
        </w:rPr>
        <w:t>In this</w:t>
      </w:r>
      <w:r w:rsidR="00170D79" w:rsidRPr="002319FE">
        <w:rPr>
          <w:color w:val="002060"/>
          <w:lang w:val="en-GB"/>
        </w:rPr>
        <w:t xml:space="preserve"> graph, we </w:t>
      </w:r>
      <w:proofErr w:type="spellStart"/>
      <w:r w:rsidR="00170D79" w:rsidRPr="002319FE">
        <w:rPr>
          <w:color w:val="002060"/>
          <w:lang w:val="en-GB"/>
        </w:rPr>
        <w:t>analyzed</w:t>
      </w:r>
      <w:proofErr w:type="spellEnd"/>
      <w:r w:rsidR="00170D79" w:rsidRPr="002319FE">
        <w:rPr>
          <w:color w:val="002060"/>
          <w:lang w:val="en-GB"/>
        </w:rPr>
        <w:t xml:space="preserve"> a dataset of 12,861 </w:t>
      </w:r>
      <w:r w:rsidR="004C58B3">
        <w:rPr>
          <w:color w:val="002060"/>
          <w:lang w:val="en-GB"/>
        </w:rPr>
        <w:t>vehicles</w:t>
      </w:r>
      <w:r w:rsidR="00170D79" w:rsidRPr="002319FE">
        <w:rPr>
          <w:color w:val="002060"/>
          <w:lang w:val="en-GB"/>
        </w:rPr>
        <w:t xml:space="preserve"> used for road freight transport, all registered in Romania. The primary goal was to highlight the age distribution of the Romanian car fleet.</w:t>
      </w:r>
    </w:p>
    <w:p w14:paraId="160A1BBC" w14:textId="77777777" w:rsidR="00170D79" w:rsidRPr="002319FE" w:rsidRDefault="00170D79" w:rsidP="00170D79">
      <w:pPr>
        <w:pStyle w:val="a3"/>
        <w:numPr>
          <w:ilvl w:val="0"/>
          <w:numId w:val="1"/>
        </w:numPr>
        <w:jc w:val="both"/>
        <w:rPr>
          <w:color w:val="002060"/>
          <w:lang w:val="en-GB"/>
        </w:rPr>
      </w:pPr>
      <w:r w:rsidRPr="002319FE">
        <w:rPr>
          <w:b/>
          <w:bCs/>
          <w:color w:val="002060"/>
          <w:lang w:val="en-GB"/>
        </w:rPr>
        <w:t>Key Findings</w:t>
      </w:r>
      <w:r w:rsidRPr="002319FE">
        <w:rPr>
          <w:color w:val="002060"/>
          <w:lang w:val="en-GB"/>
        </w:rPr>
        <w:t>:</w:t>
      </w:r>
    </w:p>
    <w:p w14:paraId="1CD6B958" w14:textId="77777777" w:rsidR="00170D79" w:rsidRPr="002319FE" w:rsidRDefault="00170D79" w:rsidP="00170D79">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p>
    <w:p w14:paraId="7491185E" w14:textId="77777777" w:rsidR="00170D79" w:rsidRPr="002319FE" w:rsidRDefault="00170D79" w:rsidP="00170D79">
      <w:pPr>
        <w:pStyle w:val="a3"/>
        <w:numPr>
          <w:ilvl w:val="1"/>
          <w:numId w:val="1"/>
        </w:numPr>
        <w:jc w:val="both"/>
        <w:rPr>
          <w:color w:val="002060"/>
          <w:lang w:val="en-GB"/>
        </w:rPr>
      </w:pPr>
      <w:r w:rsidRPr="002319FE">
        <w:rPr>
          <w:color w:val="002060"/>
          <w:lang w:val="en-GB"/>
        </w:rPr>
        <w:t>The fleet shows a split in manufacturing years:</w:t>
      </w:r>
    </w:p>
    <w:p w14:paraId="7D60BF36"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03947E92"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72C85591" w14:textId="77777777" w:rsidR="00170D79" w:rsidRPr="00E83FB8" w:rsidRDefault="00170D79" w:rsidP="00170D79">
      <w:pPr>
        <w:pStyle w:val="a3"/>
        <w:jc w:val="both"/>
        <w:rPr>
          <w:color w:val="002060"/>
          <w:lang w:val="en-GB"/>
        </w:rPr>
      </w:pPr>
      <w:r w:rsidRPr="00E83FB8">
        <w:rPr>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4C50E279" w14:textId="0CFE8DED" w:rsidR="00E83FB8" w:rsidRPr="001C53C2" w:rsidRDefault="00E83FB8"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Now, we tried </w:t>
      </w:r>
      <w:r w:rsidR="00A03D1D" w:rsidRPr="001C53C2">
        <w:rPr>
          <w:rFonts w:ascii="Times New Roman" w:eastAsia="Times New Roman" w:hAnsi="Times New Roman" w:cs="Times New Roman"/>
          <w:color w:val="002060"/>
          <w:sz w:val="24"/>
          <w:szCs w:val="24"/>
          <w:lang w:val="en-GB"/>
        </w:rPr>
        <w:t>to estimate the ages for the companies in our list.</w:t>
      </w:r>
    </w:p>
    <w:p w14:paraId="6EDE64A5" w14:textId="70441271" w:rsidR="00A03D1D" w:rsidRDefault="00A03D1D" w:rsidP="000C7160">
      <w:pPr>
        <w:rPr>
          <w:color w:val="002060"/>
        </w:rPr>
      </w:pPr>
      <w:r>
        <w:rPr>
          <w:noProof/>
          <w:lang w:val="ru-RU" w:eastAsia="ru-RU"/>
          <w14:ligatures w14:val="standardContextual"/>
        </w:rPr>
        <w:lastRenderedPageBreak/>
        <mc:AlternateContent>
          <mc:Choice Requires="cx">
            <w:drawing>
              <wp:inline distT="0" distB="0" distL="0" distR="0" wp14:anchorId="7E846CA9" wp14:editId="664305AF">
                <wp:extent cx="5943600" cy="2729865"/>
                <wp:effectExtent l="0" t="0" r="0" b="13335"/>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7E846CA9" wp14:editId="664305AF">
                <wp:extent cx="5943600" cy="2729865"/>
                <wp:effectExtent l="0" t="0" r="0" b="13335"/>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0"/>
                        <a:stretch>
                          <a:fillRect/>
                        </a:stretch>
                      </pic:blipFill>
                      <pic:spPr>
                        <a:xfrm>
                          <a:off x="0" y="0"/>
                          <a:ext cx="5943600" cy="2729865"/>
                        </a:xfrm>
                        <a:prstGeom prst="rect">
                          <a:avLst/>
                        </a:prstGeom>
                      </pic:spPr>
                    </pic:pic>
                  </a:graphicData>
                </a:graphic>
              </wp:inline>
            </w:drawing>
          </mc:Fallback>
        </mc:AlternateContent>
      </w:r>
    </w:p>
    <w:p w14:paraId="5FD3B82C" w14:textId="02BF842C" w:rsidR="001C53C2" w:rsidRPr="001C53C2" w:rsidRDefault="001C53C2" w:rsidP="001C53C2">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w:t>
      </w:r>
      <w:r>
        <w:rPr>
          <w:rFonts w:ascii="Times New Roman" w:eastAsia="Times New Roman" w:hAnsi="Times New Roman" w:cs="Times New Roman"/>
          <w:color w:val="002060"/>
          <w:sz w:val="24"/>
          <w:szCs w:val="24"/>
          <w:lang w:val="en-GB"/>
        </w:rPr>
        <w:t>4. Histogram of average tracks</w:t>
      </w:r>
      <w:r w:rsidRPr="001C53C2">
        <w:rPr>
          <w:rFonts w:ascii="Times New Roman" w:eastAsia="Times New Roman" w:hAnsi="Times New Roman" w:cs="Times New Roman"/>
          <w:color w:val="002060"/>
          <w:sz w:val="24"/>
          <w:szCs w:val="24"/>
          <w:lang w:val="en-GB"/>
        </w:rPr>
        <w:t xml:space="preserve"> ages</w:t>
      </w:r>
      <w:r>
        <w:rPr>
          <w:rFonts w:ascii="Times New Roman" w:eastAsia="Times New Roman" w:hAnsi="Times New Roman" w:cs="Times New Roman"/>
          <w:color w:val="002060"/>
          <w:sz w:val="24"/>
          <w:szCs w:val="24"/>
          <w:lang w:val="en-GB"/>
        </w:rPr>
        <w:t xml:space="preserve"> for the regarded transport firms</w:t>
      </w:r>
      <w:r w:rsidRPr="001C53C2">
        <w:rPr>
          <w:rFonts w:ascii="Times New Roman" w:eastAsia="Times New Roman" w:hAnsi="Times New Roman" w:cs="Times New Roman"/>
          <w:color w:val="002060"/>
          <w:sz w:val="24"/>
          <w:szCs w:val="24"/>
          <w:lang w:val="en-GB"/>
        </w:rPr>
        <w:t xml:space="preserve"> by years </w:t>
      </w:r>
    </w:p>
    <w:p w14:paraId="77D7F3CE" w14:textId="77F6AF1C" w:rsidR="00A03D1D" w:rsidRPr="001C53C2" w:rsidRDefault="00A03D1D"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As we see, </w:t>
      </w:r>
      <w:r w:rsidR="00C841B7" w:rsidRPr="001C53C2">
        <w:rPr>
          <w:rFonts w:ascii="Times New Roman" w:eastAsia="Times New Roman" w:hAnsi="Times New Roman" w:cs="Times New Roman"/>
          <w:color w:val="002060"/>
          <w:sz w:val="24"/>
          <w:szCs w:val="24"/>
          <w:lang w:val="en-GB"/>
        </w:rPr>
        <w:t xml:space="preserve">our companies have much newer tracks, that used in Romania in general, so our statistics is dealing with more modern and ecologically oriented companies, with average tracks </w:t>
      </w:r>
      <w:r w:rsidR="00CD1327" w:rsidRPr="001C53C2">
        <w:rPr>
          <w:rFonts w:ascii="Times New Roman" w:eastAsia="Times New Roman" w:hAnsi="Times New Roman" w:cs="Times New Roman"/>
          <w:color w:val="002060"/>
          <w:sz w:val="24"/>
          <w:szCs w:val="24"/>
          <w:lang w:val="en-GB"/>
        </w:rPr>
        <w:t>production date</w:t>
      </w:r>
      <w:r w:rsidR="00C841B7" w:rsidRPr="001C53C2">
        <w:rPr>
          <w:rFonts w:ascii="Times New Roman" w:eastAsia="Times New Roman" w:hAnsi="Times New Roman" w:cs="Times New Roman"/>
          <w:color w:val="002060"/>
          <w:sz w:val="24"/>
          <w:szCs w:val="24"/>
          <w:lang w:val="en-GB"/>
        </w:rPr>
        <w:t xml:space="preserve"> is more than 2015</w:t>
      </w:r>
      <w:r w:rsidR="00CD1327" w:rsidRPr="001C53C2">
        <w:rPr>
          <w:rFonts w:ascii="Times New Roman" w:eastAsia="Times New Roman" w:hAnsi="Times New Roman" w:cs="Times New Roman"/>
          <w:color w:val="002060"/>
          <w:sz w:val="24"/>
          <w:szCs w:val="24"/>
          <w:lang w:val="en-GB"/>
        </w:rPr>
        <w:t xml:space="preserve"> and minimum production year is 2003</w:t>
      </w:r>
      <w:r w:rsidR="00C841B7" w:rsidRPr="001C53C2">
        <w:rPr>
          <w:rFonts w:ascii="Times New Roman" w:eastAsia="Times New Roman" w:hAnsi="Times New Roman" w:cs="Times New Roman"/>
          <w:color w:val="002060"/>
          <w:sz w:val="24"/>
          <w:szCs w:val="24"/>
          <w:lang w:val="en-GB"/>
        </w:rPr>
        <w:t>.</w:t>
      </w:r>
    </w:p>
    <w:p w14:paraId="4C79D61B" w14:textId="226657A8" w:rsidR="00C841B7" w:rsidRPr="001C53C2" w:rsidRDefault="00C841B7"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Therefore, we could not estimate dependency between age of the tracks and ecological performance, and, indeed, or results have shown absence of linear dependencies between these data (You can see this results in </w:t>
      </w:r>
      <w:r w:rsidR="00096A68" w:rsidRPr="001C53C2">
        <w:rPr>
          <w:rFonts w:ascii="Times New Roman" w:eastAsia="Times New Roman" w:hAnsi="Times New Roman" w:cs="Times New Roman"/>
          <w:color w:val="002060"/>
          <w:sz w:val="24"/>
          <w:szCs w:val="24"/>
          <w:lang w:val="en-GB"/>
        </w:rPr>
        <w:t>A</w:t>
      </w:r>
      <w:r w:rsidRPr="001C53C2">
        <w:rPr>
          <w:rFonts w:ascii="Times New Roman" w:eastAsia="Times New Roman" w:hAnsi="Times New Roman" w:cs="Times New Roman"/>
          <w:color w:val="002060"/>
          <w:sz w:val="24"/>
          <w:szCs w:val="24"/>
          <w:lang w:val="en-GB"/>
        </w:rPr>
        <w:t>ttachment).</w:t>
      </w:r>
    </w:p>
    <w:p w14:paraId="6F58D812" w14:textId="3701B21D" w:rsidR="000C7160" w:rsidRPr="002F3A21" w:rsidRDefault="002B6AE1" w:rsidP="000C7160">
      <w:pPr>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Therefore, t</w:t>
      </w:r>
      <w:r w:rsidR="000C7160" w:rsidRPr="002F3A21">
        <w:rPr>
          <w:rFonts w:ascii="Times New Roman" w:eastAsia="Times New Roman" w:hAnsi="Times New Roman" w:cs="Times New Roman"/>
          <w:sz w:val="24"/>
          <w:szCs w:val="24"/>
          <w:lang w:val="en-GB"/>
        </w:rPr>
        <w:t xml:space="preserve">o check the hypothesis F1 we apply </w:t>
      </w:r>
      <w:r w:rsidR="000C7160" w:rsidRPr="002F3A21">
        <w:rPr>
          <w:rFonts w:ascii="Times New Roman" w:eastAsia="Times New Roman" w:hAnsi="Times New Roman" w:cs="Times New Roman"/>
          <w:b/>
          <w:bCs/>
          <w:sz w:val="24"/>
          <w:szCs w:val="24"/>
          <w:lang w:val="en-GB"/>
        </w:rPr>
        <w:t>Mann-Whitney U Test</w:t>
      </w:r>
      <w:r w:rsidR="000C7160" w:rsidRPr="002F3A21">
        <w:rPr>
          <w:rFonts w:ascii="Times New Roman" w:eastAsia="Times New Roman" w:hAnsi="Times New Roman" w:cs="Times New Roman"/>
          <w:sz w:val="24"/>
          <w:szCs w:val="24"/>
          <w:lang w:val="en-GB"/>
        </w:rPr>
        <w:t xml:space="preserve"> to compare the distributions of Transport and non-transport ecology parameters and to determine whether Transport samples tends to have larger values than the other.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550"/>
        <w:gridCol w:w="1647"/>
        <w:gridCol w:w="1961"/>
        <w:gridCol w:w="2057"/>
      </w:tblGrid>
      <w:tr w:rsidR="002F3A21" w:rsidRPr="002F3A21" w14:paraId="61532EC7" w14:textId="77777777" w:rsidTr="00716F86">
        <w:trPr>
          <w:trHeight w:val="255"/>
        </w:trPr>
        <w:tc>
          <w:tcPr>
            <w:tcW w:w="2135" w:type="dxa"/>
            <w:shd w:val="clear" w:color="auto" w:fill="auto"/>
            <w:noWrap/>
            <w:vAlign w:val="bottom"/>
            <w:hideMark/>
          </w:tcPr>
          <w:p w14:paraId="3E66208D"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
        </w:tc>
        <w:tc>
          <w:tcPr>
            <w:tcW w:w="1550" w:type="dxa"/>
            <w:shd w:val="clear" w:color="auto" w:fill="auto"/>
            <w:noWrap/>
            <w:vAlign w:val="bottom"/>
            <w:hideMark/>
          </w:tcPr>
          <w:p w14:paraId="6EFB9E5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Investment</w:t>
            </w:r>
          </w:p>
        </w:tc>
        <w:tc>
          <w:tcPr>
            <w:tcW w:w="1647" w:type="dxa"/>
            <w:shd w:val="clear" w:color="auto" w:fill="auto"/>
            <w:noWrap/>
            <w:vAlign w:val="bottom"/>
            <w:hideMark/>
          </w:tcPr>
          <w:p w14:paraId="45F700C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roofErr w:type="spellStart"/>
            <w:r w:rsidRPr="002F3A21">
              <w:rPr>
                <w:rFonts w:ascii="Times New Roman" w:eastAsia="Times New Roman" w:hAnsi="Times New Roman" w:cs="Times New Roman"/>
                <w:sz w:val="24"/>
                <w:szCs w:val="24"/>
                <w:lang w:val="en-GB"/>
              </w:rPr>
              <w:t>Superirority</w:t>
            </w:r>
            <w:proofErr w:type="spellEnd"/>
          </w:p>
        </w:tc>
        <w:tc>
          <w:tcPr>
            <w:tcW w:w="1961" w:type="dxa"/>
            <w:shd w:val="clear" w:color="auto" w:fill="auto"/>
            <w:noWrap/>
            <w:vAlign w:val="bottom"/>
            <w:hideMark/>
          </w:tcPr>
          <w:p w14:paraId="2FE64FC7"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Reputation</w:t>
            </w:r>
          </w:p>
        </w:tc>
        <w:tc>
          <w:tcPr>
            <w:tcW w:w="2057" w:type="dxa"/>
            <w:shd w:val="clear" w:color="auto" w:fill="auto"/>
            <w:noWrap/>
            <w:vAlign w:val="bottom"/>
            <w:hideMark/>
          </w:tcPr>
          <w:p w14:paraId="318F4B94" w14:textId="4D7412B6" w:rsidR="000C7160" w:rsidRPr="002F3A21" w:rsidRDefault="00892F80" w:rsidP="00170D79">
            <w:pPr>
              <w:spacing w:after="0" w:line="240" w:lineRule="auto"/>
              <w:rPr>
                <w:rFonts w:ascii="Times New Roman" w:eastAsia="Times New Roman" w:hAnsi="Times New Roman" w:cs="Times New Roman"/>
                <w:sz w:val="24"/>
                <w:szCs w:val="24"/>
                <w:lang w:val="en-GB"/>
              </w:rPr>
            </w:pPr>
            <w:r>
              <w:rPr>
                <w:rFonts w:ascii="Arial" w:eastAsia="Times New Roman" w:hAnsi="Arial" w:cs="Arial"/>
                <w:color w:val="002060"/>
                <w:sz w:val="20"/>
                <w:szCs w:val="20"/>
              </w:rPr>
              <w:t>Advantage</w:t>
            </w:r>
          </w:p>
        </w:tc>
      </w:tr>
      <w:tr w:rsidR="002F3A21" w:rsidRPr="002F3A21" w14:paraId="01A0000D" w14:textId="77777777" w:rsidTr="00716F86">
        <w:trPr>
          <w:trHeight w:val="255"/>
        </w:trPr>
        <w:tc>
          <w:tcPr>
            <w:tcW w:w="2135" w:type="dxa"/>
            <w:shd w:val="clear" w:color="auto" w:fill="auto"/>
            <w:noWrap/>
            <w:vAlign w:val="bottom"/>
            <w:hideMark/>
          </w:tcPr>
          <w:p w14:paraId="4F36631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50" w:type="dxa"/>
            <w:shd w:val="clear" w:color="auto" w:fill="auto"/>
            <w:noWrap/>
            <w:vAlign w:val="bottom"/>
            <w:hideMark/>
          </w:tcPr>
          <w:p w14:paraId="7484E257" w14:textId="74942B04"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9.534347e-06</w:t>
            </w:r>
          </w:p>
        </w:tc>
        <w:tc>
          <w:tcPr>
            <w:tcW w:w="1647" w:type="dxa"/>
            <w:shd w:val="clear" w:color="auto" w:fill="auto"/>
            <w:noWrap/>
            <w:vAlign w:val="bottom"/>
            <w:hideMark/>
          </w:tcPr>
          <w:p w14:paraId="28EC1426" w14:textId="203974FA"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1.56016</w:t>
            </w:r>
            <w:r w:rsidR="00716F86" w:rsidRPr="002F3A21">
              <w:rPr>
                <w:rFonts w:ascii="Times New Roman" w:eastAsia="Times New Roman" w:hAnsi="Times New Roman" w:cs="Times New Roman"/>
                <w:sz w:val="24"/>
                <w:szCs w:val="24"/>
                <w:lang w:val="en-GB"/>
              </w:rPr>
              <w:t>9</w:t>
            </w:r>
            <w:r w:rsidRPr="002F3A21">
              <w:rPr>
                <w:rFonts w:ascii="Times New Roman" w:eastAsia="Times New Roman" w:hAnsi="Times New Roman" w:cs="Times New Roman"/>
                <w:sz w:val="24"/>
                <w:szCs w:val="24"/>
                <w:lang w:val="en-GB"/>
              </w:rPr>
              <w:t>e-06</w:t>
            </w:r>
          </w:p>
        </w:tc>
        <w:tc>
          <w:tcPr>
            <w:tcW w:w="1961" w:type="dxa"/>
            <w:shd w:val="clear" w:color="auto" w:fill="auto"/>
            <w:noWrap/>
            <w:vAlign w:val="bottom"/>
            <w:hideMark/>
          </w:tcPr>
          <w:p w14:paraId="03CDC90E" w14:textId="7306BE5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6.47853</w:t>
            </w:r>
            <w:r w:rsidR="00716F86" w:rsidRPr="002F3A21">
              <w:rPr>
                <w:rFonts w:ascii="Times New Roman" w:eastAsia="Times New Roman" w:hAnsi="Times New Roman" w:cs="Times New Roman"/>
                <w:sz w:val="24"/>
                <w:szCs w:val="24"/>
                <w:lang w:val="en-GB"/>
              </w:rPr>
              <w:t>0</w:t>
            </w:r>
            <w:r w:rsidRPr="002F3A21">
              <w:rPr>
                <w:rFonts w:ascii="Times New Roman" w:eastAsia="Times New Roman" w:hAnsi="Times New Roman" w:cs="Times New Roman"/>
                <w:sz w:val="24"/>
                <w:szCs w:val="24"/>
                <w:lang w:val="en-GB"/>
              </w:rPr>
              <w:t>e-06</w:t>
            </w:r>
          </w:p>
        </w:tc>
        <w:tc>
          <w:tcPr>
            <w:tcW w:w="2057" w:type="dxa"/>
            <w:shd w:val="clear" w:color="auto" w:fill="auto"/>
            <w:noWrap/>
            <w:vAlign w:val="bottom"/>
            <w:hideMark/>
          </w:tcPr>
          <w:p w14:paraId="08A6C9FF" w14:textId="1BDC018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1.289193e-06</w:t>
            </w:r>
          </w:p>
        </w:tc>
      </w:tr>
    </w:tbl>
    <w:p w14:paraId="2B9C8974" w14:textId="04727849" w:rsidR="001C53C2" w:rsidRPr="002F3A21" w:rsidRDefault="001C53C2" w:rsidP="002F3A21">
      <w:r w:rsidRPr="002F3A21">
        <w:t xml:space="preserve">Table </w:t>
      </w:r>
      <w:r w:rsidR="002F3A21" w:rsidRPr="002F3A21">
        <w:t>8</w:t>
      </w:r>
      <w:r w:rsidR="002F3A21">
        <w:t>.</w:t>
      </w:r>
      <w:r w:rsidR="002F3A21" w:rsidRPr="002F3A21">
        <w:rPr>
          <w:rFonts w:ascii="Times New Roman" w:eastAsia="Times New Roman" w:hAnsi="Times New Roman" w:cs="Times New Roman"/>
          <w:b/>
          <w:bCs/>
          <w:sz w:val="24"/>
          <w:szCs w:val="24"/>
          <w:lang w:val="en-GB"/>
        </w:rPr>
        <w:t xml:space="preserve"> </w:t>
      </w:r>
      <w:r w:rsidR="002F3A21" w:rsidRPr="002F3A21">
        <w:rPr>
          <w:rFonts w:ascii="Times New Roman" w:eastAsia="Times New Roman" w:hAnsi="Times New Roman" w:cs="Times New Roman"/>
          <w:bCs/>
          <w:sz w:val="24"/>
          <w:szCs w:val="24"/>
          <w:lang w:val="en-GB"/>
        </w:rPr>
        <w:t xml:space="preserve">Mann-Whitney U Test of ecology performance of Transport </w:t>
      </w:r>
      <w:proofErr w:type="gramStart"/>
      <w:r w:rsidR="002F3A21" w:rsidRPr="002F3A21">
        <w:rPr>
          <w:rFonts w:ascii="Times New Roman" w:eastAsia="Times New Roman" w:hAnsi="Times New Roman" w:cs="Times New Roman"/>
          <w:bCs/>
          <w:sz w:val="24"/>
          <w:szCs w:val="24"/>
          <w:lang w:val="en-GB"/>
        </w:rPr>
        <w:t>vs</w:t>
      </w:r>
      <w:proofErr w:type="gramEnd"/>
      <w:r w:rsidR="002F3A21" w:rsidRPr="002F3A21">
        <w:rPr>
          <w:rFonts w:ascii="Times New Roman" w:eastAsia="Times New Roman" w:hAnsi="Times New Roman" w:cs="Times New Roman"/>
          <w:bCs/>
          <w:sz w:val="24"/>
          <w:szCs w:val="24"/>
          <w:lang w:val="en-GB"/>
        </w:rPr>
        <w:t xml:space="preserve"> Non-transport corporations</w:t>
      </w:r>
    </w:p>
    <w:p w14:paraId="01BC2EF0" w14:textId="59F19844" w:rsidR="000C7160" w:rsidRPr="001C53C2" w:rsidRDefault="000C7160"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As we can see, the p-values</w:t>
      </w:r>
      <w:r w:rsidR="002F3A21">
        <w:rPr>
          <w:rFonts w:ascii="Times New Roman" w:eastAsia="Times New Roman" w:hAnsi="Times New Roman" w:cs="Times New Roman"/>
          <w:color w:val="002060"/>
          <w:sz w:val="24"/>
          <w:szCs w:val="24"/>
          <w:lang w:val="en-GB"/>
        </w:rPr>
        <w:t xml:space="preserve"> of these tests</w:t>
      </w:r>
      <w:r w:rsidRPr="001C53C2">
        <w:rPr>
          <w:rFonts w:ascii="Times New Roman" w:eastAsia="Times New Roman" w:hAnsi="Times New Roman" w:cs="Times New Roman"/>
          <w:color w:val="002060"/>
          <w:sz w:val="24"/>
          <w:szCs w:val="24"/>
          <w:lang w:val="en-GB"/>
        </w:rPr>
        <w:t xml:space="preserve"> are very low, so we can suggest that transport firms have significantly lower ecological performance than non-transport firms.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246B4F5B" w:rsidR="00E7231B" w:rsidRDefault="00781CDC" w:rsidP="00781CDC">
      <w:pPr>
        <w:jc w:val="both"/>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We apply the methodology described in estimation of real performance for Hypotheses R1 paragraph and exploiting the same approach with</w:t>
      </w:r>
      <w:r w:rsidR="00E7231B" w:rsidRPr="002F3A21">
        <w:rPr>
          <w:rFonts w:ascii="Times New Roman" w:eastAsia="Times New Roman" w:hAnsi="Times New Roman" w:cs="Times New Roman"/>
          <w:color w:val="002060"/>
          <w:sz w:val="24"/>
          <w:szCs w:val="24"/>
          <w:lang w:val="en-GB"/>
        </w:rPr>
        <w:t xml:space="preserve"> Pearson correlation coefficients </w:t>
      </w:r>
      <w:r w:rsidRPr="002F3A21">
        <w:rPr>
          <w:rFonts w:ascii="Times New Roman" w:eastAsia="Times New Roman" w:hAnsi="Times New Roman" w:cs="Times New Roman"/>
          <w:color w:val="002060"/>
          <w:sz w:val="24"/>
          <w:szCs w:val="24"/>
          <w:lang w:val="en-GB"/>
        </w:rPr>
        <w:t>and</w:t>
      </w:r>
      <w:r w:rsidR="00E7231B" w:rsidRPr="002F3A21">
        <w:rPr>
          <w:rFonts w:ascii="Times New Roman" w:eastAsia="Times New Roman" w:hAnsi="Times New Roman" w:cs="Times New Roman"/>
          <w:color w:val="002060"/>
          <w:sz w:val="24"/>
          <w:szCs w:val="24"/>
          <w:lang w:val="en-GB"/>
        </w:rPr>
        <w:t xml:space="preserve"> their p-values, Spearman correlation coefficients and Kendal’s Tau</w:t>
      </w:r>
      <w:r w:rsidR="003D462E" w:rsidRPr="002F3A21">
        <w:rPr>
          <w:rFonts w:ascii="Times New Roman" w:eastAsia="Times New Roman" w:hAnsi="Times New Roman" w:cs="Times New Roman"/>
          <w:color w:val="002060"/>
          <w:sz w:val="24"/>
          <w:szCs w:val="24"/>
          <w:lang w:val="en-GB"/>
        </w:rPr>
        <w:t xml:space="preserve"> for our data</w:t>
      </w:r>
      <w:r w:rsidR="00E7231B" w:rsidRPr="002F3A21">
        <w:rPr>
          <w:rFonts w:ascii="Times New Roman" w:eastAsia="Times New Roman" w:hAnsi="Times New Roman" w:cs="Times New Roman"/>
          <w:color w:val="002060"/>
          <w:sz w:val="24"/>
          <w:szCs w:val="24"/>
          <w:lang w:val="en-GB"/>
        </w:rPr>
        <w:t>:</w:t>
      </w:r>
    </w:p>
    <w:p w14:paraId="43D02A0E" w14:textId="77777777" w:rsidR="002F3A21" w:rsidRPr="002F3A21" w:rsidRDefault="002F3A21" w:rsidP="00781CDC">
      <w:pPr>
        <w:jc w:val="both"/>
        <w:rPr>
          <w:rFonts w:ascii="Times New Roman" w:eastAsia="Times New Roman" w:hAnsi="Times New Roman" w:cs="Times New Roman"/>
          <w:color w:val="002060"/>
          <w:sz w:val="24"/>
          <w:szCs w:val="24"/>
          <w:lang w:val="en-GB"/>
        </w:rPr>
      </w:pPr>
    </w:p>
    <w:tbl>
      <w:tblPr>
        <w:tblStyle w:val="a4"/>
        <w:tblW w:w="0" w:type="auto"/>
        <w:tblLook w:val="04A0" w:firstRow="1" w:lastRow="0" w:firstColumn="1" w:lastColumn="0" w:noHBand="0" w:noVBand="1"/>
      </w:tblPr>
      <w:tblGrid>
        <w:gridCol w:w="1337"/>
        <w:gridCol w:w="1516"/>
        <w:gridCol w:w="1552"/>
        <w:gridCol w:w="1464"/>
        <w:gridCol w:w="1866"/>
        <w:gridCol w:w="1615"/>
      </w:tblGrid>
      <w:tr w:rsidR="00716F86" w:rsidRPr="002319FE" w14:paraId="32DEF993" w14:textId="77777777" w:rsidTr="004C58B3">
        <w:tc>
          <w:tcPr>
            <w:tcW w:w="1337" w:type="dxa"/>
          </w:tcPr>
          <w:p w14:paraId="0BE7F764" w14:textId="77777777" w:rsidR="000E5C80" w:rsidRPr="002319FE" w:rsidRDefault="000E5C80" w:rsidP="00E7231B">
            <w:pPr>
              <w:pStyle w:val="a3"/>
              <w:jc w:val="both"/>
              <w:rPr>
                <w:color w:val="002060"/>
                <w:lang w:val="en-GB"/>
              </w:rPr>
            </w:pPr>
          </w:p>
        </w:tc>
        <w:tc>
          <w:tcPr>
            <w:tcW w:w="1516" w:type="dxa"/>
          </w:tcPr>
          <w:p w14:paraId="5D0A7D29" w14:textId="4871E541" w:rsidR="000E5C80" w:rsidRPr="002319FE" w:rsidRDefault="00C329D0" w:rsidP="00E7231B">
            <w:pPr>
              <w:pStyle w:val="a3"/>
              <w:jc w:val="both"/>
              <w:rPr>
                <w:color w:val="002060"/>
                <w:lang w:val="en-GB"/>
              </w:rPr>
            </w:pPr>
            <w:r>
              <w:rPr>
                <w:color w:val="002060"/>
                <w:lang w:val="en-GB"/>
              </w:rPr>
              <w:t>Profit</w:t>
            </w:r>
            <w:r w:rsidR="000E5C80" w:rsidRPr="002319FE">
              <w:rPr>
                <w:color w:val="002060"/>
                <w:lang w:val="en-GB"/>
              </w:rPr>
              <w:t> </w:t>
            </w:r>
          </w:p>
        </w:tc>
        <w:tc>
          <w:tcPr>
            <w:tcW w:w="1552" w:type="dxa"/>
          </w:tcPr>
          <w:p w14:paraId="767072D2" w14:textId="78D72E6F" w:rsidR="000E5C80" w:rsidRPr="002319FE" w:rsidRDefault="00C329D0" w:rsidP="00E7231B">
            <w:pPr>
              <w:pStyle w:val="a3"/>
              <w:jc w:val="both"/>
              <w:rPr>
                <w:color w:val="002060"/>
                <w:lang w:val="en-GB"/>
              </w:rPr>
            </w:pPr>
            <w:r>
              <w:rPr>
                <w:color w:val="002060"/>
                <w:lang w:val="en-GB"/>
              </w:rPr>
              <w:t>ROA</w:t>
            </w:r>
          </w:p>
        </w:tc>
        <w:tc>
          <w:tcPr>
            <w:tcW w:w="1464"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866" w:type="dxa"/>
          </w:tcPr>
          <w:p w14:paraId="22A50374" w14:textId="4A059432" w:rsidR="000E5C80" w:rsidRPr="002319FE" w:rsidRDefault="00C329D0" w:rsidP="00E7231B">
            <w:pPr>
              <w:pStyle w:val="a3"/>
              <w:jc w:val="both"/>
              <w:rPr>
                <w:color w:val="002060"/>
                <w:lang w:val="en-GB"/>
              </w:rPr>
            </w:pPr>
            <w:r>
              <w:rPr>
                <w:color w:val="002060"/>
                <w:lang w:val="en-GB"/>
              </w:rPr>
              <w:t>EPS</w:t>
            </w:r>
          </w:p>
        </w:tc>
        <w:tc>
          <w:tcPr>
            <w:tcW w:w="1615" w:type="dxa"/>
          </w:tcPr>
          <w:p w14:paraId="2F824006" w14:textId="53131123" w:rsidR="000E5C80" w:rsidRPr="002319FE" w:rsidRDefault="000E5C80" w:rsidP="00C329D0">
            <w:pPr>
              <w:pStyle w:val="a3"/>
              <w:jc w:val="both"/>
              <w:rPr>
                <w:color w:val="002060"/>
                <w:lang w:val="en-GB"/>
              </w:rPr>
            </w:pPr>
            <w:r w:rsidRPr="002319FE">
              <w:rPr>
                <w:color w:val="002060"/>
                <w:lang w:val="en-GB"/>
              </w:rPr>
              <w:t>Rate</w:t>
            </w:r>
          </w:p>
        </w:tc>
      </w:tr>
      <w:tr w:rsidR="00716F86" w:rsidRPr="002319FE" w14:paraId="761141D5" w14:textId="77777777" w:rsidTr="004C58B3">
        <w:tc>
          <w:tcPr>
            <w:tcW w:w="1337"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16" w:type="dxa"/>
          </w:tcPr>
          <w:p w14:paraId="7B02AF33" w14:textId="175B731D"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.313253</w:t>
            </w:r>
          </w:p>
        </w:tc>
        <w:tc>
          <w:tcPr>
            <w:tcW w:w="1552" w:type="dxa"/>
          </w:tcPr>
          <w:p w14:paraId="31083243" w14:textId="79EBF678" w:rsidR="000E5C80" w:rsidRPr="002319FE" w:rsidRDefault="000E5C80" w:rsidP="00716F86">
            <w:pPr>
              <w:pStyle w:val="a3"/>
              <w:jc w:val="both"/>
              <w:rPr>
                <w:color w:val="002060"/>
                <w:lang w:val="en-GB"/>
              </w:rPr>
            </w:pPr>
            <w:r w:rsidRPr="002319FE">
              <w:rPr>
                <w:color w:val="002060"/>
                <w:lang w:val="en-GB"/>
              </w:rPr>
              <w:t>0.274114</w:t>
            </w:r>
          </w:p>
        </w:tc>
        <w:tc>
          <w:tcPr>
            <w:tcW w:w="1464" w:type="dxa"/>
          </w:tcPr>
          <w:p w14:paraId="227CFC33" w14:textId="012EBF90" w:rsidR="000E5C80" w:rsidRPr="002319FE" w:rsidRDefault="000E5C80" w:rsidP="00716F86">
            <w:pPr>
              <w:pStyle w:val="a3"/>
              <w:jc w:val="both"/>
              <w:rPr>
                <w:color w:val="002060"/>
                <w:lang w:val="en-GB"/>
              </w:rPr>
            </w:pPr>
            <w:r w:rsidRPr="002319FE">
              <w:rPr>
                <w:color w:val="002060"/>
                <w:lang w:val="en-GB"/>
              </w:rPr>
              <w:t>0.313253</w:t>
            </w:r>
          </w:p>
        </w:tc>
        <w:tc>
          <w:tcPr>
            <w:tcW w:w="1866" w:type="dxa"/>
          </w:tcPr>
          <w:p w14:paraId="2FE3EB6C" w14:textId="6F3C0430" w:rsidR="000E5C80" w:rsidRPr="002319FE" w:rsidRDefault="000E5C80" w:rsidP="00716F86">
            <w:pPr>
              <w:pStyle w:val="a3"/>
              <w:jc w:val="both"/>
              <w:rPr>
                <w:color w:val="002060"/>
                <w:lang w:val="en-GB"/>
              </w:rPr>
            </w:pPr>
            <w:r w:rsidRPr="002319FE">
              <w:rPr>
                <w:color w:val="002060"/>
                <w:lang w:val="en-GB"/>
              </w:rPr>
              <w:t>0.2813134</w:t>
            </w:r>
          </w:p>
        </w:tc>
        <w:tc>
          <w:tcPr>
            <w:tcW w:w="1615" w:type="dxa"/>
          </w:tcPr>
          <w:p w14:paraId="55CB5F3B" w14:textId="7269860A"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.282349</w:t>
            </w:r>
          </w:p>
        </w:tc>
      </w:tr>
      <w:tr w:rsidR="00716F86" w:rsidRPr="002319FE" w14:paraId="0BF69724" w14:textId="77777777" w:rsidTr="004C58B3">
        <w:tc>
          <w:tcPr>
            <w:tcW w:w="1337"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16" w:type="dxa"/>
          </w:tcPr>
          <w:p w14:paraId="12F1241F" w14:textId="41873908" w:rsidR="000E5C80" w:rsidRPr="002319FE" w:rsidRDefault="000E5C80" w:rsidP="00716F86">
            <w:pPr>
              <w:pStyle w:val="a3"/>
              <w:jc w:val="both"/>
              <w:rPr>
                <w:color w:val="002060"/>
                <w:lang w:val="en-GB"/>
              </w:rPr>
            </w:pPr>
            <w:r w:rsidRPr="002319FE">
              <w:rPr>
                <w:color w:val="002060"/>
                <w:lang w:val="en-GB"/>
              </w:rPr>
              <w:t>0.343914 </w:t>
            </w:r>
          </w:p>
        </w:tc>
        <w:tc>
          <w:tcPr>
            <w:tcW w:w="1552" w:type="dxa"/>
          </w:tcPr>
          <w:p w14:paraId="4803858A" w14:textId="697DD2CC" w:rsidR="000E5C80" w:rsidRPr="002319FE" w:rsidRDefault="000E5C80" w:rsidP="00716F86">
            <w:pPr>
              <w:pStyle w:val="a3"/>
              <w:jc w:val="both"/>
              <w:rPr>
                <w:color w:val="002060"/>
                <w:lang w:val="en-GB"/>
              </w:rPr>
            </w:pPr>
            <w:r w:rsidRPr="002319FE">
              <w:rPr>
                <w:color w:val="002060"/>
                <w:lang w:val="en-GB"/>
              </w:rPr>
              <w:t>0.308546</w:t>
            </w:r>
          </w:p>
        </w:tc>
        <w:tc>
          <w:tcPr>
            <w:tcW w:w="1464" w:type="dxa"/>
          </w:tcPr>
          <w:p w14:paraId="4A26D586" w14:textId="6D7B3D0D" w:rsidR="000E5C80" w:rsidRPr="002319FE" w:rsidRDefault="000E5C80" w:rsidP="00716F86">
            <w:pPr>
              <w:pStyle w:val="a3"/>
              <w:jc w:val="both"/>
              <w:rPr>
                <w:color w:val="002060"/>
                <w:lang w:val="en-GB"/>
              </w:rPr>
            </w:pPr>
            <w:r w:rsidRPr="002319FE">
              <w:rPr>
                <w:color w:val="002060"/>
                <w:lang w:val="en-GB"/>
              </w:rPr>
              <w:t>0.308546</w:t>
            </w:r>
          </w:p>
        </w:tc>
        <w:tc>
          <w:tcPr>
            <w:tcW w:w="1866" w:type="dxa"/>
          </w:tcPr>
          <w:p w14:paraId="4EDA6014" w14:textId="7988712C" w:rsidR="000E5C80" w:rsidRPr="002319FE" w:rsidRDefault="000E5C80" w:rsidP="00716F86">
            <w:pPr>
              <w:pStyle w:val="a3"/>
              <w:jc w:val="both"/>
              <w:rPr>
                <w:color w:val="002060"/>
                <w:lang w:val="en-GB"/>
              </w:rPr>
            </w:pPr>
            <w:r w:rsidRPr="002319FE">
              <w:rPr>
                <w:color w:val="002060"/>
                <w:lang w:val="en-GB"/>
              </w:rPr>
              <w:t>0.344184</w:t>
            </w:r>
          </w:p>
        </w:tc>
        <w:tc>
          <w:tcPr>
            <w:tcW w:w="1615" w:type="dxa"/>
          </w:tcPr>
          <w:p w14:paraId="2AA4B669" w14:textId="63D13116" w:rsidR="000E5C80" w:rsidRPr="002319FE" w:rsidRDefault="000E5C80" w:rsidP="00716F86">
            <w:pPr>
              <w:pStyle w:val="a3"/>
              <w:jc w:val="both"/>
              <w:rPr>
                <w:color w:val="002060"/>
                <w:lang w:val="en-GB"/>
              </w:rPr>
            </w:pPr>
            <w:r w:rsidRPr="002319FE">
              <w:rPr>
                <w:color w:val="002060"/>
                <w:lang w:val="en-GB"/>
              </w:rPr>
              <w:t>0.329625</w:t>
            </w:r>
          </w:p>
        </w:tc>
      </w:tr>
      <w:tr w:rsidR="00716F86" w:rsidRPr="002319FE" w14:paraId="6FDC71E5" w14:textId="77777777" w:rsidTr="004C58B3">
        <w:tc>
          <w:tcPr>
            <w:tcW w:w="1337"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16" w:type="dxa"/>
          </w:tcPr>
          <w:p w14:paraId="3A87A9D4" w14:textId="1E248B30" w:rsidR="000E5C80" w:rsidRPr="002319FE" w:rsidRDefault="000E5C80" w:rsidP="00716F86">
            <w:pPr>
              <w:pStyle w:val="a3"/>
              <w:jc w:val="both"/>
              <w:rPr>
                <w:color w:val="002060"/>
                <w:lang w:val="en-GB"/>
              </w:rPr>
            </w:pPr>
            <w:r w:rsidRPr="002319FE">
              <w:rPr>
                <w:color w:val="002060"/>
                <w:lang w:val="en-GB"/>
              </w:rPr>
              <w:t>6.615563e-05</w:t>
            </w:r>
          </w:p>
        </w:tc>
        <w:tc>
          <w:tcPr>
            <w:tcW w:w="1552" w:type="dxa"/>
          </w:tcPr>
          <w:p w14:paraId="018B0176" w14:textId="18ABB7BC" w:rsidR="000E5C80" w:rsidRPr="002319FE" w:rsidRDefault="000E5C80" w:rsidP="00716F86">
            <w:pPr>
              <w:pStyle w:val="a3"/>
              <w:jc w:val="both"/>
              <w:rPr>
                <w:color w:val="002060"/>
                <w:lang w:val="en-GB"/>
              </w:rPr>
            </w:pPr>
            <w:r w:rsidRPr="002319FE">
              <w:rPr>
                <w:color w:val="002060"/>
                <w:lang w:val="en-GB"/>
              </w:rPr>
              <w:t>0.000748</w:t>
            </w:r>
          </w:p>
        </w:tc>
        <w:tc>
          <w:tcPr>
            <w:tcW w:w="1464" w:type="dxa"/>
          </w:tcPr>
          <w:p w14:paraId="4CC3BE5E" w14:textId="419342FF" w:rsidR="000E5C80" w:rsidRPr="002319FE" w:rsidRDefault="000E5C80" w:rsidP="004C58B3">
            <w:pPr>
              <w:pStyle w:val="a3"/>
              <w:jc w:val="both"/>
              <w:rPr>
                <w:color w:val="002060"/>
                <w:lang w:val="en-GB"/>
              </w:rPr>
            </w:pPr>
            <w:r w:rsidRPr="002319FE">
              <w:rPr>
                <w:color w:val="002060"/>
                <w:lang w:val="en-GB"/>
              </w:rPr>
              <w:t>0.00010</w:t>
            </w:r>
            <w:r w:rsidR="004C58B3">
              <w:rPr>
                <w:color w:val="002060"/>
                <w:lang w:val="en-GB"/>
              </w:rPr>
              <w:t>6</w:t>
            </w:r>
          </w:p>
        </w:tc>
        <w:tc>
          <w:tcPr>
            <w:tcW w:w="1866" w:type="dxa"/>
          </w:tcPr>
          <w:p w14:paraId="0C6B0654" w14:textId="32B3437F" w:rsidR="000E5C80" w:rsidRPr="002319FE" w:rsidRDefault="000E5C80" w:rsidP="00716F86">
            <w:pPr>
              <w:pStyle w:val="a3"/>
              <w:jc w:val="both"/>
              <w:rPr>
                <w:color w:val="002060"/>
                <w:lang w:val="en-GB"/>
              </w:rPr>
            </w:pPr>
            <w:r w:rsidRPr="002319FE">
              <w:rPr>
                <w:color w:val="002060"/>
                <w:lang w:val="en-GB"/>
              </w:rPr>
              <w:t>0.000533 </w:t>
            </w:r>
          </w:p>
        </w:tc>
        <w:tc>
          <w:tcPr>
            <w:tcW w:w="1615" w:type="dxa"/>
          </w:tcPr>
          <w:p w14:paraId="00DE6BDB" w14:textId="18D3FC9C" w:rsidR="000E5C80" w:rsidRPr="002319FE" w:rsidRDefault="000E5C80" w:rsidP="00716F86">
            <w:pPr>
              <w:pStyle w:val="a3"/>
              <w:jc w:val="both"/>
              <w:rPr>
                <w:color w:val="002060"/>
                <w:lang w:val="en-GB"/>
              </w:rPr>
            </w:pPr>
            <w:r w:rsidRPr="002319FE">
              <w:rPr>
                <w:color w:val="002060"/>
                <w:lang w:val="en-GB"/>
              </w:rPr>
              <w:t>0.000507</w:t>
            </w:r>
          </w:p>
        </w:tc>
      </w:tr>
    </w:tbl>
    <w:p w14:paraId="6D70D23B" w14:textId="70C0E77E" w:rsidR="002F3A21" w:rsidRPr="002319FE" w:rsidRDefault="002F3A21" w:rsidP="002F3A21">
      <w:pPr>
        <w:rPr>
          <w:color w:val="002060"/>
        </w:rPr>
      </w:pPr>
      <w:r>
        <w:rPr>
          <w:color w:val="002060"/>
        </w:rPr>
        <w:t xml:space="preserve">Table 9. Correlation coefficients of Subjective </w:t>
      </w:r>
      <w:proofErr w:type="gramStart"/>
      <w:r>
        <w:rPr>
          <w:color w:val="002060"/>
        </w:rPr>
        <w:t>vs</w:t>
      </w:r>
      <w:proofErr w:type="gramEnd"/>
      <w:r>
        <w:rPr>
          <w:color w:val="002060"/>
        </w:rPr>
        <w:t xml:space="preserve"> Objective (calculated with our methodology) financial performances</w:t>
      </w:r>
    </w:p>
    <w:p w14:paraId="09466C16" w14:textId="3D87B5FC" w:rsidR="00E7231B" w:rsidRPr="002319FE" w:rsidRDefault="002F3A21" w:rsidP="00E7231B">
      <w:pPr>
        <w:pStyle w:val="a3"/>
        <w:jc w:val="both"/>
        <w:rPr>
          <w:color w:val="002060"/>
          <w:lang w:val="en-GB"/>
        </w:rPr>
      </w:pPr>
      <w:r>
        <w:rPr>
          <w:color w:val="002060"/>
          <w:lang w:val="en-GB"/>
        </w:rPr>
        <w:t>W</w:t>
      </w:r>
      <w:r w:rsidR="00E7231B" w:rsidRPr="002319FE">
        <w:rPr>
          <w:color w:val="002060"/>
          <w:lang w:val="en-GB"/>
        </w:rPr>
        <w:t xml:space="preserve">e can </w:t>
      </w:r>
      <w:r w:rsidR="00716F86">
        <w:rPr>
          <w:color w:val="002060"/>
          <w:lang w:val="en-GB"/>
        </w:rPr>
        <w:t>observe</w:t>
      </w:r>
      <w:r>
        <w:rPr>
          <w:color w:val="002060"/>
          <w:lang w:val="en-GB"/>
        </w:rPr>
        <w:t xml:space="preserve"> from these data</w:t>
      </w:r>
      <w:r w:rsidR="00E7231B" w:rsidRPr="002319FE">
        <w:rPr>
          <w:color w:val="002060"/>
          <w:lang w:val="en-GB"/>
        </w:rPr>
        <w:t xml:space="preserv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00E7231B" w:rsidRPr="002319FE">
        <w:rPr>
          <w:color w:val="002060"/>
          <w:lang w:val="en-GB"/>
        </w:rPr>
        <w:t xml:space="preserve"> of their businesses.</w:t>
      </w:r>
    </w:p>
    <w:p w14:paraId="2F2B677B" w14:textId="30A7377E" w:rsidR="003D462E" w:rsidRPr="002F3A21" w:rsidRDefault="00781CDC" w:rsidP="003D462E">
      <w:pPr>
        <w:spacing w:after="0" w:line="240" w:lineRule="auto"/>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Therefore, we can conclude that personal estimations are</w:t>
      </w:r>
      <w:r w:rsidR="003D462E" w:rsidRPr="002F3A21">
        <w:rPr>
          <w:rFonts w:ascii="Times New Roman" w:eastAsia="Times New Roman" w:hAnsi="Times New Roman" w:cs="Times New Roman"/>
          <w:color w:val="002060"/>
          <w:sz w:val="24"/>
          <w:szCs w:val="24"/>
          <w:lang w:val="en-GB"/>
        </w:rPr>
        <w:t xml:space="preserve"> </w:t>
      </w:r>
      <w:r w:rsidRPr="002F3A21">
        <w:rPr>
          <w:rFonts w:ascii="Times New Roman" w:eastAsia="Times New Roman" w:hAnsi="Times New Roman" w:cs="Times New Roman"/>
          <w:color w:val="002060"/>
          <w:sz w:val="24"/>
          <w:szCs w:val="24"/>
          <w:lang w:val="en-GB"/>
        </w:rPr>
        <w:t>re</w:t>
      </w:r>
      <w:r w:rsidR="003D462E" w:rsidRPr="002F3A21">
        <w:rPr>
          <w:rFonts w:ascii="Times New Roman" w:eastAsia="Times New Roman" w:hAnsi="Times New Roman" w:cs="Times New Roman"/>
          <w:color w:val="002060"/>
          <w:sz w:val="24"/>
          <w:szCs w:val="24"/>
          <w:lang w:val="en-GB"/>
        </w:rPr>
        <w:t>levant with real financial data, i.e. if business really goes good, managers estimate them good overall, if goes bad – they estimate it as bad.</w:t>
      </w: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6E901CB" w14:textId="2C85C57A" w:rsidR="007C6A6A" w:rsidRPr="00A0130F" w:rsidRDefault="00537FEE" w:rsidP="007C6A6A">
      <w:pPr>
        <w:pStyle w:val="2"/>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Adim Chidiebere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Marano Valentina, Tashman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1"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2"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Amankwah, J.; Sesen, H. On the Relation between Green Entrepreneurship Intention and Behavior. Sustainability 2021, 13, 7474. </w:t>
      </w:r>
      <w:hyperlink r:id="rId13"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Stefan, and Paul Lanoie.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Ana Maria Gomez-Trujillo, Juan Velez-Ocampo,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4"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María Fernández,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Cheramie Lance, Balasubramanian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5"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1" w:name="_Hlk176244974"/>
      <w:proofErr w:type="spellStart"/>
      <w:r w:rsidRPr="005F68CE">
        <w:rPr>
          <w:rFonts w:ascii="Times New Roman" w:hAnsi="Times New Roman" w:cs="Times New Roman"/>
          <w:sz w:val="24"/>
          <w:szCs w:val="24"/>
        </w:rPr>
        <w:t>Chygryn</w:t>
      </w:r>
      <w:bookmarkEnd w:id="1"/>
      <w:proofErr w:type="spellEnd"/>
      <w:r w:rsidRPr="005F68CE">
        <w:rPr>
          <w:rFonts w:ascii="Times New Roman" w:hAnsi="Times New Roman" w:cs="Times New Roman"/>
          <w:sz w:val="24"/>
          <w:szCs w:val="24"/>
        </w:rPr>
        <w:t xml:space="preserve">, O., Bilan,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6"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Costache, C.; Dumitrascu, D.-D.; Maniu, I. Facilitators of and Barriers to Sustainable Development in Small and Medium-Sized Enterprises: A Descriptive Exploratory Study in Romania. Sustainability 2021, 13, 3213. </w:t>
      </w:r>
      <w:hyperlink r:id="rId17"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P.; Radu,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Flexibility and Resilience in Corporate Decision Making: A New Sustainability-Based Risk Management System in Uncertain Times; Global Journal of Flexible Systems Management (December 2021) 22(Suppl 2):S107–S132 </w:t>
      </w:r>
      <w:hyperlink r:id="rId18"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9"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Ballester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20"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Grennan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1"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Grigore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2"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3"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Mateus Jerónimo⁎, Paulo Lopes Henriques, Teresa Correia de Lacerda, Filipa Pires da Silva, Pedro Rino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4"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6A12A6" w:rsidP="005F68CE">
      <w:pPr>
        <w:pStyle w:val="a6"/>
        <w:jc w:val="both"/>
        <w:rPr>
          <w:rFonts w:ascii="Times New Roman" w:hAnsi="Times New Roman" w:cs="Times New Roman"/>
          <w:sz w:val="24"/>
          <w:szCs w:val="24"/>
        </w:rPr>
      </w:pPr>
      <w:hyperlink r:id="rId25"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6"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7"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8"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1"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Broccardo, Adrian Zicari, SUSTAINABILITY AS A DRIVER FOR VALUE CREATION: A BUSINESS MODEL ANALYSIS OF SMALL AND MEDIUM ENTREPRISES IN THE ITALIAN WINE SECTOR, : </w:t>
      </w:r>
      <w:hyperlink r:id="rId32"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Int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Geng,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3"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Impact of green entrepreneurship orientation on environmental performance: The natural resource-based view and environmental policy perspective, Bus Strat Env.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 xml:space="preserve">Maniu, I.; Costache,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4"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Sáez-Martínez,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Menne, F.; Surya, B.; Yusuf, M.; Suriani, S.; Ruslan,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Meuer, J., Koelbel, J, Hoffmann, V. 2019 On the Nature of Corporate Sustainability. Organization &amp; Environment, </w:t>
      </w:r>
      <w:hyperlink r:id="rId35"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6C55A9">
      <w:pPr>
        <w:pStyle w:val="a6"/>
        <w:numPr>
          <w:ilvl w:val="0"/>
          <w:numId w:val="2"/>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6" w:history="1">
        <w:r w:rsidRPr="00C324E5">
          <w:t>https://www.listafirme.ro</w:t>
        </w:r>
      </w:hyperlink>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Mohd Helmi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Rehman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Soomro, Internal green integration and environmental performance: The predictive power of proactive environmental strategy, greening the supplier, and environmental collaboration with the supplier; Bus Strat Env.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7"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8"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9"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Nicolau, C.; Nichifor, E.; Munteanu,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V.; György,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Nunes, M.; Abreu, A.; Saraiva, C. Identifying Project Corporate Behavioral Risks to Support Long-Term Sustainable Cooperative Partnerships. Sustainability 2021, 13, 6347. </w:t>
      </w:r>
      <w:hyperlink r:id="rId40"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41"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Navickas,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Galaz Victor, Boonstra Wieber, 2024, Sustainability transformations: a resilience perspective. Ecology and Society 19 (4):1. </w:t>
      </w:r>
      <w:hyperlink r:id="rId42"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Patrik Söderholm, The green economy transition: the challenges of technological change for sustainability; Söderholm Sustainable Earth (2020) 3:6 </w:t>
      </w:r>
      <w:hyperlink r:id="rId43"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4"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Marimuthu,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S.; Paraman, P.; Hoo,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Peters Kristian, Buijs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Lovrich Jr. N. P., Resilience and sustainability in US Urban Areas, Environmental Politics, Volume 20, 2011- Issue 4, </w:t>
      </w:r>
      <w:hyperlink r:id="rId45"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6"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Rosário, A.T.; Raimundo, R.J.; Cruz, S.P. Sustainable Entrepreneurship: A Literature Review. Sustainability 2022, 14, 5556. </w:t>
      </w:r>
      <w:hyperlink r:id="rId47"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Adomako,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Env. 2021;30:422–431.; </w:t>
      </w:r>
      <w:hyperlink r:id="rId48"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Manag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9"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Sitnikov,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Militaru, C.C., Olaru (Staicu), M.P., &amp; Riza, I. (2021). The Corporate Social Responsibility System Practiced by Romanian Companies. Postmodern Openings, 12(1Sup1), 113- 135. </w:t>
      </w:r>
      <w:hyperlink r:id="rId50"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Kyriakopoulos,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Ciubotariu Marius-Sorin, Mihaila Svetlana, Arion Iulia-Diana, Grosu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Constanța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Stoica Dragos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Env.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Mehmood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Ullah, Tomiwa Sunday, Adebayo, Linking Green Human Resource Practices and Environmental Economics Performance: The Role of Green Economic Organizational Culture and Green Psychological Climate, </w:t>
      </w:r>
      <w:hyperlink r:id="rId51"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2"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Hiep Phuoc Minh, Dai Nguyen Quang, Duc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Tőkés Gyöngyvér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3"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4"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5"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6"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Suciu, T.; Anton, C.E.; Albu,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0FDC9E3C" w:rsidR="005F68CE" w:rsidRPr="00C324E5"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Zhong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A4E"/>
    <w:multiLevelType w:val="hybridMultilevel"/>
    <w:tmpl w:val="B1F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FD30D8"/>
    <w:multiLevelType w:val="hybridMultilevel"/>
    <w:tmpl w:val="1C02C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BB78DC"/>
    <w:multiLevelType w:val="hybridMultilevel"/>
    <w:tmpl w:val="A94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D794E"/>
    <w:multiLevelType w:val="hybridMultilevel"/>
    <w:tmpl w:val="0A8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D555A"/>
    <w:multiLevelType w:val="hybridMultilevel"/>
    <w:tmpl w:val="32D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7"/>
  </w:num>
  <w:num w:numId="5">
    <w:abstractNumId w:val="1"/>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70261"/>
    <w:rsid w:val="000751A7"/>
    <w:rsid w:val="00096A68"/>
    <w:rsid w:val="000A0B67"/>
    <w:rsid w:val="000B3706"/>
    <w:rsid w:val="000B682A"/>
    <w:rsid w:val="000C7160"/>
    <w:rsid w:val="000E5C80"/>
    <w:rsid w:val="0010419F"/>
    <w:rsid w:val="00170D79"/>
    <w:rsid w:val="001831C7"/>
    <w:rsid w:val="001A145F"/>
    <w:rsid w:val="001A3058"/>
    <w:rsid w:val="001A60BE"/>
    <w:rsid w:val="001C53C2"/>
    <w:rsid w:val="001D1712"/>
    <w:rsid w:val="001E298D"/>
    <w:rsid w:val="001E519A"/>
    <w:rsid w:val="00203B5F"/>
    <w:rsid w:val="002319FE"/>
    <w:rsid w:val="002370CA"/>
    <w:rsid w:val="002457A2"/>
    <w:rsid w:val="00282967"/>
    <w:rsid w:val="002B04FE"/>
    <w:rsid w:val="002B3DDA"/>
    <w:rsid w:val="002B6AE1"/>
    <w:rsid w:val="002E048A"/>
    <w:rsid w:val="002E2260"/>
    <w:rsid w:val="002F3A21"/>
    <w:rsid w:val="00341899"/>
    <w:rsid w:val="00351109"/>
    <w:rsid w:val="00366BFC"/>
    <w:rsid w:val="00370A0E"/>
    <w:rsid w:val="0037148D"/>
    <w:rsid w:val="00396B99"/>
    <w:rsid w:val="003D462E"/>
    <w:rsid w:val="003D6388"/>
    <w:rsid w:val="003E6047"/>
    <w:rsid w:val="00401CED"/>
    <w:rsid w:val="00451ECB"/>
    <w:rsid w:val="00483418"/>
    <w:rsid w:val="00495D83"/>
    <w:rsid w:val="004C58B3"/>
    <w:rsid w:val="004D2041"/>
    <w:rsid w:val="004F35D5"/>
    <w:rsid w:val="004F7599"/>
    <w:rsid w:val="00524201"/>
    <w:rsid w:val="00535A1F"/>
    <w:rsid w:val="00537FEE"/>
    <w:rsid w:val="00552256"/>
    <w:rsid w:val="005F68CE"/>
    <w:rsid w:val="0061011D"/>
    <w:rsid w:val="00615CC9"/>
    <w:rsid w:val="0063477F"/>
    <w:rsid w:val="00641BCF"/>
    <w:rsid w:val="00655D6E"/>
    <w:rsid w:val="0066475D"/>
    <w:rsid w:val="006A12A6"/>
    <w:rsid w:val="006C1FBD"/>
    <w:rsid w:val="006C55A9"/>
    <w:rsid w:val="006C7A4A"/>
    <w:rsid w:val="00707DAD"/>
    <w:rsid w:val="00716F86"/>
    <w:rsid w:val="0073400F"/>
    <w:rsid w:val="007448E4"/>
    <w:rsid w:val="00751111"/>
    <w:rsid w:val="00771FA2"/>
    <w:rsid w:val="0077738B"/>
    <w:rsid w:val="00781CDC"/>
    <w:rsid w:val="007829F0"/>
    <w:rsid w:val="007C6A6A"/>
    <w:rsid w:val="00856A8E"/>
    <w:rsid w:val="0087268C"/>
    <w:rsid w:val="00873329"/>
    <w:rsid w:val="00892F80"/>
    <w:rsid w:val="008A46F9"/>
    <w:rsid w:val="008D6709"/>
    <w:rsid w:val="008E4462"/>
    <w:rsid w:val="00914812"/>
    <w:rsid w:val="00943874"/>
    <w:rsid w:val="00950F1D"/>
    <w:rsid w:val="009567D9"/>
    <w:rsid w:val="00977125"/>
    <w:rsid w:val="009D7C86"/>
    <w:rsid w:val="009F7617"/>
    <w:rsid w:val="00A0130F"/>
    <w:rsid w:val="00A03D1D"/>
    <w:rsid w:val="00A14C79"/>
    <w:rsid w:val="00A24D87"/>
    <w:rsid w:val="00A80C1E"/>
    <w:rsid w:val="00A9067B"/>
    <w:rsid w:val="00A93CF3"/>
    <w:rsid w:val="00AE3E97"/>
    <w:rsid w:val="00B1358A"/>
    <w:rsid w:val="00B553AC"/>
    <w:rsid w:val="00B7165F"/>
    <w:rsid w:val="00BB2038"/>
    <w:rsid w:val="00BB6BF8"/>
    <w:rsid w:val="00BD1E2A"/>
    <w:rsid w:val="00BE1402"/>
    <w:rsid w:val="00BE6556"/>
    <w:rsid w:val="00BF615B"/>
    <w:rsid w:val="00C20863"/>
    <w:rsid w:val="00C3214F"/>
    <w:rsid w:val="00C324E5"/>
    <w:rsid w:val="00C3282C"/>
    <w:rsid w:val="00C329D0"/>
    <w:rsid w:val="00C841B7"/>
    <w:rsid w:val="00CD1327"/>
    <w:rsid w:val="00CE59D8"/>
    <w:rsid w:val="00D263DD"/>
    <w:rsid w:val="00D75627"/>
    <w:rsid w:val="00DA65E3"/>
    <w:rsid w:val="00DA7C50"/>
    <w:rsid w:val="00DB0626"/>
    <w:rsid w:val="00E46FA1"/>
    <w:rsid w:val="00E51882"/>
    <w:rsid w:val="00E52D5B"/>
    <w:rsid w:val="00E61422"/>
    <w:rsid w:val="00E7231B"/>
    <w:rsid w:val="00E83FB8"/>
    <w:rsid w:val="00E9513D"/>
    <w:rsid w:val="00FA2A29"/>
    <w:rsid w:val="00FC379F"/>
    <w:rsid w:val="00FF1951"/>
    <w:rsid w:val="00FF5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3137474" TargetMode="External"/><Relationship Id="rId18" Type="http://schemas.openxmlformats.org/officeDocument/2006/relationships/hyperlink" Target="https://doi.org/10.1007/s40171-021-00277-7" TargetMode="External"/><Relationship Id="rId26" Type="http://schemas.openxmlformats.org/officeDocument/2006/relationships/hyperlink" Target="https://doi.org/10.5755/j01.ee.23.2.1546" TargetMode="External"/><Relationship Id="rId39" Type="http://schemas.openxmlformats.org/officeDocument/2006/relationships/hyperlink" Target="https://doi.org/10.1016/j.jclepro.2022.134317" TargetMode="External"/><Relationship Id="rId21" Type="http://schemas.openxmlformats.org/officeDocument/2006/relationships/hyperlink" Target="https://doi.org/10.1016/j.jfineco.2022.07.008" TargetMode="External"/><Relationship Id="rId34" Type="http://schemas.openxmlformats.org/officeDocument/2006/relationships/hyperlink" Target="https://doi.org/10.3390/su13094968" TargetMode="External"/><Relationship Id="rId42" Type="http://schemas.openxmlformats.org/officeDocument/2006/relationships/hyperlink" Target="http://dx.doi.org/10.5751/ES-06799-190401" TargetMode="External"/><Relationship Id="rId47" Type="http://schemas.openxmlformats.org/officeDocument/2006/relationships/hyperlink" Target="https://doi.org/10.3390/su14095556" TargetMode="External"/><Relationship Id="rId50" Type="http://schemas.openxmlformats.org/officeDocument/2006/relationships/hyperlink" Target="https://doi.org/10.18662/po/12.1Sup1/274" TargetMode="External"/><Relationship Id="rId55" Type="http://schemas.openxmlformats.org/officeDocument/2006/relationships/hyperlink" Target="https://doi.org/10.1007/s11365-021-00757-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1272/mmi.2020.3-26" TargetMode="External"/><Relationship Id="rId29" Type="http://schemas.openxmlformats.org/officeDocument/2006/relationships/hyperlink" Target="https://1710yok58-y-https-www-emerald-com.z.e-nformation.ro/insight/search?q=Laura%20Orobia" TargetMode="External"/><Relationship Id="rId11" Type="http://schemas.openxmlformats.org/officeDocument/2006/relationships/hyperlink" Target="https://1710aok1s-y-https-www-sciencedirect-com.z.e-nformation.ro/journal/ecological-economics/vol/152/suppl/C" TargetMode="External"/><Relationship Id="rId24" Type="http://schemas.openxmlformats.org/officeDocument/2006/relationships/hyperlink" Target="https://doi.org/10.1016/j.jbusres.2019.11.036" TargetMode="External"/><Relationship Id="rId32" Type="http://schemas.openxmlformats.org/officeDocument/2006/relationships/hyperlink" Target="https://www.sciencedirect.com/science/article/pii/S0959652620308994" TargetMode="External"/><Relationship Id="rId37" Type="http://schemas.openxmlformats.org/officeDocument/2006/relationships/hyperlink" Target="https://www.sciencedirect.com/journal/journal-of-cleaner-production" TargetMode="External"/><Relationship Id="rId40" Type="http://schemas.openxmlformats.org/officeDocument/2006/relationships/hyperlink" Target="https://doi.org/10.3390/su13116347" TargetMode="External"/><Relationship Id="rId45" Type="http://schemas.openxmlformats.org/officeDocument/2006/relationships/hyperlink" Target="https://doi.org/10.1080/09644016.2011.589580" TargetMode="External"/><Relationship Id="rId53" Type="http://schemas.openxmlformats.org/officeDocument/2006/relationships/hyperlink" Target="https://doi.org/10.1186/s13731-020-00125-5" TargetMode="External"/><Relationship Id="rId58" Type="http://schemas.openxmlformats.org/officeDocument/2006/relationships/theme" Target="theme/theme1.xml"/><Relationship Id="rId5" Type="http://schemas.openxmlformats.org/officeDocument/2006/relationships/chart" Target="charts/chart1.xml"/><Relationship Id="rId19" Type="http://schemas.openxmlformats.org/officeDocument/2006/relationships/hyperlink" Target="https://www.eea.europa.eu/en/topics/in-depth/climate-change-mitigation-reducing-emission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5755/j01.ee.31.1.20743" TargetMode="External"/><Relationship Id="rId22" Type="http://schemas.openxmlformats.org/officeDocument/2006/relationships/hyperlink" Target="https://doi.org/10.1007/s10551-021-04926-w" TargetMode="External"/><Relationship Id="rId27" Type="http://schemas.openxmlformats.org/officeDocument/2006/relationships/hyperlink" Target="https://doi.org/10.1016/j.socec.2020.101522" TargetMode="External"/><Relationship Id="rId30" Type="http://schemas.openxmlformats.org/officeDocument/2006/relationships/hyperlink" Target="https://1710yok58-y-https-www-emerald-com.z.e-nformation.ro/insight/search?q=Humphrey%20Muki%20Sabi" TargetMode="External"/><Relationship Id="rId35" Type="http://schemas.openxmlformats.org/officeDocument/2006/relationships/hyperlink" Target="https://doi.org/10.1177/1086026619850180" TargetMode="External"/><Relationship Id="rId43" Type="http://schemas.openxmlformats.org/officeDocument/2006/relationships/hyperlink" Target="https://doi.org/10.1186/s42055-020-00029-y" TargetMode="External"/><Relationship Id="rId48" Type="http://schemas.openxmlformats.org/officeDocument/2006/relationships/hyperlink" Target="https://doi.org/10.1002/bse.2629" TargetMode="External"/><Relationship Id="rId56" Type="http://schemas.openxmlformats.org/officeDocument/2006/relationships/hyperlink" Target="https://doi.org/10.1016/j.spc.2020.12.031" TargetMode="External"/><Relationship Id="rId8" Type="http://schemas.openxmlformats.org/officeDocument/2006/relationships/image" Target="media/image1.jpeg"/><Relationship Id="rId51" Type="http://schemas.openxmlformats.org/officeDocument/2006/relationships/hyperlink" Target="https://doi.org/10.3390/ijerph182010953" TargetMode="External"/><Relationship Id="rId3" Type="http://schemas.openxmlformats.org/officeDocument/2006/relationships/settings" Target="settings.xml"/><Relationship Id="rId12" Type="http://schemas.openxmlformats.org/officeDocument/2006/relationships/hyperlink" Target="https://1710aok1s-y-https-doi-org.z.e-nformation.ro/10.1016/j.ecolecon.2018.06.012" TargetMode="External"/><Relationship Id="rId17" Type="http://schemas.openxmlformats.org/officeDocument/2006/relationships/hyperlink" Target="https://doi.org/10.3390/su13063213" TargetMode="External"/><Relationship Id="rId25" Type="http://schemas.openxmlformats.org/officeDocument/2006/relationships/hyperlink" Target="https://doi.org/10.1002/bse.2881" TargetMode="External"/><Relationship Id="rId33" Type="http://schemas.openxmlformats.org/officeDocument/2006/relationships/hyperlink" Target="https://doi.org/10.1007/s10668-023-03632-z" TargetMode="External"/><Relationship Id="rId38" Type="http://schemas.openxmlformats.org/officeDocument/2006/relationships/hyperlink" Target="https://www.sciencedirect.com/journal/journal-of-cleaner-production/vol/377/suppl/C" TargetMode="External"/><Relationship Id="rId46" Type="http://schemas.openxmlformats.org/officeDocument/2006/relationships/hyperlink" Target="https://doi.org/10.3390/su8121224" TargetMode="External"/><Relationship Id="rId20" Type="http://schemas.openxmlformats.org/officeDocument/2006/relationships/hyperlink" Target="https://doi.org/10.1007/s11365-020-00711-9" TargetMode="External"/><Relationship Id="rId41" Type="http://schemas.openxmlformats.org/officeDocument/2006/relationships/hyperlink" Target="https://doi.org/10.9770/jesi.2020.7.4(33)" TargetMode="External"/><Relationship Id="rId54" Type="http://schemas.openxmlformats.org/officeDocument/2006/relationships/hyperlink" Target="https://doi.org/10.1007/s10668-021-01649-w" TargetMode="Externa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6156681" TargetMode="External"/><Relationship Id="rId23" Type="http://schemas.openxmlformats.org/officeDocument/2006/relationships/hyperlink" Target="https://doi.org/10.1007/s10551-014-2056-4" TargetMode="External"/><Relationship Id="rId28" Type="http://schemas.openxmlformats.org/officeDocument/2006/relationships/hyperlink" Target="https://1710yok58-y-https-www-emerald-com.z.e-nformation.ro/insight/search?q=Saadat%20Nakyejwe%20Lubowa%20Kimuli" TargetMode="External"/><Relationship Id="rId36" Type="http://schemas.openxmlformats.org/officeDocument/2006/relationships/hyperlink" Target="https://www.listafirme.ro" TargetMode="External"/><Relationship Id="rId49" Type="http://schemas.openxmlformats.org/officeDocument/2006/relationships/hyperlink" Target="https://doi.org/10.1016/j.techfore.2019.119762"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1710yok58-y-https-www-emerald-com.z.e-nformation.ro/insight/search?q=Clive%20Katiba%20Tsuma" TargetMode="External"/><Relationship Id="rId44" Type="http://schemas.openxmlformats.org/officeDocument/2006/relationships/hyperlink" Target="https://doi.org/10.1007/s40821-017-0073-9" TargetMode="External"/><Relationship Id="rId52"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BuisnessAlgo\AlexKopitsa-Data_analysis-main\AlexKopitsa-Data_analysis-main\Data_questionaire_finance_tracksye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ru-RU"/>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TracsYears!$AS$2:$AS$83</cx:f>
        <cx:lvl ptCount="82" formatCode="General">
          <cx:pt idx="0">2013.25</cx:pt>
          <cx:pt idx="1">2011.375</cx:pt>
          <cx:pt idx="2">2015.9285714285713</cx:pt>
          <cx:pt idx="3">2014</cx:pt>
          <cx:pt idx="4">2018</cx:pt>
          <cx:pt idx="5">2017</cx:pt>
          <cx:pt idx="6">2016</cx:pt>
          <cx:pt idx="7">2016</cx:pt>
          <cx:pt idx="8">2013.5</cx:pt>
          <cx:pt idx="9">2006.6666666666667</cx:pt>
          <cx:pt idx="10">2014.7692307692307</cx:pt>
          <cx:pt idx="11">2010.6666666666667</cx:pt>
          <cx:pt idx="12">2007.6666666666667</cx:pt>
          <cx:pt idx="13">2013.7142857142858</cx:pt>
          <cx:pt idx="14">2016</cx:pt>
          <cx:pt idx="15">2018</cx:pt>
          <cx:pt idx="16">2008</cx:pt>
          <cx:pt idx="17">2016.7</cx:pt>
          <cx:pt idx="18">2020.5</cx:pt>
          <cx:pt idx="19">2019</cx:pt>
          <cx:pt idx="20">2016.5</cx:pt>
          <cx:pt idx="21">2016.5</cx:pt>
          <cx:pt idx="22">2013</cx:pt>
          <cx:pt idx="23">2008</cx:pt>
          <cx:pt idx="24">2014.75</cx:pt>
          <cx:pt idx="25">2012</cx:pt>
          <cx:pt idx="26">2011</cx:pt>
          <cx:pt idx="27">2009.6666666666667</cx:pt>
          <cx:pt idx="28">2019.9545454545455</cx:pt>
          <cx:pt idx="29">2021.4000000000001</cx:pt>
          <cx:pt idx="30">2019.3333333333333</cx:pt>
          <cx:pt idx="31">2017.5</cx:pt>
          <cx:pt idx="32">2008</cx:pt>
          <cx:pt idx="33">2010</cx:pt>
          <cx:pt idx="34">2018.5</cx:pt>
          <cx:pt idx="35">2016.5</cx:pt>
          <cx:pt idx="36">2017</cx:pt>
          <cx:pt idx="37">2011</cx:pt>
          <cx:pt idx="38">2017</cx:pt>
          <cx:pt idx="39">2018</cx:pt>
          <cx:pt idx="40">2018.5</cx:pt>
          <cx:pt idx="41">2013.3333333333333</cx:pt>
          <cx:pt idx="42">2016</cx:pt>
          <cx:pt idx="43">2010.5</cx:pt>
          <cx:pt idx="44">2017</cx:pt>
          <cx:pt idx="45">2015.6428571428571</cx:pt>
          <cx:pt idx="46">2017.5</cx:pt>
          <cx:pt idx="47">2010.6666666666667</cx:pt>
          <cx:pt idx="48">2018.6666666666667</cx:pt>
          <cx:pt idx="49">2018</cx:pt>
          <cx:pt idx="50">2019.5</cx:pt>
          <cx:pt idx="51">2020.5</cx:pt>
          <cx:pt idx="52">2016.5</cx:pt>
          <cx:pt idx="53">2019.5</cx:pt>
          <cx:pt idx="54">2018.5</cx:pt>
          <cx:pt idx="55">2020</cx:pt>
          <cx:pt idx="56">2020.5</cx:pt>
          <cx:pt idx="57">2016.5</cx:pt>
          <cx:pt idx="58">2016.5</cx:pt>
          <cx:pt idx="59">2017</cx:pt>
          <cx:pt idx="60">2011</cx:pt>
          <cx:pt idx="61">2012.5</cx:pt>
          <cx:pt idx="62">2003</cx:pt>
          <cx:pt idx="63">2018.5</cx:pt>
          <cx:pt idx="64">2018.5</cx:pt>
          <cx:pt idx="65">2007.3333333333333</cx:pt>
          <cx:pt idx="66">2013.6666666666667</cx:pt>
          <cx:pt idx="67">2016</cx:pt>
          <cx:pt idx="68">2017</cx:pt>
          <cx:pt idx="69">2018.5</cx:pt>
          <cx:pt idx="70">2016</cx:pt>
          <cx:pt idx="71">2018</cx:pt>
          <cx:pt idx="72">2018</cx:pt>
          <cx:pt idx="73">2019</cx:pt>
          <cx:pt idx="74">2013.0434782608695</cx:pt>
          <cx:pt idx="75">2016</cx:pt>
          <cx:pt idx="76">2017.5</cx:pt>
          <cx:pt idx="77">2012.5</cx:pt>
          <cx:pt idx="78">2016</cx:pt>
          <cx:pt idx="79">2016.5</cx:pt>
          <cx:pt idx="80">2013</cx:pt>
          <cx:pt idx="81">2016</cx:pt>
        </cx:lvl>
      </cx:numDim>
    </cx:data>
  </cx:chartData>
  <cx:chart>
    <cx:title pos="t" align="ctr" overlay="0">
      <cx:tx>
        <cx:rich>
          <a:bodyPr spcFirstLastPara="1" vertOverflow="ellipsis" wrap="square" lIns="0" tIns="0" rIns="0" bIns="0" anchor="ctr" anchorCtr="1"/>
          <a:lstStyle/>
          <a:p>
            <a:pPr algn="ctr">
              <a:defRPr/>
            </a:pPr>
            <a:r>
              <a:rPr lang="en-US"/>
              <a:t>Histrogram of average ages for the questioned companies tracks</a:t>
            </a:r>
          </a:p>
        </cx:rich>
      </cx:tx>
    </cx:title>
    <cx:plotArea>
      <cx:plotAreaRegion>
        <cx:series layoutId="clusteredColumn" uniqueId="{DFBEF52C-AAFA-4663-8492-6F143FCA4AA4}">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28</Pages>
  <Words>11802</Words>
  <Characters>67273</Characters>
  <Application>Microsoft Office Word</Application>
  <DocSecurity>0</DocSecurity>
  <Lines>560</Lines>
  <Paragraphs>157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Я</cp:lastModifiedBy>
  <cp:revision>32</cp:revision>
  <dcterms:created xsi:type="dcterms:W3CDTF">2024-11-03T09:03:00Z</dcterms:created>
  <dcterms:modified xsi:type="dcterms:W3CDTF">2024-11-06T11:15:00Z</dcterms:modified>
</cp:coreProperties>
</file>