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30D7" w:rsidRDefault="002B30D7">
      <w:pPr>
        <w:spacing w:before="2000"/>
      </w:pPr>
    </w:p>
    <w:p w:rsidR="002B30D7" w:rsidRDefault="00DB11F3">
      <w:pPr>
        <w:spacing w:after="200"/>
        <w:jc w:val="center"/>
      </w:pPr>
      <w:r>
        <w:rPr>
          <w:b/>
          <w:color w:val="1A5276"/>
          <w:sz w:val="72"/>
        </w:rPr>
        <w:t>CASSA DALILA</w:t>
      </w:r>
    </w:p>
    <w:p w:rsidR="002B30D7" w:rsidRDefault="00DB11F3">
      <w:pPr>
        <w:spacing w:after="600"/>
        <w:jc w:val="center"/>
      </w:pPr>
      <w:r>
        <w:rPr>
          <w:i/>
          <w:color w:val="666666"/>
          <w:sz w:val="36"/>
        </w:rPr>
        <w:t>Changelog e note di rilascio</w:t>
      </w:r>
    </w:p>
    <w:p w:rsidR="002B30D7" w:rsidRDefault="00DB11F3">
      <w:pPr>
        <w:pBdr>
          <w:bottom w:val="single" w:sz="8" w:space="1" w:color="D97706"/>
        </w:pBdr>
        <w:spacing w:after="600"/>
        <w:jc w:val="center"/>
      </w:pPr>
      <w:r>
        <w:rPr>
          <w:sz w:val="24"/>
          <w:szCs w:val="24"/>
        </w:rPr>
        <w:t xml:space="preserve"> </w:t>
      </w:r>
    </w:p>
    <w:p w:rsidR="002B30D7" w:rsidRDefault="00DB11F3">
      <w:pPr>
        <w:spacing w:before="600" w:after="120"/>
        <w:jc w:val="center"/>
      </w:pPr>
      <w:r>
        <w:rPr>
          <w:b/>
          <w:color w:val="1A5276"/>
          <w:sz w:val="36"/>
        </w:rPr>
        <w:t>NOVITÀ DA MAGGIO 2026</w:t>
      </w:r>
    </w:p>
    <w:p w:rsidR="002B30D7" w:rsidRDefault="00DB11F3">
      <w:pPr>
        <w:spacing w:after="2000"/>
        <w:jc w:val="center"/>
      </w:pPr>
      <w:r>
        <w:rPr>
          <w:color w:val="666666"/>
          <w:sz w:val="24"/>
        </w:rPr>
        <w:t>Aggiornamenti dalla versione 1.3 alla 1.4</w:t>
      </w:r>
    </w:p>
    <w:p w:rsidR="002B30D7" w:rsidRDefault="00DB11F3">
      <w:pPr>
        <w:spacing w:after="120"/>
        <w:jc w:val="center"/>
      </w:pPr>
      <w:r>
        <w:rPr>
          <w:color w:val="666666"/>
        </w:rPr>
        <w:t>Maggio 2026</w:t>
      </w:r>
    </w:p>
    <w:p w:rsidR="002B30D7" w:rsidRDefault="00DB11F3">
      <w:r>
        <w:br w:type="page"/>
      </w:r>
    </w:p>
    <w:p w:rsidR="002B30D7" w:rsidRDefault="002B30D7">
      <w:pPr>
        <w:sectPr w:rsidR="002B30D7">
          <w:headerReference w:type="default" r:id="rId11"/>
          <w:footerReference w:type="default" r:id="rId12"/>
          <w:headerReference w:type="even" r:id="rId13"/>
          <w:footerReference w:type="even" r:id="rId14"/>
          <w:headerReference w:type="first" r:id="rId15"/>
          <w:footerReference w:type="first" r:id="rId16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2B30D7" w:rsidRDefault="00DB11F3">
      <w:pPr>
        <w:pStyle w:val="Heading10"/>
      </w:pPr>
      <w:r>
        <w:t>1. Nuovi metodi di pagamento</w:t>
      </w:r>
    </w:p>
    <w:p w:rsidR="002B30D7" w:rsidRDefault="00DB11F3">
      <w:pPr>
        <w:pStyle w:val="Heading20"/>
        <w:pBdr>
          <w:bottom w:val="single" w:sz="4" w:space="4" w:color="D97706"/>
        </w:pBdr>
      </w:pPr>
      <w:r>
        <w:t>Satispay</w:t>
      </w:r>
    </w:p>
    <w:p w:rsidR="002B30D7" w:rsidRDefault="00DB11F3">
      <w:pPr>
        <w:spacing w:after="120"/>
      </w:pPr>
      <w:r>
        <w:t>È stato aggiunto Satispay come metodo di pagamento, accanto a Contanti, Carta e Omaggio.</w:t>
      </w:r>
    </w:p>
    <w:p w:rsidR="002B30D7" w:rsidRDefault="00DB11F3">
      <w:pPr>
        <w:pStyle w:val="Paragrafoelenco"/>
        <w:numPr>
          <w:ilvl w:val="0"/>
          <w:numId w:val="2"/>
        </w:numPr>
        <w:spacing w:before="40" w:after="40"/>
      </w:pPr>
      <w:r>
        <w:t>Selezionabile nel pannello di pagamento come gli altri metodi</w:t>
      </w:r>
    </w:p>
    <w:p w:rsidR="002B30D7" w:rsidRDefault="00DB11F3">
      <w:pPr>
        <w:pStyle w:val="Paragrafoelenco"/>
        <w:numPr>
          <w:ilvl w:val="0"/>
          <w:numId w:val="2"/>
        </w:numPr>
        <w:spacing w:before="40" w:after="40"/>
      </w:pPr>
      <w:r>
        <w:t>Tracciato separatamente nelle statistiche e nel report di chiusura</w:t>
      </w:r>
    </w:p>
    <w:p w:rsidR="002B30D7" w:rsidRDefault="00DB11F3">
      <w:pPr>
        <w:pStyle w:val="Paragrafoelenco"/>
        <w:numPr>
          <w:ilvl w:val="0"/>
          <w:numId w:val="2"/>
        </w:numPr>
        <w:spacing w:before="40" w:after="40"/>
      </w:pPr>
      <w:r>
        <w:t>Incluso nell'incasso reale (soldi fisicamente ricevuti)</w:t>
      </w:r>
    </w:p>
    <w:p w:rsidR="002B30D7" w:rsidRDefault="00DB11F3">
      <w:pPr>
        <w:pStyle w:val="Heading20"/>
        <w:pBdr>
          <w:bottom w:val="single" w:sz="4" w:space="4" w:color="D97706"/>
        </w:pBdr>
      </w:pPr>
      <w:r>
        <w:t>Buono Volontario</w:t>
      </w:r>
    </w:p>
    <w:p w:rsidR="002B30D7" w:rsidRDefault="00DB11F3">
      <w:pPr>
        <w:spacing w:after="120"/>
      </w:pPr>
      <w:r>
        <w:t>I volontari possono ora pagare con un buono consumazione precaricato. Vedi sezione dedicata.</w:t>
      </w:r>
    </w:p>
    <w:p w:rsidR="002B30D7" w:rsidRDefault="00DB11F3">
      <w:r>
        <w:br w:type="page"/>
      </w:r>
    </w:p>
    <w:p w:rsidR="002B30D7" w:rsidRDefault="00DB11F3">
      <w:pPr>
        <w:pStyle w:val="Heading10"/>
      </w:pPr>
      <w:r>
        <w:t>2. Metodo di pagamento obbligatorio</w:t>
      </w:r>
    </w:p>
    <w:p w:rsidR="002B30D7" w:rsidRDefault="00DB11F3">
      <w:pPr>
        <w:spacing w:after="120"/>
      </w:pPr>
      <w:r>
        <w:t>In precedenza era possibile completare uno scontrino senza selezionare un metodo di pagamento.</w:t>
      </w:r>
    </w:p>
    <w:p w:rsidR="002B30D7" w:rsidRDefault="00DB11F3">
      <w:pPr>
        <w:spacing w:after="120"/>
      </w:pPr>
      <w:r>
        <w:t>Ora il metodo è obbligatorio: il pulsante Conferma rimane disattivato finché non se ne sceglie uno. Questo garantisce che il riepilogo di fine serata sia sempre accurato.</w:t>
      </w:r>
    </w:p>
    <w:p w:rsidR="002B30D7" w:rsidRDefault="00DB11F3">
      <w:r>
        <w:br w:type="page"/>
      </w:r>
    </w:p>
    <w:p w:rsidR="002B30D7" w:rsidRDefault="00DB11F3">
      <w:pPr>
        <w:pStyle w:val="Heading10"/>
      </w:pPr>
      <w:r>
        <w:t>3. Gestione Buoni Volontari</w:t>
      </w:r>
    </w:p>
    <w:p w:rsidR="002B30D7" w:rsidRDefault="00DB11F3">
      <w:pPr>
        <w:pStyle w:val="Heading20"/>
        <w:pBdr>
          <w:bottom w:val="single" w:sz="4" w:space="4" w:color="D97706"/>
        </w:pBdr>
      </w:pPr>
      <w:r>
        <w:t>Configurazione</w:t>
      </w:r>
    </w:p>
    <w:p w:rsidR="002B30D7" w:rsidRDefault="00DB11F3">
      <w:pPr>
        <w:spacing w:after="120"/>
      </w:pPr>
      <w:r>
        <w:t>In Setup → Volontari è possibile creare l'elenco dei volontari con il valore del loro buono consumazione (es. € 5,00).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Vai su Setup → Volontari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Clicca + Nuovo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Inserisci nome, cognome, valore del buono ed eventuali note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Salva</w:t>
      </w:r>
    </w:p>
    <w:p w:rsidR="002B30D7" w:rsidRDefault="00DB11F3">
      <w:pPr>
        <w:pStyle w:val="Heading20"/>
        <w:pBdr>
          <w:bottom w:val="single" w:sz="4" w:space="4" w:color="D97706"/>
        </w:pBdr>
      </w:pPr>
      <w:r>
        <w:t>Utilizzo alla cassa</w:t>
      </w:r>
    </w:p>
    <w:p w:rsidR="002B30D7" w:rsidRDefault="00DB11F3">
      <w:pPr>
        <w:spacing w:after="120"/>
      </w:pPr>
      <w:r>
        <w:t>Nel piede dello scontrino compare la sezione Buono Volontario: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Seleziona il volontario dal menu a tendina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Il sistema mostra il saldo residuo del buono per la sessione corrente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Inserisci l'importo da scalare dal buono</w:t>
      </w:r>
    </w:p>
    <w:p w:rsidR="002B30D7" w:rsidRDefault="00DB11F3">
      <w:pPr>
        <w:pStyle w:val="Paragrafoelenco"/>
        <w:numPr>
          <w:ilvl w:val="0"/>
          <w:numId w:val="3"/>
        </w:numPr>
        <w:spacing w:before="40" w:after="40"/>
      </w:pPr>
      <w:r>
        <w:t>Il totale da pagare si aggiorna in tempo reale</w:t>
      </w:r>
    </w:p>
    <w:p w:rsidR="002B30D7" w:rsidRDefault="00DB11F3">
      <w:pPr>
        <w:pBdr>
          <w:left w:val="single" w:sz="12" w:space="8" w:color="16A34A"/>
        </w:pBdr>
        <w:shd w:val="clear" w:color="auto" w:fill="F0FDF4"/>
        <w:spacing w:before="100" w:after="100"/>
        <w:ind w:left="200"/>
      </w:pPr>
      <w:r>
        <w:rPr>
          <w:b/>
          <w:color w:val="16A34A"/>
        </w:rPr>
        <w:t xml:space="preserve">Suggerimento: </w:t>
      </w:r>
      <w:r>
        <w:t>Se il buono copre l'intero importo, il pagamento viene completato automaticamente. Se copre solo una parte, il residuo si paga con contanti, carta o Satispay.</w:t>
      </w:r>
    </w:p>
    <w:p w:rsidR="002B30D7" w:rsidRDefault="00DB11F3">
      <w:pPr>
        <w:pStyle w:val="Heading20"/>
        <w:pBdr>
          <w:bottom w:val="single" w:sz="4" w:space="4" w:color="D97706"/>
        </w:pBdr>
      </w:pPr>
      <w:r>
        <w:t>Azzeramento automatico</w:t>
      </w:r>
    </w:p>
    <w:p w:rsidR="002B30D7" w:rsidRDefault="00DB11F3">
      <w:pPr>
        <w:spacing w:after="120"/>
      </w:pPr>
      <w:r>
        <w:t>Il saldo del buono si azzera a ogni chiusura cassa. All'inizio di ogni nuova sessione i volontari ripartono con il buono pieno, indipendentemente dall'uso precedente.</w:t>
      </w:r>
    </w:p>
    <w:p w:rsidR="002B30D7" w:rsidRDefault="00DB11F3">
      <w:pPr>
        <w:pBdr>
          <w:left w:val="single" w:sz="12" w:space="8" w:color="D97706"/>
        </w:pBdr>
        <w:shd w:val="clear" w:color="auto" w:fill="FEF3C7"/>
        <w:spacing w:before="100" w:after="100"/>
        <w:ind w:left="200"/>
      </w:pPr>
      <w:r>
        <w:rPr>
          <w:b/>
          <w:color w:val="D97706"/>
        </w:rPr>
        <w:t xml:space="preserve">Nota: </w:t>
      </w:r>
      <w:r>
        <w:t>I buoni non si accumulano tra sessioni diverse e non sono trasferibili.</w:t>
      </w:r>
    </w:p>
    <w:p w:rsidR="002B30D7" w:rsidRDefault="00DB11F3">
      <w:r>
        <w:br w:type="page"/>
      </w:r>
    </w:p>
    <w:p w:rsidR="002B30D7" w:rsidRDefault="00DB11F3">
      <w:pPr>
        <w:pStyle w:val="Heading10"/>
      </w:pPr>
      <w:r>
        <w:t>4. Correzione contabile — Incasso reale vs Valore venduto</w:t>
      </w:r>
    </w:p>
    <w:p w:rsidR="002B30D7" w:rsidRDefault="00DB11F3">
      <w:pPr>
        <w:spacing w:after="120"/>
      </w:pPr>
      <w:r>
        <w:t>I buoni non sono soldi che entrano in cassa: rappresentano un costo per l'oratorio. La distinzione è ora esplicita in tutti i pannelli.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500"/>
        <w:gridCol w:w="5860"/>
      </w:tblGrid>
      <w:tr w:rsidR="002B30D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30D7" w:rsidRDefault="00DB11F3">
            <w:r>
              <w:rPr>
                <w:b/>
              </w:rPr>
              <w:t>Voce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30D7" w:rsidRDefault="00DB11F3">
            <w:r>
              <w:rPr>
                <w:b/>
              </w:rPr>
              <w:t>Cosa comprende</w:t>
            </w:r>
          </w:p>
        </w:tc>
      </w:tr>
      <w:tr>
        <w:tc>
          <w:tcPr>
            <w:tcW w:type="dxa" w:w="3500"/>
          </w:tcPr>
          <w:p>
            <w:r>
              <w:t>Incasso reale</w:t>
            </w:r>
          </w:p>
        </w:tc>
        <w:tc>
          <w:tcPr>
            <w:tcW w:type="dxa" w:w="5860"/>
          </w:tcPr>
          <w:p>
            <w:r>
              <w:t>Contanti + Carta + Satispay (soldi fisicamente incassati)</w:t>
            </w:r>
          </w:p>
        </w:tc>
      </w:tr>
      <w:tr>
        <w:tc>
          <w:tcPr>
            <w:tcW w:type="dxa" w:w="3500"/>
          </w:tcPr>
          <w:p>
            <w:r>
              <w:t>Buoni (costo oratorio)</w:t>
            </w:r>
          </w:p>
        </w:tc>
        <w:tc>
          <w:tcPr>
            <w:tcW w:type="dxa" w:w="5860"/>
          </w:tcPr>
          <w:p>
            <w:r>
              <w:t>Valore dei buoni usati — mostrato separatamente, non è un'entrata</w:t>
            </w:r>
          </w:p>
        </w:tc>
      </w:tr>
      <w:tr>
        <w:tc>
          <w:tcPr>
            <w:tcW w:type="dxa" w:w="3500"/>
          </w:tcPr>
          <w:p>
            <w:r>
              <w:t>Valore venduto totale</w:t>
            </w:r>
          </w:p>
        </w:tc>
        <w:tc>
          <w:tcPr>
            <w:tcW w:type="dxa" w:w="5860"/>
          </w:tcPr>
          <w:p>
            <w:r>
              <w:t>Incasso reale + Buoni + Omaggi (tutto ciò che è uscito dal banco)</w:t>
            </w:r>
          </w:p>
        </w:tc>
      </w:tr>
    </w:tbl>
    <w:p w:rsidR="002B30D7" w:rsidRDefault="00DB11F3">
      <w:pPr>
        <w:spacing w:after="120"/>
      </w:pPr>
      <w:r>
        <w:t>Questa distinzione appare in: anteprima chiusura cassa, Statistiche, Dashboard, report XLS.</w:t>
      </w:r>
    </w:p>
    <w:p w:rsidR="002B30D7" w:rsidRDefault="00DB11F3">
      <w:r>
        <w:br w:type="page"/>
      </w:r>
    </w:p>
    <w:p w:rsidR="002B30D7" w:rsidRDefault="00DB11F3">
      <w:pPr>
        <w:pStyle w:val="Heading10"/>
      </w:pPr>
      <w:r>
        <w:t>5. Piccoli miglioramenti</w:t>
      </w:r>
    </w:p>
    <w:p w:rsidR="002B30D7" w:rsidRDefault="00DB11F3">
      <w:pPr>
        <w:pStyle w:val="Heading20"/>
        <w:pBdr>
          <w:bottom w:val="single" w:sz="4" w:space="4" w:color="D97706"/>
        </w:pBdr>
      </w:pPr>
      <w:r>
        <w:t>Numero tavolo nello scontrino</w:t>
      </w:r>
    </w:p>
    <w:p w:rsidR="002B30D7" w:rsidRDefault="00DB11F3">
      <w:pPr>
        <w:spacing w:after="120"/>
      </w:pPr>
      <w:r>
        <w:t>È possibile assegnare un numero tavolo direttamente nello scontrino, cliccando il pulsante Tavolo nel piede.</w:t>
      </w:r>
    </w:p>
    <w:p w:rsidR="002B30D7" w:rsidRDefault="00DB11F3">
      <w:pPr>
        <w:pStyle w:val="Heading20"/>
        <w:pBdr>
          <w:bottom w:val="single" w:sz="4" w:space="4" w:color="D97706"/>
        </w:pBdr>
      </w:pPr>
      <w:r>
        <w:t>Modifica tipo di pagamento dallo Storico</w:t>
      </w:r>
    </w:p>
    <w:p w:rsidR="002B30D7" w:rsidRDefault="00DB11F3">
      <w:pPr>
        <w:spacing w:after="120"/>
      </w:pPr>
      <w:r>
        <w:t>Dallo storico scontrini è ora possibile correggere il metodo di pagamento di uno scontrino già emesso, senza stornarlo e rifarlo.</w:t>
      </w:r>
    </w:p>
    <w:p w:rsidR="002B30D7" w:rsidRDefault="00DB11F3">
      <w:pPr>
        <w:pStyle w:val="Heading20"/>
        <w:pBdr>
          <w:bottom w:val="single" w:sz="4" w:space="4" w:color="D97706"/>
        </w:pBdr>
      </w:pPr>
      <w:r>
        <w:t>Filtro per metodo di pagamento nelle Statistiche</w:t>
      </w:r>
    </w:p>
    <w:p w:rsidR="002B30D7" w:rsidRDefault="00DB11F3">
      <w:pPr>
        <w:spacing w:after="120"/>
      </w:pPr>
      <w:r>
        <w:t>In cima alla pagina Statistiche sono disponibili pulsanti rapidi per filtrare gli scontrini per tipo di pagamento: Tutti · Contanti · Carta · Satispay · Buono · Omaggio.</w:t>
      </w:r>
    </w:p>
    <w:p w:rsidR="002B30D7" w:rsidRDefault="00DB11F3">
      <w:pPr>
        <w:pStyle w:val="Heading20"/>
        <w:pBdr>
          <w:bottom w:val="single" w:sz="4" w:space="4" w:color="D97706"/>
        </w:pBdr>
      </w:pPr>
      <w:r>
        <w:t>Ordinamento volontari alfabetico</w:t>
      </w:r>
    </w:p>
    <w:p w:rsidR="002B30D7" w:rsidRDefault="00DB11F3">
      <w:pPr>
        <w:spacing w:after="120"/>
      </w:pPr>
      <w:r>
        <w:t>Il menu di selezione del volontario alla cassa mostra i nomi in ordine alfabetico.</w:t>
      </w:r>
    </w:p>
    <w:p w:rsidR="002B30D7" w:rsidRDefault="00DB11F3">
      <w:r>
        <w:br w:type="page"/>
      </w:r>
    </w:p>
    <w:p w:rsidR="002B30D7" w:rsidRDefault="00DB11F3">
      <w:pPr>
        <w:pStyle w:val="Heading10"/>
      </w:pPr>
      <w:r>
        <w:t>6. Report di chiusura migliorato</w:t>
      </w:r>
    </w:p>
    <w:p w:rsidR="002B30D7" w:rsidRDefault="00DB11F3">
      <w:pPr>
        <w:spacing w:after="120"/>
      </w:pPr>
      <w:r>
        <w:t>Il report di chiusura cassa è stato aggiornato. L'email ora include un allegato Excel (.xlsx) al posto del vecchio file CSV.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500"/>
        <w:gridCol w:w="5860"/>
      </w:tblGrid>
      <w:tr w:rsidR="002B30D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30D7" w:rsidRDefault="00DB11F3">
            <w:r>
              <w:rPr>
                <w:b/>
              </w:rPr>
              <w:t>Foglio XLS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B30D7" w:rsidRDefault="00DB11F3">
            <w:r>
              <w:rPr>
                <w:b/>
              </w:rPr>
              <w:t>Contenuto</w:t>
            </w:r>
          </w:p>
        </w:tc>
      </w:tr>
      <w:tr>
        <w:tc>
          <w:tcPr>
            <w:tcW w:type="dxa" w:w="3500"/>
          </w:tcPr>
          <w:p>
            <w:r>
              <w:t>Riepilogo</w:t>
            </w:r>
          </w:p>
        </w:tc>
        <w:tc>
          <w:tcPr>
            <w:tcW w:type="dxa" w:w="5860"/>
          </w:tcPr>
          <w:p>
            <w:r>
              <w:t>Incasso reale, buoni (costo), scontrini, media, contanti, carta, Satispay</w:t>
            </w:r>
          </w:p>
        </w:tc>
      </w:tr>
      <w:tr>
        <w:tc>
          <w:tcPr>
            <w:tcW w:type="dxa" w:w="3500"/>
          </w:tcPr>
          <w:p>
            <w:r>
              <w:t>Venduto</w:t>
            </w:r>
          </w:p>
        </w:tc>
        <w:tc>
          <w:tcPr>
            <w:tcW w:type="dxa" w:w="5860"/>
          </w:tcPr>
          <w:p>
            <w:r>
              <w:t>Quantità e valore per ogni prodotto, inclusi gli omaggi</w:t>
            </w:r>
          </w:p>
        </w:tc>
      </w:tr>
      <w:tr>
        <w:tc>
          <w:tcPr>
            <w:tcW w:type="dxa" w:w="3500"/>
          </w:tcPr>
          <w:p>
            <w:r>
              <w:t>Scontrini</w:t>
            </w:r>
          </w:p>
        </w:tc>
        <w:tc>
          <w:tcPr>
            <w:tcW w:type="dxa" w:w="5860"/>
          </w:tcPr>
          <w:p>
            <w:r>
              <w:t>Elenco completo con numero, data, lordo, buono, netto, pagamento, stato</w:t>
            </w:r>
          </w:p>
        </w:tc>
      </w:tr>
    </w:tbl>
    <w:p w:rsidR="002B30D7" w:rsidRDefault="00DB11F3">
      <w:pPr>
        <w:pBdr>
          <w:left w:val="single" w:sz="12" w:space="8" w:color="16A34A"/>
        </w:pBdr>
        <w:shd w:val="clear" w:color="auto" w:fill="F0FDF4"/>
        <w:spacing w:before="100" w:after="100"/>
        <w:ind w:left="200"/>
      </w:pPr>
      <w:r>
        <w:rPr>
          <w:b/>
          <w:color w:val="16A34A"/>
        </w:rPr>
        <w:t xml:space="preserve">Suggerimento: </w:t>
      </w:r>
      <w:r>
        <w:t>Il file XLS si apre direttamente con Excel o LibreOffice Calc senza conversioni.</w:t>
      </w:r>
    </w:p>
    <w:p w:rsidR="002B30D7" w:rsidRDefault="00DB11F3">
      <w:r>
        <w:br w:type="page"/>
      </w:r>
    </w:p>
    <w:p w:rsidR="002B30D7" w:rsidRDefault="00DB11F3">
      <w:pPr>
        <w:pStyle w:val="Heading10"/>
      </w:pPr>
      <w:r>
        <w:t>7. Riepilogo tecnico</w:t>
      </w:r>
    </w:p>
    <w:p w:rsidR="002B30D7" w:rsidRDefault="00DB11F3">
      <w:pPr>
        <w:spacing w:after="120"/>
      </w:pPr>
      <w:r>
        <w:t>Per chi gestisce l'installazione:</w:t>
      </w:r>
    </w:p>
    <w:p w:rsidR="002B30D7" w:rsidRDefault="00DB11F3">
      <w:pPr>
        <w:pStyle w:val="Paragrafoelenco"/>
        <w:numPr>
          <w:ilvl w:val="0"/>
          <w:numId w:val="2"/>
        </w:numPr>
        <w:spacing w:before="40" w:after="40"/>
      </w:pPr>
      <w:r>
        <w:t>Nuova collezione volontari nel database</w:t>
      </w:r>
    </w:p>
    <w:p w:rsidR="002B30D7" w:rsidRDefault="00DB11F3">
      <w:pPr>
        <w:pStyle w:val="Paragrafoelenco"/>
        <w:numPr>
          <w:ilvl w:val="0"/>
          <w:numId w:val="2"/>
        </w:numPr>
        <w:spacing w:before="40" w:after="40"/>
      </w:pPr>
      <w:r>
        <w:t>Nuova collezione sessioni_cassa per lo storico delle chiusure</w:t>
      </w:r>
    </w:p>
    <w:p w:rsidR="002B30D7" w:rsidRDefault="00DB11F3">
      <w:pPr>
        <w:pStyle w:val="Paragrafoelenco"/>
        <w:numPr>
          <w:ilvl w:val="0"/>
          <w:numId w:val="2"/>
        </w:numPr>
        <w:spacing w:before="40" w:after="40"/>
      </w:pPr>
      <w:r>
        <w:t>Nuovo campo tipo_pagamento: aggiunto il valore "satispay" e "buono"</w:t>
      </w:r>
    </w:p>
    <w:p w:rsidR="002B30D7" w:rsidRDefault="00DB11F3">
      <w:pPr>
        <w:pStyle w:val="Paragrafoelenco"/>
        <w:numPr>
          <w:ilvl w:val="0"/>
          <w:numId w:val="2"/>
        </w:numPr>
        <w:spacing w:before="40" w:after="40"/>
      </w:pPr>
      <w:r>
        <w:t>Hook server-side aggiornato: genera XLS invece di CSV, calcola venduto per prodotto</w:t>
      </w:r>
    </w:p>
    <w:p w:rsidR="002B30D7" w:rsidRDefault="00DB11F3">
      <w:pPr>
        <w:pStyle w:val="Paragrafoelenco"/>
        <w:numPr>
          <w:ilvl w:val="0"/>
          <w:numId w:val="2"/>
        </w:numPr>
        <w:spacing w:before="40" w:after="40"/>
      </w:pPr>
      <w:r>
        <w:t>Migration automatica: eseguita al primo avvio del server aggiornato</w:t>
      </w:r>
    </w:p>
    <w:p w:rsidR="002B30D7" w:rsidRDefault="00DB11F3">
      <w:pPr>
        <w:pBdr>
          <w:left w:val="single" w:sz="12" w:space="8" w:color="DC2626"/>
        </w:pBdr>
        <w:shd w:val="clear" w:color="auto" w:fill="FEF2F2"/>
        <w:spacing w:before="100" w:after="100"/>
        <w:ind w:left="200"/>
      </w:pPr>
      <w:r>
        <w:rPr>
          <w:b/>
          <w:color w:val="DC2626"/>
        </w:rPr>
        <w:t xml:space="preserve">Attenzione: </w:t>
      </w:r>
      <w:r>
        <w:t>Prima di aggiornare il server esegui sempre un backup della cartella app\pb_data\.</w:t>
      </w:r>
    </w:p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30D7" w:rsidRDefault="002B30D7" w:rsidP="002B30D7">
      <w:r>
        <w:separator/>
      </w:r>
    </w:p>
  </w:endnote>
  <w:endnote w:type="continuationSeparator" w:id="0">
    <w:p w:rsidR="002B30D7" w:rsidRDefault="002B30D7" w:rsidP="002B30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30D7" w:rsidRDefault="00DB11F3">
    <w:pPr>
      <w:pBdr>
        <w:top w:val="single" w:sz="4" w:space="4" w:color="CCCCCC"/>
      </w:pBdr>
    </w:pPr>
    <w:r>
      <w:rPr>
        <w:color w:val="666666"/>
        <w:sz w:val="18"/>
        <w:szCs w:val="18"/>
      </w:rPr>
      <w:t>Cassa Dalila  |  Manuale Utente  |  Versione 1.0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30D7" w:rsidRDefault="002B30D7" w:rsidP="002B30D7">
      <w:r>
        <w:separator/>
      </w:r>
    </w:p>
  </w:footnote>
  <w:footnote w:type="continuationSeparator" w:id="0">
    <w:p w:rsidR="002B30D7" w:rsidRDefault="002B30D7" w:rsidP="002B30D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30D7" w:rsidRDefault="00DB11F3">
    <w:pPr>
      <w:pBdr>
        <w:bottom w:val="single" w:sz="4" w:space="4" w:color="D97706"/>
      </w:pBdr>
    </w:pPr>
    <w:r>
      <w:rPr>
        <w:b/>
        <w:bCs/>
        <w:color w:val="1A5276"/>
        <w:sz w:val="18"/>
        <w:szCs w:val="18"/>
      </w:rPr>
      <w:t>CASSA DALILA</w:t>
    </w:r>
    <w:r>
      <w:rPr>
        <w:color w:val="666666"/>
        <w:sz w:val="18"/>
        <w:szCs w:val="18"/>
      </w:rPr>
      <w:t xml:space="preserve">  |  Manuale Utente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B83F60"/>
    <w:multiLevelType w:val="hybridMultilevel"/>
    <w:tmpl w:val="E96C9424"/>
    <w:lvl w:ilvl="0" w:tplc="D0109E66">
      <w:start w:val="1"/>
      <w:numFmt w:val="bullet"/>
      <w:lvlText w:val="•"/>
      <w:lvlJc w:val="left"/>
      <w:pPr>
        <w:ind w:left="600" w:hanging="300"/>
      </w:pPr>
    </w:lvl>
    <w:lvl w:ilvl="1" w:tplc="28C0BBFE">
      <w:numFmt w:val="decimal"/>
      <w:lvlText w:val=""/>
      <w:lvlJc w:val="left"/>
    </w:lvl>
    <w:lvl w:ilvl="2" w:tplc="AB64A454">
      <w:numFmt w:val="decimal"/>
      <w:lvlText w:val=""/>
      <w:lvlJc w:val="left"/>
    </w:lvl>
    <w:lvl w:ilvl="3" w:tplc="B5FABD08">
      <w:numFmt w:val="decimal"/>
      <w:lvlText w:val=""/>
      <w:lvlJc w:val="left"/>
    </w:lvl>
    <w:lvl w:ilvl="4" w:tplc="8D64BABA">
      <w:numFmt w:val="decimal"/>
      <w:lvlText w:val=""/>
      <w:lvlJc w:val="left"/>
    </w:lvl>
    <w:lvl w:ilvl="5" w:tplc="EF647A30">
      <w:numFmt w:val="decimal"/>
      <w:lvlText w:val=""/>
      <w:lvlJc w:val="left"/>
    </w:lvl>
    <w:lvl w:ilvl="6" w:tplc="FAB0C9AE">
      <w:numFmt w:val="decimal"/>
      <w:lvlText w:val=""/>
      <w:lvlJc w:val="left"/>
    </w:lvl>
    <w:lvl w:ilvl="7" w:tplc="B5367CBE">
      <w:numFmt w:val="decimal"/>
      <w:lvlText w:val=""/>
      <w:lvlJc w:val="left"/>
    </w:lvl>
    <w:lvl w:ilvl="8" w:tplc="E5940EE8">
      <w:numFmt w:val="decimal"/>
      <w:lvlText w:val=""/>
      <w:lvlJc w:val="left"/>
    </w:lvl>
  </w:abstractNum>
  <w:abstractNum w:abstractNumId="1">
    <w:nsid w:val="0A7436B6"/>
    <w:multiLevelType w:val="hybridMultilevel"/>
    <w:tmpl w:val="5AA610C8"/>
    <w:lvl w:ilvl="0" w:tplc="1B749E9A">
      <w:start w:val="1"/>
      <w:numFmt w:val="decimal"/>
      <w:lvlText w:val="%1."/>
      <w:lvlJc w:val="left"/>
      <w:pPr>
        <w:spacing w:before="60" w:after="60"/>
        <w:ind w:left="600" w:hanging="300"/>
      </w:pPr>
    </w:lvl>
    <w:lvl w:ilvl="1" w:tplc="12C2DB5A">
      <w:numFmt w:val="decimal"/>
      <w:lvlText w:val=""/>
      <w:lvlJc w:val="left"/>
    </w:lvl>
    <w:lvl w:ilvl="2" w:tplc="C554BC72">
      <w:numFmt w:val="decimal"/>
      <w:lvlText w:val=""/>
      <w:lvlJc w:val="left"/>
    </w:lvl>
    <w:lvl w:ilvl="3" w:tplc="1402D4B8">
      <w:numFmt w:val="decimal"/>
      <w:lvlText w:val=""/>
      <w:lvlJc w:val="left"/>
    </w:lvl>
    <w:lvl w:ilvl="4" w:tplc="4E965D0A">
      <w:numFmt w:val="decimal"/>
      <w:lvlText w:val=""/>
      <w:lvlJc w:val="left"/>
    </w:lvl>
    <w:lvl w:ilvl="5" w:tplc="9BA6A4A2">
      <w:numFmt w:val="decimal"/>
      <w:lvlText w:val=""/>
      <w:lvlJc w:val="left"/>
    </w:lvl>
    <w:lvl w:ilvl="6" w:tplc="5684A126">
      <w:numFmt w:val="decimal"/>
      <w:lvlText w:val=""/>
      <w:lvlJc w:val="left"/>
    </w:lvl>
    <w:lvl w:ilvl="7" w:tplc="D43EE2E4">
      <w:numFmt w:val="decimal"/>
      <w:lvlText w:val=""/>
      <w:lvlJc w:val="left"/>
    </w:lvl>
    <w:lvl w:ilvl="8" w:tplc="EAC65622">
      <w:numFmt w:val="decimal"/>
      <w:lvlText w:val=""/>
      <w:lvlJc w:val="left"/>
    </w:lvl>
  </w:abstractNum>
  <w:abstractNum w:abstractNumId="2">
    <w:nsid w:val="51AE4835"/>
    <w:multiLevelType w:val="hybridMultilevel"/>
    <w:tmpl w:val="B038D34E"/>
    <w:lvl w:ilvl="0" w:tplc="F6F83970">
      <w:start w:val="1"/>
      <w:numFmt w:val="bullet"/>
      <w:lvlText w:val="●"/>
      <w:lvlJc w:val="left"/>
      <w:pPr>
        <w:ind w:left="720" w:hanging="360"/>
      </w:pPr>
    </w:lvl>
    <w:lvl w:ilvl="1" w:tplc="EB12BE0A">
      <w:start w:val="1"/>
      <w:numFmt w:val="bullet"/>
      <w:lvlText w:val="○"/>
      <w:lvlJc w:val="left"/>
      <w:pPr>
        <w:ind w:left="1440" w:hanging="360"/>
      </w:pPr>
    </w:lvl>
    <w:lvl w:ilvl="2" w:tplc="0CCAE73E">
      <w:start w:val="1"/>
      <w:numFmt w:val="bullet"/>
      <w:lvlText w:val="■"/>
      <w:lvlJc w:val="left"/>
      <w:pPr>
        <w:ind w:left="2160" w:hanging="360"/>
      </w:pPr>
    </w:lvl>
    <w:lvl w:ilvl="3" w:tplc="BCB4CE72">
      <w:start w:val="1"/>
      <w:numFmt w:val="bullet"/>
      <w:lvlText w:val="●"/>
      <w:lvlJc w:val="left"/>
      <w:pPr>
        <w:ind w:left="2880" w:hanging="360"/>
      </w:pPr>
    </w:lvl>
    <w:lvl w:ilvl="4" w:tplc="77406D4C">
      <w:start w:val="1"/>
      <w:numFmt w:val="bullet"/>
      <w:lvlText w:val="○"/>
      <w:lvlJc w:val="left"/>
      <w:pPr>
        <w:ind w:left="3600" w:hanging="360"/>
      </w:pPr>
    </w:lvl>
    <w:lvl w:ilvl="5" w:tplc="8A80D756">
      <w:start w:val="1"/>
      <w:numFmt w:val="bullet"/>
      <w:lvlText w:val="■"/>
      <w:lvlJc w:val="left"/>
      <w:pPr>
        <w:ind w:left="4320" w:hanging="360"/>
      </w:pPr>
    </w:lvl>
    <w:lvl w:ilvl="6" w:tplc="A0AEDBA0">
      <w:start w:val="1"/>
      <w:numFmt w:val="bullet"/>
      <w:lvlText w:val="●"/>
      <w:lvlJc w:val="left"/>
      <w:pPr>
        <w:ind w:left="5040" w:hanging="360"/>
      </w:pPr>
    </w:lvl>
    <w:lvl w:ilvl="7" w:tplc="0EF40762">
      <w:start w:val="1"/>
      <w:numFmt w:val="bullet"/>
      <w:lvlText w:val="●"/>
      <w:lvlJc w:val="left"/>
      <w:pPr>
        <w:ind w:left="5760" w:hanging="360"/>
      </w:pPr>
    </w:lvl>
    <w:lvl w:ilvl="8" w:tplc="BD2E2FF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B30D7"/>
    <w:rsid w:val="002B30D7"/>
    <w:rsid w:val="00DB11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color w:val="1A1A1A"/>
        <w:sz w:val="22"/>
        <w:szCs w:val="22"/>
        <w:lang w:val="it-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qFormat/>
    <w:rsid w:val="002B30D7"/>
    <w:rPr>
      <w:sz w:val="56"/>
      <w:szCs w:val="56"/>
    </w:rPr>
  </w:style>
  <w:style w:type="paragraph" w:customStyle="1" w:styleId="Heading1">
    <w:name w:val="Heading 1"/>
    <w:qFormat/>
    <w:rsid w:val="002B30D7"/>
    <w:rPr>
      <w:color w:val="2E74B5"/>
      <w:sz w:val="32"/>
      <w:szCs w:val="32"/>
    </w:rPr>
  </w:style>
  <w:style w:type="paragraph" w:customStyle="1" w:styleId="Heading2">
    <w:name w:val="Heading 2"/>
    <w:qFormat/>
    <w:rsid w:val="002B30D7"/>
    <w:rPr>
      <w:color w:val="2E74B5"/>
      <w:sz w:val="26"/>
      <w:szCs w:val="26"/>
    </w:rPr>
  </w:style>
  <w:style w:type="paragraph" w:customStyle="1" w:styleId="Heading3">
    <w:name w:val="Heading 3"/>
    <w:qFormat/>
    <w:rsid w:val="002B30D7"/>
    <w:rPr>
      <w:color w:val="1F4D78"/>
      <w:sz w:val="24"/>
      <w:szCs w:val="24"/>
    </w:rPr>
  </w:style>
  <w:style w:type="paragraph" w:customStyle="1" w:styleId="Heading4">
    <w:name w:val="Heading 4"/>
    <w:qFormat/>
    <w:rsid w:val="002B30D7"/>
    <w:rPr>
      <w:i/>
      <w:iCs/>
      <w:color w:val="2E74B5"/>
    </w:rPr>
  </w:style>
  <w:style w:type="paragraph" w:customStyle="1" w:styleId="Heading5">
    <w:name w:val="Heading 5"/>
    <w:qFormat/>
    <w:rsid w:val="002B30D7"/>
    <w:rPr>
      <w:color w:val="2E74B5"/>
    </w:rPr>
  </w:style>
  <w:style w:type="paragraph" w:customStyle="1" w:styleId="Heading6">
    <w:name w:val="Heading 6"/>
    <w:qFormat/>
    <w:rsid w:val="002B30D7"/>
    <w:rPr>
      <w:color w:val="1F4D78"/>
    </w:rPr>
  </w:style>
  <w:style w:type="paragraph" w:customStyle="1" w:styleId="Enfasigrassetto1">
    <w:name w:val="Enfasi (grassetto)1"/>
    <w:qFormat/>
    <w:rsid w:val="002B30D7"/>
    <w:rPr>
      <w:b/>
      <w:bCs/>
    </w:rPr>
  </w:style>
  <w:style w:type="paragraph" w:styleId="Paragrafoelenco">
    <w:name w:val="List Paragraph"/>
    <w:qFormat/>
    <w:rsid w:val="002B30D7"/>
  </w:style>
  <w:style w:type="character" w:styleId="Collegamentoipertestuale">
    <w:name w:val="Hyperlink"/>
    <w:uiPriority w:val="99"/>
    <w:unhideWhenUsed/>
    <w:rsid w:val="002B30D7"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sid w:val="002B30D7"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sid w:val="002B30D7"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sid w:val="002B30D7"/>
    <w:rPr>
      <w:sz w:val="20"/>
      <w:szCs w:val="20"/>
    </w:rPr>
  </w:style>
  <w:style w:type="paragraph" w:customStyle="1" w:styleId="Heading10">
    <w:name w:val="Heading 1"/>
    <w:qFormat/>
    <w:rsid w:val="002B30D7"/>
    <w:pPr>
      <w:spacing w:before="360" w:after="200"/>
      <w:outlineLvl w:val="0"/>
    </w:pPr>
    <w:rPr>
      <w:b/>
      <w:bCs/>
      <w:color w:val="1A5276"/>
      <w:sz w:val="36"/>
      <w:szCs w:val="36"/>
    </w:rPr>
  </w:style>
  <w:style w:type="paragraph" w:customStyle="1" w:styleId="Heading20">
    <w:name w:val="Heading 2"/>
    <w:qFormat/>
    <w:rsid w:val="002B30D7"/>
    <w:pPr>
      <w:spacing w:before="280" w:after="140"/>
      <w:outlineLvl w:val="1"/>
    </w:pPr>
    <w:rPr>
      <w:b/>
      <w:bCs/>
      <w:color w:val="1A5276"/>
      <w:sz w:val="28"/>
      <w:szCs w:val="28"/>
    </w:rPr>
  </w:style>
  <w:style w:type="paragraph" w:customStyle="1" w:styleId="Heading30">
    <w:name w:val="Heading 3"/>
    <w:qFormat/>
    <w:rsid w:val="002B30D7"/>
    <w:pPr>
      <w:spacing w:before="200" w:after="100"/>
      <w:outlineLvl w:val="2"/>
    </w:pPr>
    <w:rPr>
      <w:b/>
      <w:bCs/>
      <w:color w:val="1A5276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2644</Words>
  <Characters>15073</Characters>
  <Application>Microsoft Office Word</Application>
  <DocSecurity>0</DocSecurity>
  <Lines>125</Lines>
  <Paragraphs>35</Paragraphs>
  <ScaleCrop>false</ScaleCrop>
  <Company/>
  <LinksUpToDate>false</LinksUpToDate>
  <CharactersWithSpaces>17682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Andrea</cp:lastModifiedBy>
  <cp:revision>2</cp:revision>
  <dcterms:created xsi:type="dcterms:W3CDTF">2026-04-02T21:10:00Z</dcterms:created>
  <dcterms:modified xsi:type="dcterms:W3CDTF">2026-04-02T21:14:00Z</dcterms:modified>
</cp:coreProperties>
</file>