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bel" w:hAnsi="Abel" w:cs="Abel" w:eastAsia="Abel"/>
          <w:i/>
          <w:color w:val="1F497D"/>
          <w:spacing w:val="0"/>
          <w:position w:val="0"/>
          <w:sz w:val="18"/>
          <w:shd w:fill="auto" w:val="clear"/>
        </w:rPr>
      </w:pPr>
      <w:r>
        <w:rPr>
          <w:rFonts w:ascii="Abel" w:hAnsi="Abel" w:cs="Abel" w:eastAsia="Abel"/>
          <w:color w:val="auto"/>
          <w:spacing w:val="0"/>
          <w:position w:val="0"/>
          <w:sz w:val="40"/>
          <w:shd w:fill="auto" w:val="clear"/>
        </w:rPr>
        <w:t xml:space="preserve">Mall för skriftlig redovisning, HT18</w:t>
      </w:r>
    </w:p>
    <w:tbl>
      <w:tblPr/>
      <w:tblGrid>
        <w:gridCol w:w="9056"/>
      </w:tblGrid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auto"/>
                <w:spacing w:val="0"/>
                <w:position w:val="0"/>
                <w:sz w:val="40"/>
                <w:shd w:fill="auto" w:val="clear"/>
              </w:rPr>
              <w:t xml:space="preserve">Skriftlig granskning 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Datum: 2019-01-15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Granskare: Robert Johanson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Namn på utvecklare: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Alexandra Söderlund, Elin Törebrand, Susanne Forsberg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auto"/>
                <w:spacing w:val="0"/>
                <w:position w:val="0"/>
                <w:sz w:val="32"/>
                <w:shd w:fill="auto" w:val="clear"/>
              </w:rPr>
              <w:t xml:space="preserve">Kravuppfyllelse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Är alla de ”allmänna kraven” uppfyllda?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Vilka allmänna krav är ännu inte uppfyllda (om nej på frågan ovan)?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Är alla de ”utökade kraven” uppfyllda?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Nej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Vilka utökade krav är ännu inte uppfyllda (om nej på frågan ovan)?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Inget av VG-kraven uppfylls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auto"/>
                <w:spacing w:val="0"/>
                <w:position w:val="0"/>
                <w:sz w:val="32"/>
                <w:shd w:fill="auto" w:val="clear"/>
              </w:rPr>
              <w:t xml:space="preserve">Värderingsfrågor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Validering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värderingsfråga: hanterar applikationen validering av inmatad data på ett tillfredsställande sätt?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Ja. Man får direkt feedback på inmatningen i form av felmeddelande på vyn om t.ex. textrutan är tom eller om lösenordet inte uppfyller kraven. Den här valideringen sker genom annotations.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.NET och datarepresentation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värderingsfråga: -  används .NET-ramverkets funktionalitet för att presentera data i applikationen på ett tillfredsställande sätt?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Ja.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Kommunikation via Ajax och APIController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värderingsfråga: - används en APIController för att skicka meddelanden? Hur görs anropen?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Ja. Meddelandet valideras först och sedan används post för att visa meddelandet på profilsidan.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Kommunikation, server - databas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värderingsfråga: -  på vilket sätt kommunicerar server-delen med databasen? Är det valda sättet det bästa sättet att lösa uppgiften på?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controllerna används using (dbcontext db = new dbcontext) i actionresults för att kommunicera med databaserna i applikationerna. Jag gillar detta då using hanterar undantag, istället för att databasen instansieras direkt i controllern och används gång på gång i olika actionresults. Även om det medför lite redundans känns den här lösningen stabilare.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bel" w:hAnsi="Abel" w:cs="Abel" w:eastAsia="Abel"/>
                <w:color w:val="434343"/>
                <w:spacing w:val="0"/>
                <w:position w:val="0"/>
                <w:sz w:val="28"/>
                <w:shd w:fill="auto" w:val="clear"/>
              </w:rPr>
              <w:t xml:space="preserve">Inloggning</w:t>
            </w:r>
          </w:p>
        </w:tc>
      </w:tr>
      <w:tr>
        <w:trPr>
          <w:trHeight w:val="1" w:hRule="atLeast"/>
          <w:jc w:val="left"/>
        </w:trPr>
        <w:tc>
          <w:tcPr>
            <w:tcW w:w="9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värderingsfråga: -  hur har lösningen för inloggning hanterats? Hur kontrolleras användarens eventuella inloggning vid fortsatt kommunikation?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Accountcontrollern som finns från början används. Sedan används User.Identity.GetUserId för att kontrollera användarens inloggning på sidorna som endast ska användas om användaren är inloggad.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ource Sans Pro" w:hAnsi="Source Sans Pro" w:cs="Source Sans Pro" w:eastAsia="Source Sans Pr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