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E3A5F"/>
          <w:sz w:val="64"/>
          <w:szCs w:val="64"/>
        </w:rPr>
        <w:t xml:space="preserve">YFoil Aero v7.9</w:t>
      </w:r>
    </w:p>
    <w:p>
      <w:pPr>
        <w:spacing w:after="80" w:before="80"/>
        <w:jc w:val="center"/>
      </w:pPr>
      <w:r>
        <w:rPr>
          <w:rFonts w:ascii="Arial" w:cs="Arial" w:eastAsia="Arial" w:hAnsi="Arial"/>
          <w:color w:val="475569"/>
          <w:sz w:val="32"/>
          <w:szCs w:val="32"/>
        </w:rPr>
        <w:t xml:space="preserve">Fizik Motoru Doğruluk ve Güvenilirlik Raporu</w:t>
      </w:r>
    </w:p>
    <w:p>
      <w:pPr>
        <w:spacing w:after="1200" w:before="80"/>
        <w:jc w:val="center"/>
      </w:pPr>
      <w:r>
        <w:rPr>
          <w:rFonts w:ascii="Arial" w:cs="Arial" w:eastAsia="Arial" w:hAnsi="Arial"/>
          <w:color w:val="94A3B8"/>
          <w:sz w:val="24"/>
          <w:szCs w:val="24"/>
        </w:rPr>
        <w:t xml:space="preserve">Teorik doğruluk • Deneysel uyum • Kullanım sınırları</w:t>
      </w:r>
    </w:p>
    <w:p>
      <w:r>
        <w:br w:type="page"/>
      </w:r>
    </w:p>
    <w:p>
      <w:pPr>
        <w:pStyle w:val="Heading1"/>
        <w:pBdr>
          <w:bottom w:val="single" w:color="2563EB" w:sz="4" w:space="6"/>
        </w:pBdr>
        <w:spacing w:after="200" w:before="400"/>
      </w:pPr>
      <w:r>
        <w:rPr>
          <w:rFonts w:ascii="Arial" w:cs="Arial" w:eastAsia="Arial" w:hAnsi="Arial"/>
          <w:b/>
          <w:bCs/>
          <w:color w:val="1E3A5F"/>
          <w:sz w:val="36"/>
          <w:szCs w:val="36"/>
        </w:rPr>
        <w:t xml:space="preserve">1. Yönetici Özeti</w:t>
      </w:r>
    </w:p>
    <w:p>
      <w:pPr>
        <w:spacing w:after="100" w:before="60"/>
      </w:pPr>
      <w:r>
        <w:rPr>
          <w:rFonts w:ascii="Arial" w:cs="Arial" w:eastAsia="Arial" w:hAnsi="Arial"/>
          <w:sz w:val="22"/>
          <w:szCs w:val="22"/>
        </w:rPr>
        <w:t xml:space="preserve">YFoil Aero v7.9, birden fazla fizik katmanını tek bir tarayıcı uygulamasında birleştiren kapsamlı bir kanat aerodinamiği simülatörüdür. Bu rapor, uygulamanın içerdiği her hesaplama modülünü bağımsız olarak ele alarak (1) formüllerin doğru uygulanıp uygulanmadığını, (2) sonuçların deneysel verilerle uyumunu ve (3) hangi koşullarda güvenilir, hangi koşullarda sınırlı olduğunu ortaya koymaktadır.</w:t>
      </w:r>
    </w:p>
    <w:p>
      <w:pPr>
        <w:spacing w:after="60" w:before="60"/>
      </w:pPr>
      <w:r>
        <w:t xml:space="preserve"/>
      </w:r>
    </w:p>
    <w:p>
      <w:pPr>
        <w:spacing w:after="100" w:before="60"/>
      </w:pPr>
      <w:r>
        <w:rPr>
          <w:rFonts w:ascii="Arial" w:cs="Arial" w:eastAsia="Arial" w:hAnsi="Arial"/>
          <w:b/>
          <w:bCs/>
          <w:color w:val="2563EB"/>
          <w:sz w:val="22"/>
          <w:szCs w:val="22"/>
        </w:rPr>
        <w:t xml:space="preserve">Genel değerlendirme: </w:t>
      </w:r>
      <w:r>
        <w:rPr>
          <w:rFonts w:ascii="Arial" w:cs="Arial" w:eastAsia="Arial" w:hAnsi="Arial"/>
          <w:sz w:val="22"/>
          <w:szCs w:val="22"/>
        </w:rPr>
        <w:t xml:space="preserve">Uygulama, ön tasarım ve eğitim amaçları için güçlü ve referans kalitesine yakın bir araçtır. Doğrusal rejimde (α &lt; ~12°, AR &gt; 4, M &lt; 0.6) hesaplanan CL, CDi ve yük dağılımı değerleri endüstri standardı araçlarla (%2–5) uyum içindedir. Veri tabanı doğrudan Abbott &amp; von Doenhoff (1959) ölçümlerine dayandığından profil polar verileri birincil kaynaktan beslenmektedir. Başlıca sınırlamalar stall sonrası bölge, yüksek süpürme açısı ve CDf hesabındaki basitleştirmelerdir.</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00"/>
      </w:tblGrid>
      <w:tr>
        <w:trPr>
          <w:tblHeader/>
        </w:trPr>
        <w:tc>
          <w:tcPr>
            <w:tcW w:type="dxa" w:w="3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Modül</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Doğruluk Düzeyi</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Güvenilir Rejim</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ISA Atmosfer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 Mükemmel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0–20 km tüm hız</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NACA 4-Basamak Koordinat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 Mükemmel</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t &lt; %21, m &lt; %9</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NACA PDB (Abbott &amp; Doenhoff)</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 Çok İyi</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 500k–6M, α &lt; stall</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Hess-Smith Panel (inviscid CL)</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 Çok İyi</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α &lt; 12°, M &lt; 0.5</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Head Sınır Tabakası (VIE-BL)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 Orta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Bağlı akış, Re &gt; 200k</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Doğrusal Olmayan LLT (NLLT)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 Çok İyi</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AR &gt; 4, süpürme &lt; 25°</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Schlichting Sürtünme Sürüklemesi</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 Orta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Temiz kanat, Re 10⁵–10⁷</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Stall Tahmini (CLmax, α_stall)</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 Orta</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Standart NACA profilleri</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Stall Sonrası CL/CD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 Sınırlı</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Nitel eğilim, sayısal değil</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Dalga Sürüklemesi (Mcr, CDw)</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 Orta</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 0.5–0.85, ince kanat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Yer Etkisi (gePhi)</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 Orta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h/b &gt; 0.05</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Statik Marj / Nötr Nokta</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 Orta</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Eğim doğrusal rejimde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Kök Eğilme Momenti</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 Çok İyi</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Stall öncesi yük dağılımı</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Flap ΔCL</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 Orta</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İnce kanat, küçük sapma</w:t>
            </w:r>
          </w:p>
        </w:tc>
      </w:tr>
    </w:tbl>
    <w:p>
      <w:pPr>
        <w:spacing w:after="60" w:before="60"/>
      </w:pPr>
      <w:r>
        <w:t xml:space="preserve"/>
      </w:r>
    </w:p>
    <w:p>
      <w:pPr>
        <w:spacing w:after="60" w:before="60"/>
      </w:pPr>
      <w:r>
        <w:t xml:space="preserve"/>
      </w:r>
    </w:p>
    <w:p>
      <w:r>
        <w:br w:type="page"/>
      </w:r>
    </w:p>
    <w:p>
      <w:pPr>
        <w:pStyle w:val="Heading1"/>
        <w:pBdr>
          <w:bottom w:val="single" w:color="2563EB" w:sz="4" w:space="6"/>
        </w:pBdr>
        <w:spacing w:after="200" w:before="400"/>
      </w:pPr>
      <w:r>
        <w:rPr>
          <w:rFonts w:ascii="Arial" w:cs="Arial" w:eastAsia="Arial" w:hAnsi="Arial"/>
          <w:b/>
          <w:bCs/>
          <w:color w:val="1E3A5F"/>
          <w:sz w:val="36"/>
          <w:szCs w:val="36"/>
        </w:rPr>
        <w:t xml:space="preserve">2. Atmosfer Modeli (ISA)</w:t>
      </w:r>
    </w:p>
    <w:p>
      <w:pPr>
        <w:pStyle w:val="Heading2"/>
        <w:spacing w:after="120" w:before="320"/>
      </w:pPr>
      <w:r>
        <w:rPr>
          <w:rFonts w:ascii="Arial" w:cs="Arial" w:eastAsia="Arial" w:hAnsi="Arial"/>
          <w:b/>
          <w:bCs/>
          <w:color w:val="1E3A5F"/>
          <w:sz w:val="28"/>
          <w:szCs w:val="28"/>
        </w:rPr>
        <w:t xml:space="preserve">2.1 Uygulanan Formüller</w:t>
      </w:r>
    </w:p>
    <w:p>
      <w:pPr>
        <w:spacing w:after="100" w:before="60"/>
      </w:pPr>
      <w:r>
        <w:rPr>
          <w:rFonts w:ascii="Arial" w:cs="Arial" w:eastAsia="Arial" w:hAnsi="Arial"/>
          <w:sz w:val="22"/>
          <w:szCs w:val="22"/>
        </w:rPr>
        <w:t xml:space="preserve">Kod, ICAO standart atmosferinin troposfer (0–11 km), stratosfer alt katmanı (11–20 km) ve üst katmanı (20 km+) bölümlerini ayrı ayrı hesaplar. Viskozite için Sutherland yasası (μ = 1.458×10⁻⁶·T^1.5 / (T + 110.4)) ve ses hızı için ideal gaz ilişkisi (a = √(γRT)) doğru biçimde uygulanmıştır.</w:t>
      </w:r>
    </w:p>
    <w:p>
      <w:pPr>
        <w:spacing w:after="100" w:before="60"/>
      </w:pPr>
      <w:r>
        <w:rPr>
          <w:rFonts w:ascii="Courier New" w:cs="Courier New" w:eastAsia="Courier New" w:hAnsi="Courier New"/>
          <w:color w:val="1E3A5F"/>
          <w:sz w:val="20"/>
          <w:szCs w:val="20"/>
        </w:rPr>
        <w:t xml:space="preserve">if (h&lt;=11000) { T=288.15-0.0065*h; p=101325*(T/288.15)^5.2561 }</w:t>
      </w:r>
    </w:p>
    <w:p>
      <w:pPr>
        <w:spacing w:after="60" w:before="60"/>
      </w:pPr>
      <w:r>
        <w:t xml:space="preserve"/>
      </w:r>
    </w:p>
    <w:p>
      <w:pPr>
        <w:pStyle w:val="Heading2"/>
        <w:spacing w:after="120" w:before="320"/>
      </w:pPr>
      <w:r>
        <w:rPr>
          <w:rFonts w:ascii="Arial" w:cs="Arial" w:eastAsia="Arial" w:hAnsi="Arial"/>
          <w:b/>
          <w:bCs/>
          <w:color w:val="1E3A5F"/>
          <w:sz w:val="28"/>
          <w:szCs w:val="28"/>
        </w:rPr>
        <w:t xml:space="preserve">2.2 Doğruluk</w:t>
      </w:r>
    </w:p>
    <w:p>
      <w:pPr>
        <w:pBdr>
          <w:left w:val="single" w:color="86EFAC" w:sz="12" w:space="8"/>
        </w:pBdr>
        <w:shd w:fill="DCFCE7" w:val="clear"/>
        <w:spacing w:after="40" w:before="120"/>
      </w:pPr>
      <w:r>
        <w:rPr>
          <w:rFonts w:ascii="Arial" w:cs="Arial" w:eastAsia="Arial" w:hAnsi="Arial"/>
          <w:b/>
          <w:bCs/>
          <w:color w:val="166534"/>
          <w:sz w:val="22"/>
          <w:szCs w:val="22"/>
        </w:rPr>
        <w:t xml:space="preserve">★★★★★ Mükemmel — Tam ICAO uyumu</w:t>
      </w:r>
    </w:p>
    <w:p>
      <w:pPr>
        <w:pBdr>
          <w:left w:val="single" w:color="86EFAC" w:sz="12" w:space="8"/>
        </w:pBdr>
        <w:shd w:fill="DCFCE7" w:val="clear"/>
        <w:spacing w:after="20" w:before="20"/>
        <w:ind w:left="240"/>
      </w:pPr>
      <w:r>
        <w:rPr>
          <w:rFonts w:ascii="Arial" w:cs="Arial" w:eastAsia="Arial" w:hAnsi="Arial"/>
          <w:color w:val="1E293B"/>
          <w:sz w:val="20"/>
          <w:szCs w:val="20"/>
        </w:rPr>
        <w:t xml:space="preserve">Sıcaklık ve basınç değerleri ICAO Doc 7488 tabloları ile 4+ anlamlı rakamda örtüşmektedir.</w:t>
      </w:r>
    </w:p>
    <w:p>
      <w:pPr>
        <w:pBdr>
          <w:left w:val="single" w:color="86EFAC" w:sz="12" w:space="8"/>
        </w:pBdr>
        <w:shd w:fill="DCFCE7" w:val="clear"/>
        <w:spacing w:after="20" w:before="20"/>
        <w:ind w:left="240"/>
      </w:pPr>
      <w:r>
        <w:rPr>
          <w:rFonts w:ascii="Arial" w:cs="Arial" w:eastAsia="Arial" w:hAnsi="Arial"/>
          <w:color w:val="1E293B"/>
          <w:sz w:val="20"/>
          <w:szCs w:val="20"/>
        </w:rPr>
        <w:t xml:space="preserve">Yoğunluk hesabı ideal gaz denklemi ile doğrudur (gerçek hava için maksimum sapma: ~%0.1).</w:t>
      </w:r>
    </w:p>
    <w:p>
      <w:pPr>
        <w:pBdr>
          <w:left w:val="single" w:color="86EFAC" w:sz="12" w:space="8"/>
        </w:pBdr>
        <w:shd w:fill="DCFCE7" w:val="clear"/>
        <w:spacing w:after="20" w:before="20"/>
        <w:ind w:left="240"/>
      </w:pPr>
      <w:r>
        <w:rPr>
          <w:rFonts w:ascii="Arial" w:cs="Arial" w:eastAsia="Arial" w:hAnsi="Arial"/>
          <w:color w:val="1E293B"/>
          <w:sz w:val="20"/>
          <w:szCs w:val="20"/>
        </w:rPr>
        <w:t xml:space="preserve">Sutherland yasası, Re hesabı için gereken dinamik viskoziteyi 1 hPa / 200 K ile 350 K arasında %0.5 doğrulukla verir.</w:t>
      </w:r>
    </w:p>
    <w:p>
      <w:pPr>
        <w:pBdr>
          <w:left w:val="single" w:color="86EFAC" w:sz="12" w:space="8"/>
        </w:pBdr>
        <w:shd w:fill="DCFCE7" w:val="clear"/>
        <w:spacing w:after="20" w:before="20"/>
        <w:ind w:left="240"/>
      </w:pPr>
      <w:r>
        <w:rPr>
          <w:rFonts w:ascii="Arial" w:cs="Arial" w:eastAsia="Arial" w:hAnsi="Arial"/>
          <w:color w:val="1E293B"/>
          <w:sz w:val="20"/>
          <w:szCs w:val="20"/>
        </w:rPr>
        <w:t xml:space="preserve">Sınır: Tropik veya kış koşulları gibi standart dışı atmosferler modellenemez. UAV ve GA uçuşları için bu fark ihmal edilebilirdir.</w:t>
      </w:r>
    </w:p>
    <w:p>
      <w:pPr>
        <w:spacing w:after="60" w:before="60"/>
      </w:pPr>
      <w:r>
        <w:t xml:space="preserve"/>
      </w:r>
    </w:p>
    <w:p>
      <w:pPr>
        <w:pStyle w:val="Heading1"/>
        <w:pBdr>
          <w:bottom w:val="single" w:color="2563EB" w:sz="4" w:space="6"/>
        </w:pBdr>
        <w:spacing w:after="200" w:before="400"/>
      </w:pPr>
      <w:r>
        <w:rPr>
          <w:rFonts w:ascii="Arial" w:cs="Arial" w:eastAsia="Arial" w:hAnsi="Arial"/>
          <w:b/>
          <w:bCs/>
          <w:color w:val="1E3A5F"/>
          <w:sz w:val="36"/>
          <w:szCs w:val="36"/>
        </w:rPr>
        <w:t xml:space="preserve">3. NACA 4-Basamak Koordinat Üretici</w:t>
      </w:r>
    </w:p>
    <w:p>
      <w:pPr>
        <w:pStyle w:val="Heading2"/>
        <w:spacing w:after="120" w:before="320"/>
      </w:pPr>
      <w:r>
        <w:rPr>
          <w:rFonts w:ascii="Arial" w:cs="Arial" w:eastAsia="Arial" w:hAnsi="Arial"/>
          <w:b/>
          <w:bCs/>
          <w:color w:val="1E3A5F"/>
          <w:sz w:val="28"/>
          <w:szCs w:val="28"/>
        </w:rPr>
        <w:t xml:space="preserve">3.1 Uygulanan Formüller</w:t>
      </w:r>
    </w:p>
    <w:p>
      <w:pPr>
        <w:spacing w:after="100" w:before="60"/>
      </w:pPr>
      <w:r>
        <w:rPr>
          <w:rFonts w:ascii="Arial" w:cs="Arial" w:eastAsia="Arial" w:hAnsi="Arial"/>
          <w:sz w:val="22"/>
          <w:szCs w:val="22"/>
        </w:rPr>
        <w:t xml:space="preserve">Kalınlık dağılımı standart NACA 4-basamak polinomu ile hesaplanmaktadır:</w:t>
      </w:r>
    </w:p>
    <w:p>
      <w:pPr>
        <w:spacing w:after="100" w:before="60"/>
      </w:pPr>
      <w:r>
        <w:rPr>
          <w:rFonts w:ascii="Courier New" w:cs="Courier New" w:eastAsia="Courier New" w:hAnsi="Courier New"/>
          <w:color w:val="1E3A5F"/>
          <w:sz w:val="20"/>
          <w:szCs w:val="20"/>
        </w:rPr>
        <w:t xml:space="preserve">yt = (t/0.2)·(0.2969√x − 0.1260x − 0.3516x² + 0.2843x³ − 0.1015x⁴)</w:t>
      </w:r>
    </w:p>
    <w:p>
      <w:pPr>
        <w:spacing w:after="100" w:before="60"/>
      </w:pPr>
      <w:r>
        <w:rPr>
          <w:rFonts w:ascii="Arial" w:cs="Arial" w:eastAsia="Arial" w:hAnsi="Arial"/>
          <w:sz w:val="22"/>
          <w:szCs w:val="22"/>
        </w:rPr>
        <w:t xml:space="preserve">Camber çizgisi ve eğim fonksiyonu parçalı tanımlıdır; orta çizgi eğimi Θ = arctan(dyc/dx) ile hesaplanarak üst ve alt yüzey koordinatları doğru biçimde ayrıştırılmıştır. Nodlar kosinüs dağılımıyla yoğunlaştırılmıştır (ön/arka kenarda yüksek çözünürlük).</w:t>
      </w:r>
    </w:p>
    <w:p>
      <w:pPr>
        <w:spacing w:after="60" w:before="60"/>
      </w:pPr>
      <w:r>
        <w:t xml:space="preserve"/>
      </w:r>
    </w:p>
    <w:p>
      <w:pPr>
        <w:pStyle w:val="Heading2"/>
        <w:spacing w:after="120" w:before="320"/>
      </w:pPr>
      <w:r>
        <w:rPr>
          <w:rFonts w:ascii="Arial" w:cs="Arial" w:eastAsia="Arial" w:hAnsi="Arial"/>
          <w:b/>
          <w:bCs/>
          <w:color w:val="1E3A5F"/>
          <w:sz w:val="28"/>
          <w:szCs w:val="28"/>
        </w:rPr>
        <w:t xml:space="preserve">3.2 Doğruluk</w:t>
      </w:r>
    </w:p>
    <w:p>
      <w:pPr>
        <w:pBdr>
          <w:left w:val="single" w:color="86EFAC" w:sz="12" w:space="8"/>
        </w:pBdr>
        <w:shd w:fill="DCFCE7" w:val="clear"/>
        <w:spacing w:after="40" w:before="120"/>
      </w:pPr>
      <w:r>
        <w:rPr>
          <w:rFonts w:ascii="Arial" w:cs="Arial" w:eastAsia="Arial" w:hAnsi="Arial"/>
          <w:b/>
          <w:bCs/>
          <w:color w:val="166534"/>
          <w:sz w:val="22"/>
          <w:szCs w:val="22"/>
        </w:rPr>
        <w:t xml:space="preserve">★★★★★ Mükemmel — Birincil kaynak katsayıları</w:t>
      </w:r>
    </w:p>
    <w:p>
      <w:pPr>
        <w:pBdr>
          <w:left w:val="single" w:color="86EFAC" w:sz="12" w:space="8"/>
        </w:pBdr>
        <w:shd w:fill="DCFCE7" w:val="clear"/>
        <w:spacing w:after="20" w:before="20"/>
        <w:ind w:left="240"/>
      </w:pPr>
      <w:r>
        <w:rPr>
          <w:rFonts w:ascii="Arial" w:cs="Arial" w:eastAsia="Arial" w:hAnsi="Arial"/>
          <w:color w:val="1E293B"/>
          <w:sz w:val="20"/>
          <w:szCs w:val="20"/>
        </w:rPr>
        <w:t xml:space="preserve">Katsayılar (0.2969, 0.1260, 0.3516, 0.2843, 0.1015) orijinal NACA raporlarından alınmıştır.</w:t>
      </w:r>
    </w:p>
    <w:p>
      <w:pPr>
        <w:pBdr>
          <w:left w:val="single" w:color="86EFAC" w:sz="12" w:space="8"/>
        </w:pBdr>
        <w:shd w:fill="DCFCE7" w:val="clear"/>
        <w:spacing w:after="20" w:before="20"/>
        <w:ind w:left="240"/>
      </w:pPr>
      <w:r>
        <w:rPr>
          <w:rFonts w:ascii="Arial" w:cs="Arial" w:eastAsia="Arial" w:hAnsi="Arial"/>
          <w:color w:val="1E293B"/>
          <w:sz w:val="20"/>
          <w:szCs w:val="20"/>
        </w:rPr>
        <w:t xml:space="preserve">Camber kuvvetlendirmesi sezgisel kalınlık yaklaşımına kıyasla büyük camberli profillerde daha gerçekçidir.</w:t>
      </w:r>
    </w:p>
    <w:p>
      <w:pPr>
        <w:pBdr>
          <w:left w:val="single" w:color="86EFAC" w:sz="12" w:space="8"/>
        </w:pBdr>
        <w:shd w:fill="DCFCE7" w:val="clear"/>
        <w:spacing w:after="20" w:before="20"/>
        <w:ind w:left="240"/>
      </w:pPr>
      <w:r>
        <w:rPr>
          <w:rFonts w:ascii="Arial" w:cs="Arial" w:eastAsia="Arial" w:hAnsi="Arial"/>
          <w:color w:val="1E293B"/>
          <w:sz w:val="20"/>
          <w:szCs w:val="20"/>
        </w:rPr>
        <w:t xml:space="preserve">80 panel ile koordinat üreten bir tarayıcı uygulaması için bu çözünürlük yeterlidir.</w:t>
      </w:r>
    </w:p>
    <w:p>
      <w:pPr>
        <w:pBdr>
          <w:left w:val="single" w:color="86EFAC" w:sz="12" w:space="8"/>
        </w:pBdr>
        <w:shd w:fill="DCFCE7" w:val="clear"/>
        <w:spacing w:after="20" w:before="20"/>
        <w:ind w:left="240"/>
      </w:pPr>
      <w:r>
        <w:rPr>
          <w:rFonts w:ascii="Arial" w:cs="Arial" w:eastAsia="Arial" w:hAnsi="Arial"/>
          <w:color w:val="1E293B"/>
          <w:sz w:val="20"/>
          <w:szCs w:val="20"/>
        </w:rPr>
        <w:t xml:space="preserve">Sınır: %21'in üzerindeki kalınlık değerleri için arka kenar kapatma varsayımı geçerliliğini yitirmeye başlar.</w:t>
      </w:r>
    </w:p>
    <w:p>
      <w:pPr>
        <w:pBdr>
          <w:left w:val="single" w:color="86EFAC" w:sz="12" w:space="8"/>
        </w:pBdr>
        <w:shd w:fill="DCFCE7" w:val="clear"/>
        <w:spacing w:after="20" w:before="20"/>
        <w:ind w:left="240"/>
      </w:pPr>
      <w:r>
        <w:rPr>
          <w:rFonts w:ascii="Arial" w:cs="Arial" w:eastAsia="Arial" w:hAnsi="Arial"/>
          <w:color w:val="1E293B"/>
          <w:sz w:val="20"/>
          <w:szCs w:val="20"/>
        </w:rPr>
        <w:t xml:space="preserve">Sınır: NACA 5 ve 6 serisi profiller desteklenmez; PDB'de 23012/23015 girişleri olsa da VIE bunları hesaplayamaz.</w:t>
      </w:r>
    </w:p>
    <w:p>
      <w:pPr>
        <w:spacing w:after="60" w:before="60"/>
      </w:pPr>
      <w:r>
        <w:t xml:space="preserve"/>
      </w:r>
    </w:p>
    <w:p>
      <w:r>
        <w:br w:type="page"/>
      </w:r>
    </w:p>
    <w:p>
      <w:pPr>
        <w:pStyle w:val="Heading1"/>
        <w:pBdr>
          <w:bottom w:val="single" w:color="2563EB" w:sz="4" w:space="6"/>
        </w:pBdr>
        <w:spacing w:after="200" w:before="400"/>
      </w:pPr>
      <w:r>
        <w:rPr>
          <w:rFonts w:ascii="Arial" w:cs="Arial" w:eastAsia="Arial" w:hAnsi="Arial"/>
          <w:b/>
          <w:bCs/>
          <w:color w:val="1E3A5F"/>
          <w:sz w:val="36"/>
          <w:szCs w:val="36"/>
        </w:rPr>
        <w:t xml:space="preserve">4. NACA Polar Veri Tabanı (PDB)</w:t>
      </w:r>
    </w:p>
    <w:p>
      <w:pPr>
        <w:pStyle w:val="Heading2"/>
        <w:spacing w:after="120" w:before="320"/>
      </w:pPr>
      <w:r>
        <w:rPr>
          <w:rFonts w:ascii="Arial" w:cs="Arial" w:eastAsia="Arial" w:hAnsi="Arial"/>
          <w:b/>
          <w:bCs/>
          <w:color w:val="1E3A5F"/>
          <w:sz w:val="28"/>
          <w:szCs w:val="28"/>
        </w:rPr>
        <w:t xml:space="preserve">4.1 Kaynak ve Kapsam</w:t>
      </w:r>
    </w:p>
    <w:p>
      <w:pPr>
        <w:spacing w:after="100" w:before="60"/>
      </w:pPr>
      <w:r>
        <w:rPr>
          <w:rFonts w:ascii="Arial" w:cs="Arial" w:eastAsia="Arial" w:hAnsi="Arial"/>
          <w:sz w:val="22"/>
          <w:szCs w:val="22"/>
        </w:rPr>
        <w:t xml:space="preserve">PDB, Abbott &amp; von Doenhoff (1959) 'Theory of Wing Sections' kitabındaki Langley değişken yoğunluklu rüzgar tüneli verilerinden derlenmiştir. 18 profil kodunu kapsar (0006'dan 23015'e kadar), her biri 2–3 Reynolds sayısı noktasında (500k, 1M, 3M, bazıları 6M). α–CL–CD–Cm dörtlüleri bilineer (α × Re) interpolasyonla arasılmaktadır.</w:t>
      </w:r>
    </w:p>
    <w:p>
      <w:pPr>
        <w:spacing w:after="60" w:before="60"/>
      </w:pPr>
      <w:r>
        <w:t xml:space="preserve"/>
      </w:r>
    </w:p>
    <w:p>
      <w:pPr>
        <w:pStyle w:val="Heading2"/>
        <w:spacing w:after="120" w:before="320"/>
      </w:pPr>
      <w:r>
        <w:rPr>
          <w:rFonts w:ascii="Arial" w:cs="Arial" w:eastAsia="Arial" w:hAnsi="Arial"/>
          <w:b/>
          <w:bCs/>
          <w:color w:val="1E3A5F"/>
          <w:sz w:val="28"/>
          <w:szCs w:val="28"/>
        </w:rPr>
        <w:t xml:space="preserve">4.2 Kaynak Verinin Kalitesi</w:t>
      </w:r>
    </w:p>
    <w:p>
      <w:pPr>
        <w:spacing w:after="100" w:before="60"/>
      </w:pPr>
      <w:r>
        <w:rPr>
          <w:rFonts w:ascii="Arial" w:cs="Arial" w:eastAsia="Arial" w:hAnsi="Arial"/>
          <w:sz w:val="22"/>
          <w:szCs w:val="22"/>
        </w:rPr>
        <w:t xml:space="preserve">Abbott &amp; von Doenhoff verileri aerodinamistte altın standart olarak kabul edilir. Ancak bu ölçümler 1940'larda gerçekleştirilmiştir ve birkaç önemli husus göz önünde bulundurulmalıdır:</w:t>
      </w:r>
    </w:p>
    <w:p>
      <w:pPr>
        <w:spacing w:after="60" w:before="6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7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Husus</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Durum</w:t>
            </w:r>
          </w:p>
        </w:tc>
        <w:tc>
          <w:tcPr>
            <w:tcW w:type="dxa" w:w="2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Etki</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Birincil kaynaktan alınma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Doğrudan Abbott &amp; von Doenhoff</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Pozitif: izlenebilirlik tam</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Rüzgar tüneli belirsizliği</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Langley tüneli ±1–2% CL, ±3–5% CD</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Küçük: zaten en iyi referans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Yüzey pürüzlülüğü</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Standart pürüzlülük: gerçek modelden farklı</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CD'yi ±5–10% etkileyebilir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Re aralığı dışı extrapolasyon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&lt; 500k veya &gt; 6M Re için sınırlı</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Dikkat gerektirir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Digitizasyon hatası</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Grafik okuma ~±0.005 CL, ±0.0002 CD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İhmal edilebilir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PDB'de olmayan profiller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En yakın profile snap yapılır</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~%5–15 CL hatası olabilir</w:t>
            </w:r>
          </w:p>
        </w:tc>
      </w:tr>
    </w:tbl>
    <w:p>
      <w:pPr>
        <w:spacing w:after="60" w:before="60"/>
      </w:pPr>
      <w:r>
        <w:t xml:space="preserve"/>
      </w:r>
    </w:p>
    <w:p>
      <w:pPr>
        <w:pStyle w:val="Heading2"/>
        <w:spacing w:after="120" w:before="320"/>
      </w:pPr>
      <w:r>
        <w:rPr>
          <w:rFonts w:ascii="Arial" w:cs="Arial" w:eastAsia="Arial" w:hAnsi="Arial"/>
          <w:b/>
          <w:bCs/>
          <w:color w:val="1E3A5F"/>
          <w:sz w:val="28"/>
          <w:szCs w:val="28"/>
        </w:rPr>
        <w:t xml:space="preserve">4.3 Interpolasyon Yöntemi</w:t>
      </w:r>
    </w:p>
    <w:p>
      <w:pPr>
        <w:spacing w:after="100" w:before="60"/>
      </w:pPr>
      <w:r>
        <w:rPr>
          <w:rFonts w:ascii="Arial" w:cs="Arial" w:eastAsia="Arial" w:hAnsi="Arial"/>
          <w:sz w:val="22"/>
          <w:szCs w:val="22"/>
        </w:rPr>
        <w:t xml:space="preserve">Hem α hem Re ekseninde lineer interpolasyon uygulanmaktadır; Re ekseni logaritmik ölçekte interpolasyona tabii tutulmaktadır (log-interpolasyon). Bu, sık kullanılan bir yaklaşımdır ve Re değişiminin logaritmik doğasını doğru biçimde yansıtır.</w:t>
      </w:r>
    </w:p>
    <w:p>
      <w:pPr>
        <w:spacing w:after="60" w:before="60"/>
      </w:pPr>
      <w:r>
        <w:t xml:space="preserve"/>
      </w:r>
    </w:p>
    <w:p>
      <w:pPr>
        <w:pBdr>
          <w:left w:val="single" w:color="BFDBFE" w:sz="12" w:space="8"/>
        </w:pBdr>
        <w:shd w:fill="DBEAFE" w:val="clear"/>
        <w:spacing w:after="40" w:before="120"/>
      </w:pPr>
      <w:r>
        <w:rPr>
          <w:rFonts w:ascii="Arial" w:cs="Arial" w:eastAsia="Arial" w:hAnsi="Arial"/>
          <w:b/>
          <w:bCs/>
          <w:color w:val="1D4ED8"/>
          <w:sz w:val="22"/>
          <w:szCs w:val="22"/>
        </w:rPr>
        <w:t xml:space="preserve">★★★★☆ Çok İyi — Ön tasarım için yeterli</w:t>
      </w:r>
    </w:p>
    <w:p>
      <w:pPr>
        <w:pBdr>
          <w:left w:val="single" w:color="BFDBFE" w:sz="12" w:space="8"/>
        </w:pBdr>
        <w:shd w:fill="DBEAFE" w:val="clear"/>
        <w:spacing w:after="20" w:before="20"/>
        <w:ind w:left="240"/>
      </w:pPr>
      <w:r>
        <w:rPr>
          <w:rFonts w:ascii="Arial" w:cs="Arial" w:eastAsia="Arial" w:hAnsi="Arial"/>
          <w:color w:val="1E293B"/>
          <w:sz w:val="20"/>
          <w:szCs w:val="20"/>
        </w:rPr>
        <w:t xml:space="preserve">Veritabanı standart profillerden oluşmakta ve doğrudan birincil deneysel kaynaktan beslenmektedir.</w:t>
      </w:r>
    </w:p>
    <w:p>
      <w:pPr>
        <w:pBdr>
          <w:left w:val="single" w:color="BFDBFE" w:sz="12" w:space="8"/>
        </w:pBdr>
        <w:shd w:fill="DBEAFE" w:val="clear"/>
        <w:spacing w:after="20" w:before="20"/>
        <w:ind w:left="240"/>
      </w:pPr>
      <w:r>
        <w:rPr>
          <w:rFonts w:ascii="Arial" w:cs="Arial" w:eastAsia="Arial" w:hAnsi="Arial"/>
          <w:color w:val="1E293B"/>
          <w:sz w:val="20"/>
          <w:szCs w:val="20"/>
        </w:rPr>
        <w:t xml:space="preserve">Stall öncesi ve orta α değerleri için CL hatası genellikle ±0.03–0.05, CD için ±0.001–0.002 düzeyindedir.</w:t>
      </w:r>
    </w:p>
    <w:p>
      <w:pPr>
        <w:pBdr>
          <w:left w:val="single" w:color="BFDBFE" w:sz="12" w:space="8"/>
        </w:pBdr>
        <w:shd w:fill="DBEAFE" w:val="clear"/>
        <w:spacing w:after="20" w:before="20"/>
        <w:ind w:left="240"/>
      </w:pPr>
      <w:r>
        <w:rPr>
          <w:rFonts w:ascii="Arial" w:cs="Arial" w:eastAsia="Arial" w:hAnsi="Arial"/>
          <w:color w:val="1E293B"/>
          <w:sz w:val="20"/>
          <w:szCs w:val="20"/>
        </w:rPr>
        <w:t xml:space="preserve">Sınır: PDB'deki 18 profil tüm NACA ailesini kapsamaz; snap mekanizması eksik profiller için yaklaşım üretir.</w:t>
      </w:r>
    </w:p>
    <w:p>
      <w:pPr>
        <w:pBdr>
          <w:left w:val="single" w:color="BFDBFE" w:sz="12" w:space="8"/>
        </w:pBdr>
        <w:shd w:fill="DBEAFE" w:val="clear"/>
        <w:spacing w:after="20" w:before="20"/>
        <w:ind w:left="240"/>
      </w:pPr>
      <w:r>
        <w:rPr>
          <w:rFonts w:ascii="Arial" w:cs="Arial" w:eastAsia="Arial" w:hAnsi="Arial"/>
          <w:color w:val="1E293B"/>
          <w:sz w:val="20"/>
          <w:szCs w:val="20"/>
        </w:rPr>
        <w:t xml:space="preserve">Sınır: Re &lt; 200k (model uçakları, insansız araçlar) için veri yoktur; bu rejimde extrapolasyon yapılır.</w:t>
      </w:r>
    </w:p>
    <w:p>
      <w:pPr>
        <w:pBdr>
          <w:left w:val="single" w:color="BFDBFE" w:sz="12" w:space="8"/>
        </w:pBdr>
        <w:shd w:fill="DBEAFE" w:val="clear"/>
        <w:spacing w:after="20" w:before="20"/>
        <w:ind w:left="240"/>
      </w:pPr>
      <w:r>
        <w:rPr>
          <w:rFonts w:ascii="Arial" w:cs="Arial" w:eastAsia="Arial" w:hAnsi="Arial"/>
          <w:color w:val="1E293B"/>
          <w:sz w:val="20"/>
          <w:szCs w:val="20"/>
        </w:rPr>
        <w:t xml:space="preserve">Sınır: Yüksek turbulanslı veya çok düşük Re akışlarında hatalar büyük olabilir.</w:t>
      </w:r>
    </w:p>
    <w:p>
      <w:pPr>
        <w:spacing w:after="60" w:before="60"/>
      </w:pPr>
      <w:r>
        <w:t xml:space="preserve"/>
      </w:r>
    </w:p>
    <w:p>
      <w:r>
        <w:br w:type="page"/>
      </w:r>
    </w:p>
    <w:p>
      <w:pPr>
        <w:pStyle w:val="Heading1"/>
        <w:pBdr>
          <w:bottom w:val="single" w:color="2563EB" w:sz="4" w:space="6"/>
        </w:pBdr>
        <w:spacing w:after="200" w:before="400"/>
      </w:pPr>
      <w:r>
        <w:rPr>
          <w:rFonts w:ascii="Arial" w:cs="Arial" w:eastAsia="Arial" w:hAnsi="Arial"/>
          <w:b/>
          <w:bCs/>
          <w:color w:val="1E3A5F"/>
          <w:sz w:val="36"/>
          <w:szCs w:val="36"/>
        </w:rPr>
        <w:t xml:space="preserve">5. Hess-Smith Kaynak-Girdap Panel Çözücü</w:t>
      </w:r>
    </w:p>
    <w:p>
      <w:pPr>
        <w:pStyle w:val="Heading2"/>
        <w:spacing w:after="120" w:before="320"/>
      </w:pPr>
      <w:r>
        <w:rPr>
          <w:rFonts w:ascii="Arial" w:cs="Arial" w:eastAsia="Arial" w:hAnsi="Arial"/>
          <w:b/>
          <w:bCs/>
          <w:color w:val="1E3A5F"/>
          <w:sz w:val="28"/>
          <w:szCs w:val="28"/>
        </w:rPr>
        <w:t xml:space="preserve">5.1 Uygulanan Yöntem</w:t>
      </w:r>
    </w:p>
    <w:p>
      <w:pPr>
        <w:spacing w:after="100" w:before="60"/>
      </w:pPr>
      <w:r>
        <w:rPr>
          <w:rFonts w:ascii="Arial" w:cs="Arial" w:eastAsia="Arial" w:hAnsi="Arial"/>
          <w:sz w:val="22"/>
          <w:szCs w:val="22"/>
        </w:rPr>
        <w:t xml:space="preserve">Tam kaynak-girdap Hess-Smith çözücüsü uygulanmıştır (Hess &amp; Smith, 1967). Her panel sabit kuvvetli kaynak ve tekdüze girdap taşır; Kutta koşulu arka kenarda uygulanır. 80 panelde N+1 boyutlu doğrusal sistem Gauss eleminasyonu ile çözülmektedir. Basınç katsayısı (Cp) ve teğet hız dağılımı (vt) düzgün biçimde hesaplanmaktadır.</w:t>
      </w:r>
    </w:p>
    <w:p>
      <w:pPr>
        <w:spacing w:after="60" w:before="60"/>
      </w:pPr>
      <w:r>
        <w:t xml:space="preserve"/>
      </w:r>
    </w:p>
    <w:p>
      <w:pPr>
        <w:pStyle w:val="Heading2"/>
        <w:spacing w:after="120" w:before="320"/>
      </w:pPr>
      <w:r>
        <w:rPr>
          <w:rFonts w:ascii="Arial" w:cs="Arial" w:eastAsia="Arial" w:hAnsi="Arial"/>
          <w:b/>
          <w:bCs/>
          <w:color w:val="1E3A5F"/>
          <w:sz w:val="28"/>
          <w:szCs w:val="28"/>
        </w:rPr>
        <w:t xml:space="preserve">5.2 Teorik Doğruluk</w:t>
      </w:r>
    </w:p>
    <w:p>
      <w:pPr>
        <w:spacing w:after="100" w:before="60"/>
      </w:pPr>
      <w:r>
        <w:rPr>
          <w:rFonts w:ascii="Arial" w:cs="Arial" w:eastAsia="Arial" w:hAnsi="Arial"/>
          <w:sz w:val="22"/>
          <w:szCs w:val="22"/>
        </w:rPr>
        <w:t xml:space="preserve">Yöntem, inviscid (viskositesiz) ve inkompressibl akış için tam teorik sonuçlar üretir. Kutta koşulunun uygulanması doğrudur; Kutta-Joukowski teoreminden elde edilen CL hesabı, ince kanat teorisiyle (2πα) küçük açılarda tutarlıdır.</w:t>
      </w:r>
    </w:p>
    <w:p>
      <w:pPr>
        <w:spacing w:after="60" w:before="60"/>
      </w:pPr>
      <w:r>
        <w:t xml:space="preserve"/>
      </w:r>
    </w:p>
    <w:p>
      <w:pPr>
        <w:pBdr>
          <w:left w:val="single" w:color="BFDBFE" w:sz="12" w:space="8"/>
        </w:pBdr>
        <w:shd w:fill="DBEAFE" w:val="clear"/>
        <w:spacing w:after="40" w:before="120"/>
      </w:pPr>
      <w:r>
        <w:rPr>
          <w:rFonts w:ascii="Arial" w:cs="Arial" w:eastAsia="Arial" w:hAnsi="Arial"/>
          <w:b/>
          <w:bCs/>
          <w:color w:val="1D4ED8"/>
          <w:sz w:val="22"/>
          <w:szCs w:val="22"/>
        </w:rPr>
        <w:t xml:space="preserve">★★★★☆ İnviscid rejimde çok iyi</w:t>
      </w:r>
    </w:p>
    <w:p>
      <w:pPr>
        <w:pBdr>
          <w:left w:val="single" w:color="BFDBFE" w:sz="12" w:space="8"/>
        </w:pBdr>
        <w:shd w:fill="DBEAFE" w:val="clear"/>
        <w:spacing w:after="20" w:before="20"/>
        <w:ind w:left="240"/>
      </w:pPr>
      <w:r>
        <w:rPr>
          <w:rFonts w:ascii="Arial" w:cs="Arial" w:eastAsia="Arial" w:hAnsi="Arial"/>
          <w:color w:val="1E293B"/>
          <w:sz w:val="20"/>
          <w:szCs w:val="20"/>
        </w:rPr>
        <w:t xml:space="preserve">80 panel için Cp dağılımı XFOIL gibi referans panel çözücülerle %1 içinde uyum gösterir.</w:t>
      </w:r>
    </w:p>
    <w:p>
      <w:pPr>
        <w:pBdr>
          <w:left w:val="single" w:color="BFDBFE" w:sz="12" w:space="8"/>
        </w:pBdr>
        <w:shd w:fill="DBEAFE" w:val="clear"/>
        <w:spacing w:after="20" w:before="20"/>
        <w:ind w:left="240"/>
      </w:pPr>
      <w:r>
        <w:rPr>
          <w:rFonts w:ascii="Arial" w:cs="Arial" w:eastAsia="Arial" w:hAnsi="Arial"/>
          <w:color w:val="1E293B"/>
          <w:sz w:val="20"/>
          <w:szCs w:val="20"/>
        </w:rPr>
        <w:t xml:space="preserve">CL eğrisi eğimi (Cl_α) ince kanat teorisiyle uyumlu: 2π(1 + 0.77t) düzeltmesiyle kalın profiller de doğru tahminde bulunur.</w:t>
      </w:r>
    </w:p>
    <w:p>
      <w:pPr>
        <w:pBdr>
          <w:left w:val="single" w:color="BFDBFE" w:sz="12" w:space="8"/>
        </w:pBdr>
        <w:shd w:fill="DBEAFE" w:val="clear"/>
        <w:spacing w:after="20" w:before="20"/>
        <w:ind w:left="240"/>
      </w:pPr>
      <w:r>
        <w:rPr>
          <w:rFonts w:ascii="Arial" w:cs="Arial" w:eastAsia="Arial" w:hAnsi="Arial"/>
          <w:color w:val="1E293B"/>
          <w:sz w:val="20"/>
          <w:szCs w:val="20"/>
        </w:rPr>
        <w:t xml:space="preserve">Cm hesabı 1/4 kiriş noktasına göre standart biçimde yapılmaktadır.</w:t>
      </w:r>
    </w:p>
    <w:p>
      <w:pPr>
        <w:pBdr>
          <w:left w:val="single" w:color="BFDBFE" w:sz="12" w:space="8"/>
        </w:pBdr>
        <w:shd w:fill="DBEAFE" w:val="clear"/>
        <w:spacing w:after="20" w:before="20"/>
        <w:ind w:left="240"/>
      </w:pPr>
      <w:r>
        <w:rPr>
          <w:rFonts w:ascii="Arial" w:cs="Arial" w:eastAsia="Arial" w:hAnsi="Arial"/>
          <w:color w:val="1E293B"/>
          <w:sz w:val="20"/>
          <w:szCs w:val="20"/>
        </w:rPr>
        <w:t xml:space="preserve">Sınır (kritik): Tamamen inviscid'dir, CD = 0 üretir. Gerçek akış için Head BL katmanıyla birleştirme zorunludur.</w:t>
      </w:r>
    </w:p>
    <w:p>
      <w:pPr>
        <w:pBdr>
          <w:left w:val="single" w:color="BFDBFE" w:sz="12" w:space="8"/>
        </w:pBdr>
        <w:shd w:fill="DBEAFE" w:val="clear"/>
        <w:spacing w:after="20" w:before="20"/>
        <w:ind w:left="240"/>
      </w:pPr>
      <w:r>
        <w:rPr>
          <w:rFonts w:ascii="Arial" w:cs="Arial" w:eastAsia="Arial" w:hAnsi="Arial"/>
          <w:color w:val="1E293B"/>
          <w:sz w:val="20"/>
          <w:szCs w:val="20"/>
        </w:rPr>
        <w:t xml:space="preserve">Sınır: α &gt; 12–15° sonrasında ayrışma başladığında CL aşırı tahmin edilir (sep_factor düzeltmesi bunu kısmen giderir).</w:t>
      </w:r>
    </w:p>
    <w:p>
      <w:pPr>
        <w:pBdr>
          <w:left w:val="single" w:color="BFDBFE" w:sz="12" w:space="8"/>
        </w:pBdr>
        <w:shd w:fill="DBEAFE" w:val="clear"/>
        <w:spacing w:after="20" w:before="20"/>
        <w:ind w:left="240"/>
      </w:pPr>
      <w:r>
        <w:rPr>
          <w:rFonts w:ascii="Arial" w:cs="Arial" w:eastAsia="Arial" w:hAnsi="Arial"/>
          <w:color w:val="1E293B"/>
          <w:sz w:val="20"/>
          <w:szCs w:val="20"/>
        </w:rPr>
        <w:t xml:space="preserve">Sınır: Büyük ölçekli ayrışma ve stall davranışı panel yönteminin sınırları dışındadır.</w:t>
      </w:r>
    </w:p>
    <w:p>
      <w:pPr>
        <w:spacing w:after="60" w:before="60"/>
      </w:pPr>
      <w:r>
        <w:t xml:space="preserve"/>
      </w:r>
    </w:p>
    <w:p>
      <w:pPr>
        <w:pStyle w:val="Heading1"/>
        <w:pBdr>
          <w:bottom w:val="single" w:color="2563EB" w:sz="4" w:space="6"/>
        </w:pBdr>
        <w:spacing w:after="200" w:before="400"/>
      </w:pPr>
      <w:r>
        <w:rPr>
          <w:rFonts w:ascii="Arial" w:cs="Arial" w:eastAsia="Arial" w:hAnsi="Arial"/>
          <w:b/>
          <w:bCs/>
          <w:color w:val="1E3A5F"/>
          <w:sz w:val="36"/>
          <w:szCs w:val="36"/>
        </w:rPr>
        <w:t xml:space="preserve">6. Head Sınır Tabakası (VIE-BL)</w:t>
      </w:r>
    </w:p>
    <w:p>
      <w:pPr>
        <w:pStyle w:val="Heading2"/>
        <w:spacing w:after="120" w:before="320"/>
      </w:pPr>
      <w:r>
        <w:rPr>
          <w:rFonts w:ascii="Arial" w:cs="Arial" w:eastAsia="Arial" w:hAnsi="Arial"/>
          <w:b/>
          <w:bCs/>
          <w:color w:val="1E3A5F"/>
          <w:sz w:val="28"/>
          <w:szCs w:val="28"/>
        </w:rPr>
        <w:t xml:space="preserve">6.1 Uygulanan Yöntem</w:t>
      </w:r>
    </w:p>
    <w:p>
      <w:pPr>
        <w:spacing w:after="100" w:before="60"/>
      </w:pPr>
      <w:r>
        <w:rPr>
          <w:rFonts w:ascii="Arial" w:cs="Arial" w:eastAsia="Arial" w:hAnsi="Arial"/>
          <w:sz w:val="22"/>
          <w:szCs w:val="22"/>
        </w:rPr>
        <w:t xml:space="preserve">Head'in (1958) integral sınır tabakası modeli, türbülanslı bölge için uygulanmaktadır. Geçiş konumu Michel kriteri benzeri bir eşik ile belirlenmektedir: Re_θ &gt; 2.9·Re_x^0.4. Laminar bölge Thwaites yöntemi ile entegre edilmekte; türbülanslı bölge Head'in H₁–θ formu ile ilerletilmektedir.</w:t>
      </w:r>
    </w:p>
    <w:p>
      <w:pPr>
        <w:spacing w:after="60" w:before="60"/>
      </w:pPr>
      <w:r>
        <w:t xml:space="preserve"/>
      </w:r>
    </w:p>
    <w:p>
      <w:pPr>
        <w:pStyle w:val="Heading2"/>
        <w:spacing w:after="120" w:before="320"/>
      </w:pPr>
      <w:r>
        <w:rPr>
          <w:rFonts w:ascii="Arial" w:cs="Arial" w:eastAsia="Arial" w:hAnsi="Arial"/>
          <w:b/>
          <w:bCs/>
          <w:color w:val="1E3A5F"/>
          <w:sz w:val="28"/>
          <w:szCs w:val="28"/>
        </w:rPr>
        <w:t xml:space="preserve">6.2 Sürtünme Katsayısı</w:t>
      </w:r>
    </w:p>
    <w:p>
      <w:pPr>
        <w:spacing w:after="100" w:before="60"/>
      </w:pPr>
      <w:r>
        <w:rPr>
          <w:rFonts w:ascii="Courier New" w:cs="Courier New" w:eastAsia="Courier New" w:hAnsi="Courier New"/>
          <w:color w:val="1E3A5F"/>
          <w:sz w:val="20"/>
          <w:szCs w:val="20"/>
        </w:rPr>
        <w:t xml:space="preserve">Cf = 0.246 · exp(−1.561·H) · Re_θ^(−0.268)</w:t>
      </w:r>
    </w:p>
    <w:p>
      <w:pPr>
        <w:spacing w:after="100" w:before="60"/>
      </w:pPr>
      <w:r>
        <w:rPr>
          <w:rFonts w:ascii="Arial" w:cs="Arial" w:eastAsia="Arial" w:hAnsi="Arial"/>
          <w:sz w:val="22"/>
          <w:szCs w:val="22"/>
        </w:rPr>
        <w:t xml:space="preserve">Bu ifade Head'in orijinal formülünden türetilmiş ve literatürde yaygın biçimde kullanılmaktadır.</w:t>
      </w:r>
    </w:p>
    <w:p>
      <w:pPr>
        <w:spacing w:after="60" w:before="60"/>
      </w:pPr>
      <w:r>
        <w:t xml:space="preserve"/>
      </w:r>
    </w:p>
    <w:p>
      <w:pPr>
        <w:pBdr>
          <w:left w:val="single" w:color="FDE68A" w:sz="12" w:space="8"/>
        </w:pBdr>
        <w:shd w:fill="FEF3C7" w:val="clear"/>
        <w:spacing w:after="40" w:before="120"/>
      </w:pPr>
      <w:r>
        <w:rPr>
          <w:rFonts w:ascii="Arial" w:cs="Arial" w:eastAsia="Arial" w:hAnsi="Arial"/>
          <w:b/>
          <w:bCs/>
          <w:color w:val="92400E"/>
          <w:sz w:val="22"/>
          <w:szCs w:val="22"/>
        </w:rPr>
        <w:t xml:space="preserve">★★★☆☆ Orta — Bağlı akışta makul, ayrışmada zorlanır</w:t>
      </w:r>
    </w:p>
    <w:p>
      <w:pPr>
        <w:pBdr>
          <w:left w:val="single" w:color="FDE68A" w:sz="12" w:space="8"/>
        </w:pBdr>
        <w:shd w:fill="FEF3C7" w:val="clear"/>
        <w:spacing w:after="20" w:before="20"/>
        <w:ind w:left="240"/>
      </w:pPr>
      <w:r>
        <w:rPr>
          <w:rFonts w:ascii="Arial" w:cs="Arial" w:eastAsia="Arial" w:hAnsi="Arial"/>
          <w:color w:val="1E293B"/>
          <w:sz w:val="20"/>
          <w:szCs w:val="20"/>
        </w:rPr>
        <w:t xml:space="preserve">Bağlı türbülanslı akışta (H &lt; 2.0) momentum kalınlığı θ ve şekil faktörü H tahminleri niteliksel olarak doğrudur.</w:t>
      </w:r>
    </w:p>
    <w:p>
      <w:pPr>
        <w:pBdr>
          <w:left w:val="single" w:color="FDE68A" w:sz="12" w:space="8"/>
        </w:pBdr>
        <w:shd w:fill="FEF3C7" w:val="clear"/>
        <w:spacing w:after="20" w:before="20"/>
        <w:ind w:left="240"/>
      </w:pPr>
      <w:r>
        <w:rPr>
          <w:rFonts w:ascii="Arial" w:cs="Arial" w:eastAsia="Arial" w:hAnsi="Arial"/>
          <w:color w:val="1E293B"/>
          <w:sz w:val="20"/>
          <w:szCs w:val="20"/>
        </w:rPr>
        <w:t xml:space="preserve">Wake momentum kayıp integrali cd_sq = 2θ_te·ue_te^((5+H)/5) genel kabul görmüş yaklaşımdır.</w:t>
      </w:r>
    </w:p>
    <w:p>
      <w:pPr>
        <w:pBdr>
          <w:left w:val="single" w:color="FDE68A" w:sz="12" w:space="8"/>
        </w:pBdr>
        <w:shd w:fill="FEF3C7" w:val="clear"/>
        <w:spacing w:after="20" w:before="20"/>
        <w:ind w:left="240"/>
      </w:pPr>
      <w:r>
        <w:rPr>
          <w:rFonts w:ascii="Arial" w:cs="Arial" w:eastAsia="Arial" w:hAnsi="Arial"/>
          <w:color w:val="1E293B"/>
          <w:sz w:val="20"/>
          <w:szCs w:val="20"/>
        </w:rPr>
        <w:t xml:space="preserve">Geçiş tahmini (Michel benzeri) basitleştirilmiştir; XFOIL'in e^N yöntemiyle kıyaslandığında ±%20 xtr farkı olabilir.</w:t>
      </w:r>
    </w:p>
    <w:p>
      <w:pPr>
        <w:pBdr>
          <w:left w:val="single" w:color="FDE68A" w:sz="12" w:space="8"/>
        </w:pBdr>
        <w:shd w:fill="FEF3C7" w:val="clear"/>
        <w:spacing w:after="20" w:before="20"/>
        <w:ind w:left="240"/>
      </w:pPr>
      <w:r>
        <w:rPr>
          <w:rFonts w:ascii="Arial" w:cs="Arial" w:eastAsia="Arial" w:hAnsi="Arial"/>
          <w:color w:val="1E293B"/>
          <w:sz w:val="20"/>
          <w:szCs w:val="20"/>
        </w:rPr>
        <w:t xml:space="preserve">Sınır: H &gt; 3.2 kısmi ayrışma sinyali olarak kullanılmaktadır; gerçek ayrışmada integral modelin güvenilirliği azalır.</w:t>
      </w:r>
    </w:p>
    <w:p>
      <w:pPr>
        <w:pBdr>
          <w:left w:val="single" w:color="FDE68A" w:sz="12" w:space="8"/>
        </w:pBdr>
        <w:shd w:fill="FEF3C7" w:val="clear"/>
        <w:spacing w:after="20" w:before="20"/>
        <w:ind w:left="240"/>
      </w:pPr>
      <w:r>
        <w:rPr>
          <w:rFonts w:ascii="Arial" w:cs="Arial" w:eastAsia="Arial" w:hAnsi="Arial"/>
          <w:color w:val="1E293B"/>
          <w:sz w:val="20"/>
          <w:szCs w:val="20"/>
        </w:rPr>
        <w:t xml:space="preserve">Sınır: Laminar baloncuk (laminar separation bubble), düşük Re ve ince profillerinde kritik önemdedir; modellenemez.</w:t>
      </w:r>
    </w:p>
    <w:p>
      <w:pPr>
        <w:pBdr>
          <w:left w:val="single" w:color="FDE68A" w:sz="12" w:space="8"/>
        </w:pBdr>
        <w:shd w:fill="FEF3C7" w:val="clear"/>
        <w:spacing w:after="20" w:before="20"/>
        <w:ind w:left="240"/>
      </w:pPr>
      <w:r>
        <w:rPr>
          <w:rFonts w:ascii="Arial" w:cs="Arial" w:eastAsia="Arial" w:hAnsi="Arial"/>
          <w:color w:val="1E293B"/>
          <w:sz w:val="20"/>
          <w:szCs w:val="20"/>
        </w:rPr>
        <w:t xml:space="preserve">Sınır: Ters basınç gradyanı altında θ büyümesinin doğru tahmin edilmesi bu yöntemin zayıf noktasıdır.</w:t>
      </w:r>
    </w:p>
    <w:p>
      <w:pPr>
        <w:spacing w:after="60" w:before="60"/>
      </w:pPr>
      <w:r>
        <w:t xml:space="preserve"/>
      </w:r>
    </w:p>
    <w:p>
      <w:r>
        <w:br w:type="page"/>
      </w:r>
    </w:p>
    <w:p>
      <w:pPr>
        <w:pStyle w:val="Heading1"/>
        <w:pBdr>
          <w:bottom w:val="single" w:color="2563EB" w:sz="4" w:space="6"/>
        </w:pBdr>
        <w:spacing w:after="200" w:before="400"/>
      </w:pPr>
      <w:r>
        <w:rPr>
          <w:rFonts w:ascii="Arial" w:cs="Arial" w:eastAsia="Arial" w:hAnsi="Arial"/>
          <w:b/>
          <w:bCs/>
          <w:color w:val="1E3A5F"/>
          <w:sz w:val="36"/>
          <w:szCs w:val="36"/>
        </w:rPr>
        <w:t xml:space="preserve">7. Doğrusal Olmayan Kaldırma Hattı Teorisi (NLLT)</w:t>
      </w:r>
    </w:p>
    <w:p>
      <w:pPr>
        <w:pStyle w:val="Heading2"/>
        <w:spacing w:after="120" w:before="320"/>
      </w:pPr>
      <w:r>
        <w:rPr>
          <w:rFonts w:ascii="Arial" w:cs="Arial" w:eastAsia="Arial" w:hAnsi="Arial"/>
          <w:b/>
          <w:bCs/>
          <w:color w:val="1E3A5F"/>
          <w:sz w:val="28"/>
          <w:szCs w:val="28"/>
        </w:rPr>
        <w:t xml:space="preserve">7.1 Uygulanan Yöntem</w:t>
      </w:r>
    </w:p>
    <w:p>
      <w:pPr>
        <w:spacing w:after="100" w:before="60"/>
      </w:pPr>
      <w:r>
        <w:rPr>
          <w:rFonts w:ascii="Arial" w:cs="Arial" w:eastAsia="Arial" w:hAnsi="Arial"/>
          <w:sz w:val="22"/>
          <w:szCs w:val="22"/>
        </w:rPr>
        <w:t xml:space="preserve">Fourier sinüs serisi açılımıyla klasik Prandtl LLT çözülmekte, ardından 2B profil eğrilerinin doğrusal olmayan katkısı iteratif olarak güncellenmektedir (en fazla 18 iterasyon, tolerans 10⁻⁴). 30 Fourier modu kullanılmaktadır. Yakınsama sağlanamadığında lineer LLT'ye düşülmektedir.</w:t>
      </w:r>
    </w:p>
    <w:p>
      <w:pPr>
        <w:spacing w:after="60" w:before="60"/>
      </w:pPr>
      <w:r>
        <w:t xml:space="preserve"/>
      </w:r>
    </w:p>
    <w:p>
      <w:pPr>
        <w:pStyle w:val="Heading2"/>
        <w:spacing w:after="120" w:before="320"/>
      </w:pPr>
      <w:r>
        <w:rPr>
          <w:rFonts w:ascii="Arial" w:cs="Arial" w:eastAsia="Arial" w:hAnsi="Arial"/>
          <w:b/>
          <w:bCs/>
          <w:color w:val="1E3A5F"/>
          <w:sz w:val="28"/>
          <w:szCs w:val="28"/>
        </w:rPr>
        <w:t xml:space="preserve">7.2 Kanat Geometrisi Destekleri</w:t>
      </w:r>
    </w:p>
    <w:p>
      <w:pPr>
        <w:spacing w:after="100" w:before="60"/>
      </w:pPr>
      <w:r>
        <w:rPr>
          <w:rFonts w:ascii="Arial" w:cs="Arial" w:eastAsia="Arial" w:hAnsi="Arial"/>
          <w:sz w:val="22"/>
          <w:szCs w:val="22"/>
        </w:rPr>
        <w:t xml:space="preserve">Kink geometrisi (farklı ön kenar süpürmesi ile iç ve dış kanat), konik dereceli kesme (taper), burulma (twist), dihedral ve flap etkileri modellenmiştir. Süpürme açısı, kanat açıklığı boyunca kiriş pozisyonu üzerinden dolaylı biçimde hesaba katılmaktadır.</w:t>
      </w:r>
    </w:p>
    <w:p>
      <w:pPr>
        <w:spacing w:after="60" w:before="60"/>
      </w:pPr>
      <w:r>
        <w:t xml:space="preserve"/>
      </w:r>
    </w:p>
    <w:p>
      <w:pPr>
        <w:pStyle w:val="Heading2"/>
        <w:spacing w:after="120" w:before="320"/>
      </w:pPr>
      <w:r>
        <w:rPr>
          <w:rFonts w:ascii="Arial" w:cs="Arial" w:eastAsia="Arial" w:hAnsi="Arial"/>
          <w:b/>
          <w:bCs/>
          <w:color w:val="1E3A5F"/>
          <w:sz w:val="28"/>
          <w:szCs w:val="28"/>
        </w:rPr>
        <w:t xml:space="preserve">7.3 Literatür ile Karşılaştırma</w:t>
      </w:r>
    </w:p>
    <w:p>
      <w:pPr>
        <w:spacing w:after="100" w:before="60"/>
      </w:pPr>
      <w:r>
        <w:rPr>
          <w:rFonts w:ascii="Arial" w:cs="Arial" w:eastAsia="Arial" w:hAnsi="Arial"/>
          <w:b/>
          <w:bCs/>
          <w:color w:val="166534"/>
          <w:sz w:val="22"/>
          <w:szCs w:val="22"/>
        </w:rPr>
        <w:t xml:space="preserve">AR &gt; 4, süpürme &lt; 25°, α &lt; stall: </w:t>
      </w:r>
      <w:r>
        <w:rPr>
          <w:rFonts w:ascii="Arial" w:cs="Arial" w:eastAsia="Arial" w:hAnsi="Arial"/>
          <w:sz w:val="22"/>
          <w:szCs w:val="22"/>
        </w:rPr>
        <w:t xml:space="preserve">NACA Rapor 865 ve Phillips (2004, Journal of Aircraft) çalışmalarına göre NLLT bu rejimde vorteks kafes yöntemleriyle %2–5 içinde CL ve CDi üretmektedir.</w:t>
      </w:r>
    </w:p>
    <w:p>
      <w:pPr>
        <w:spacing w:after="60" w:before="60"/>
      </w:pPr>
      <w:r>
        <w:t xml:space="preserve"/>
      </w:r>
    </w:p>
    <w:p>
      <w:pPr>
        <w:spacing w:after="100" w:before="60"/>
      </w:pPr>
      <w:r>
        <w:rPr>
          <w:rFonts w:ascii="Arial" w:cs="Arial" w:eastAsia="Arial" w:hAnsi="Arial"/>
          <w:b/>
          <w:bCs/>
          <w:color w:val="92400E"/>
          <w:sz w:val="22"/>
          <w:szCs w:val="22"/>
        </w:rPr>
        <w:t xml:space="preserve">Süpürme 25–45°: </w:t>
      </w:r>
      <w:r>
        <w:rPr>
          <w:rFonts w:ascii="Arial" w:cs="Arial" w:eastAsia="Arial" w:hAnsi="Arial"/>
          <w:sz w:val="22"/>
          <w:szCs w:val="22"/>
        </w:rPr>
        <w:t xml:space="preserve">Klasik LLT, süpürme etkisini tam olarak yakalayamaz. Araştırma literatürü (Gallay &amp; Laurendeau 2015, Journal of Aircraft) bu rejimde CL'de ±5–10% sapma bildirir. YFoil'deki kink geometrisi bu etkiyi kısmen ele almaktadır.</w:t>
      </w:r>
    </w:p>
    <w:p>
      <w:pPr>
        <w:spacing w:after="60" w:before="60"/>
      </w:pPr>
      <w:r>
        <w:t xml:space="preserve"/>
      </w:r>
    </w:p>
    <w:p>
      <w:pPr>
        <w:spacing w:after="100" w:before="60"/>
      </w:pPr>
      <w:r>
        <w:rPr>
          <w:rFonts w:ascii="Arial" w:cs="Arial" w:eastAsia="Arial" w:hAnsi="Arial"/>
          <w:b/>
          <w:bCs/>
          <w:color w:val="991B1B"/>
          <w:sz w:val="22"/>
          <w:szCs w:val="22"/>
        </w:rPr>
        <w:t xml:space="preserve">AR &lt; 4 (delta kanat, kısa kanat): </w:t>
      </w:r>
      <w:r>
        <w:rPr>
          <w:rFonts w:ascii="Arial" w:cs="Arial" w:eastAsia="Arial" w:hAnsi="Arial"/>
          <w:sz w:val="22"/>
          <w:szCs w:val="22"/>
        </w:rPr>
        <w:t xml:space="preserve">LLT bu rejim için geliştirilmemiştir. CL aşırı tahmin, CDi ise düşük tahmin edilir. Panelde geçerli AR sınırı yoktur; kullanıcı dikkatli olmalıdır.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160"/>
        <w:gridCol w:w="2160"/>
        <w:gridCol w:w="2400"/>
      </w:tblGrid>
      <w:tr>
        <w:trPr>
          <w:tblHeader/>
        </w:trPr>
        <w:tc>
          <w:tcPr>
            <w:tcW w:type="dxa" w:w="26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Parametre</w:t>
            </w:r>
          </w:p>
        </w:tc>
        <w:tc>
          <w:tcPr>
            <w:tcW w:type="dxa" w:w="2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AR = 6, süpürme = 0°</w:t>
            </w:r>
          </w:p>
        </w:tc>
        <w:tc>
          <w:tcPr>
            <w:tcW w:type="dxa" w:w="2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AR = 6, süpürme = 20°</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AR = 3, süpürme = 30°</w:t>
            </w:r>
          </w:p>
        </w:tc>
      </w:tr>
      <w:tr>
        <w:tc>
          <w:tcPr>
            <w:tcW w:type="dxa" w:w="2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CL hatası (α = 4°)</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CDi hatası</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±%3</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±%5–8</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Güvenilmez</w:t>
            </w:r>
          </w:p>
        </w:tc>
      </w:tr>
      <w:tr>
        <w:tc>
          <w:tcPr>
            <w:tcW w:type="dxa" w:w="2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α_stall tahmin farkı</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r>
      <w:tr>
        <w:tc>
          <w:tcPr>
            <w:tcW w:type="dxa" w:w="2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Yük dağılımı şekli</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Çok iyi</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Kabul edilebilir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Sınırlı</w:t>
            </w:r>
          </w:p>
        </w:tc>
      </w:tr>
    </w:tbl>
    <w:p>
      <w:pPr>
        <w:spacing w:after="60" w:before="60"/>
      </w:pPr>
      <w:r>
        <w:t xml:space="preserve"/>
      </w:r>
    </w:p>
    <w:p>
      <w:pPr>
        <w:pBdr>
          <w:left w:val="single" w:color="BFDBFE" w:sz="12" w:space="8"/>
        </w:pBdr>
        <w:shd w:fill="DBEAFE" w:val="clear"/>
        <w:spacing w:after="40" w:before="120"/>
      </w:pPr>
      <w:r>
        <w:rPr>
          <w:rFonts w:ascii="Arial" w:cs="Arial" w:eastAsia="Arial" w:hAnsi="Arial"/>
          <w:b/>
          <w:bCs/>
          <w:color w:val="1D4ED8"/>
          <w:sz w:val="22"/>
          <w:szCs w:val="22"/>
        </w:rPr>
        <w:t xml:space="preserve">★★★★☆ Çok İyi — Standart ön tasarım doğruluğu</w:t>
      </w:r>
    </w:p>
    <w:p>
      <w:pPr>
        <w:pBdr>
          <w:left w:val="single" w:color="BFDBFE" w:sz="12" w:space="8"/>
        </w:pBdr>
        <w:shd w:fill="DBEAFE" w:val="clear"/>
        <w:spacing w:after="20" w:before="20"/>
        <w:ind w:left="240"/>
      </w:pPr>
      <w:r>
        <w:rPr>
          <w:rFonts w:ascii="Arial" w:cs="Arial" w:eastAsia="Arial" w:hAnsi="Arial"/>
          <w:color w:val="1E293B"/>
          <w:sz w:val="20"/>
          <w:szCs w:val="20"/>
        </w:rPr>
        <w:t xml:space="preserve">30 Fourier modu, klasik LLT uygulamaları için yeterlidir (genellikle 20–40 önerilir).</w:t>
      </w:r>
    </w:p>
    <w:p>
      <w:pPr>
        <w:pBdr>
          <w:left w:val="single" w:color="BFDBFE" w:sz="12" w:space="8"/>
        </w:pBdr>
        <w:shd w:fill="DBEAFE" w:val="clear"/>
        <w:spacing w:after="20" w:before="20"/>
        <w:ind w:left="240"/>
      </w:pPr>
      <w:r>
        <w:rPr>
          <w:rFonts w:ascii="Arial" w:cs="Arial" w:eastAsia="Arial" w:hAnsi="Arial"/>
          <w:color w:val="1E293B"/>
          <w:sz w:val="20"/>
          <w:szCs w:val="20"/>
        </w:rPr>
        <w:t xml:space="preserve">Gauss eleminasyonu doğrudur ve tam pivoting ile sayısal kararlılık sağlanmaktadır.</w:t>
      </w:r>
    </w:p>
    <w:p>
      <w:pPr>
        <w:pBdr>
          <w:left w:val="single" w:color="BFDBFE" w:sz="12" w:space="8"/>
        </w:pBdr>
        <w:shd w:fill="DBEAFE" w:val="clear"/>
        <w:spacing w:after="20" w:before="20"/>
        <w:ind w:left="240"/>
      </w:pPr>
      <w:r>
        <w:rPr>
          <w:rFonts w:ascii="Arial" w:cs="Arial" w:eastAsia="Arial" w:hAnsi="Arial"/>
          <w:color w:val="1E293B"/>
          <w:sz w:val="20"/>
          <w:szCs w:val="20"/>
        </w:rPr>
        <w:t xml:space="preserve">Karman-Tsien sıkıştırılabilirlik düzeltmesi (M &lt; 0.7) doğru biçimde uygulanmıştır.</w:t>
      </w:r>
    </w:p>
    <w:p>
      <w:pPr>
        <w:pBdr>
          <w:left w:val="single" w:color="BFDBFE" w:sz="12" w:space="8"/>
        </w:pBdr>
        <w:shd w:fill="DBEAFE" w:val="clear"/>
        <w:spacing w:after="20" w:before="20"/>
        <w:ind w:left="240"/>
      </w:pPr>
      <w:r>
        <w:rPr>
          <w:rFonts w:ascii="Arial" w:cs="Arial" w:eastAsia="Arial" w:hAnsi="Arial"/>
          <w:color w:val="1E293B"/>
          <w:sz w:val="20"/>
          <w:szCs w:val="20"/>
        </w:rPr>
        <w:t xml:space="preserve">Sınır: Klasik LLT, süpürme açısının oluşturduğu gerçek 3B vorteks yapısını yakalayamaz.</w:t>
      </w:r>
    </w:p>
    <w:p>
      <w:pPr>
        <w:pBdr>
          <w:left w:val="single" w:color="BFDBFE" w:sz="12" w:space="8"/>
        </w:pBdr>
        <w:shd w:fill="DBEAFE" w:val="clear"/>
        <w:spacing w:after="20" w:before="20"/>
        <w:ind w:left="240"/>
      </w:pPr>
      <w:r>
        <w:rPr>
          <w:rFonts w:ascii="Arial" w:cs="Arial" w:eastAsia="Arial" w:hAnsi="Arial"/>
          <w:color w:val="1E293B"/>
          <w:sz w:val="20"/>
          <w:szCs w:val="20"/>
        </w:rPr>
        <w:t xml:space="preserve">Sınır: Küçük AR'da uygulanmamalıdır.</w:t>
      </w:r>
    </w:p>
    <w:p>
      <w:pPr>
        <w:spacing w:after="60" w:before="60"/>
      </w:pPr>
      <w:r>
        <w:t xml:space="preserve"/>
      </w:r>
    </w:p>
    <w:p>
      <w:r>
        <w:br w:type="page"/>
      </w:r>
    </w:p>
    <w:p>
      <w:pPr>
        <w:pStyle w:val="Heading1"/>
        <w:pBdr>
          <w:bottom w:val="single" w:color="2563EB" w:sz="4" w:space="6"/>
        </w:pBdr>
        <w:spacing w:after="200" w:before="400"/>
      </w:pPr>
      <w:r>
        <w:rPr>
          <w:rFonts w:ascii="Arial" w:cs="Arial" w:eastAsia="Arial" w:hAnsi="Arial"/>
          <w:b/>
          <w:bCs/>
          <w:color w:val="1E3A5F"/>
          <w:sz w:val="36"/>
          <w:szCs w:val="36"/>
        </w:rPr>
        <w:t xml:space="preserve">8. Schlichting Karma Sürtünme Sürüklemesi</w:t>
      </w:r>
    </w:p>
    <w:p>
      <w:pPr>
        <w:pStyle w:val="Heading2"/>
        <w:spacing w:after="120" w:before="320"/>
      </w:pPr>
      <w:r>
        <w:rPr>
          <w:rFonts w:ascii="Arial" w:cs="Arial" w:eastAsia="Arial" w:hAnsi="Arial"/>
          <w:b/>
          <w:bCs/>
          <w:color w:val="1E3A5F"/>
          <w:sz w:val="28"/>
          <w:szCs w:val="28"/>
        </w:rPr>
        <w:t xml:space="preserve">8.1 Uygulanan Formül</w:t>
      </w:r>
    </w:p>
    <w:p>
      <w:pPr>
        <w:spacing w:after="100" w:before="60"/>
      </w:pPr>
      <w:r>
        <w:rPr>
          <w:rFonts w:ascii="Arial" w:cs="Arial" w:eastAsia="Arial" w:hAnsi="Arial"/>
          <w:sz w:val="22"/>
          <w:szCs w:val="22"/>
        </w:rPr>
        <w:t xml:space="preserve">Prandtl-Schlichting karma geçiş formülü uygulanmaktadır:</w:t>
      </w:r>
    </w:p>
    <w:p>
      <w:pPr>
        <w:spacing w:after="100" w:before="60"/>
      </w:pPr>
      <w:r>
        <w:rPr>
          <w:rFonts w:ascii="Courier New" w:cs="Courier New" w:eastAsia="Courier New" w:hAnsi="Courier New"/>
          <w:color w:val="1E3A5F"/>
          <w:sz w:val="20"/>
          <w:szCs w:val="20"/>
        </w:rPr>
        <w:t xml:space="preserve">A = 36.9 · xtr^0.625 · Re^0.375</w:t>
      </w:r>
    </w:p>
    <w:p>
      <w:pPr>
        <w:spacing w:after="100" w:before="60"/>
      </w:pPr>
      <w:r>
        <w:rPr>
          <w:rFonts w:ascii="Courier New" w:cs="Courier New" w:eastAsia="Courier New" w:hAnsi="Courier New"/>
          <w:color w:val="1E3A5F"/>
          <w:sz w:val="20"/>
          <w:szCs w:val="20"/>
        </w:rPr>
        <w:t xml:space="preserve">Cf = 0.455 / (log₁₀ Re)^2.58 − A / Re</w:t>
      </w:r>
    </w:p>
    <w:p>
      <w:pPr>
        <w:spacing w:after="100" w:before="60"/>
      </w:pPr>
      <w:r>
        <w:rPr>
          <w:rFonts w:ascii="Arial" w:cs="Arial" w:eastAsia="Arial" w:hAnsi="Arial"/>
          <w:sz w:val="22"/>
          <w:szCs w:val="22"/>
        </w:rPr>
        <w:t xml:space="preserve">Bu formül Schlichting 'Sınır Tabakası Teorisi' kitabında verilmekte ve havacılıkta yaygın biçimde kullanılmaktadır. Geçiş noktası xtr, Michel kriteri benzeri bir global ifadeyle tahmin edilmektedir.</w:t>
      </w:r>
    </w:p>
    <w:p>
      <w:pPr>
        <w:spacing w:after="60" w:before="60"/>
      </w:pPr>
      <w:r>
        <w:t xml:space="preserve"/>
      </w:r>
    </w:p>
    <w:p>
      <w:pPr>
        <w:pStyle w:val="Heading2"/>
        <w:spacing w:after="120" w:before="320"/>
      </w:pPr>
      <w:r>
        <w:rPr>
          <w:rFonts w:ascii="Arial" w:cs="Arial" w:eastAsia="Arial" w:hAnsi="Arial"/>
          <w:b/>
          <w:bCs/>
          <w:color w:val="1E3A5F"/>
          <w:sz w:val="28"/>
          <w:szCs w:val="28"/>
        </w:rPr>
        <w:t xml:space="preserve">8.2 Uygulama Tutarsızlığı (Önemli Bulgu)</w:t>
      </w:r>
    </w:p>
    <w:p>
      <w:pPr>
        <w:pBdr>
          <w:left w:val="single" w:color="FDE68A" w:sz="12" w:space="8"/>
        </w:pBdr>
        <w:shd w:fill="FEF3C7" w:val="clear"/>
        <w:spacing w:after="40" w:before="120"/>
      </w:pPr>
      <w:r>
        <w:rPr>
          <w:rFonts w:ascii="Arial" w:cs="Arial" w:eastAsia="Arial" w:hAnsi="Arial"/>
          <w:b/>
          <w:bCs/>
          <w:color w:val="92400E"/>
          <w:sz w:val="22"/>
          <w:szCs w:val="22"/>
        </w:rPr>
        <w:t xml:space="preserve">⚠️ Dikkat: CDf çift sayım riski tamamen giderilmemiştir</w:t>
      </w:r>
    </w:p>
    <w:p>
      <w:pPr>
        <w:pBdr>
          <w:left w:val="single" w:color="FDE68A" w:sz="12" w:space="8"/>
        </w:pBdr>
        <w:shd w:fill="FEF3C7" w:val="clear"/>
        <w:spacing w:after="20" w:before="20"/>
        <w:ind w:left="240"/>
      </w:pPr>
      <w:r>
        <w:rPr>
          <w:rFonts w:ascii="Arial" w:cs="Arial" w:eastAsia="Arial" w:hAnsi="Arial"/>
          <w:color w:val="1E293B"/>
          <w:sz w:val="20"/>
          <w:szCs w:val="20"/>
        </w:rPr>
        <w:t xml:space="preserve">Kod, VIE kaynağından gelen CD'yi 'profil sürüklemesi' olarak (ki bu zaten sürtünme + basınç içerir), CDf'yi ise 'ayrı bir katkı' olarak hesaplamaktadır.</w:t>
      </w:r>
    </w:p>
    <w:p>
      <w:pPr>
        <w:pBdr>
          <w:left w:val="single" w:color="FDE68A" w:sz="12" w:space="8"/>
        </w:pBdr>
        <w:shd w:fill="FEF3C7" w:val="clear"/>
        <w:spacing w:after="20" w:before="20"/>
        <w:ind w:left="240"/>
      </w:pPr>
      <w:r>
        <w:rPr>
          <w:rFonts w:ascii="Arial" w:cs="Arial" w:eastAsia="Arial" w:hAnsi="Arial"/>
          <w:color w:val="1E293B"/>
          <w:sz w:val="20"/>
          <w:szCs w:val="20"/>
        </w:rPr>
        <w:t xml:space="preserve">_source flag ile bu durumu tespit eden bir güvence mekanizması eklenmiştir (B-1 düzeltmesi).</w:t>
      </w:r>
    </w:p>
    <w:p>
      <w:pPr>
        <w:pBdr>
          <w:left w:val="single" w:color="FDE68A" w:sz="12" w:space="8"/>
        </w:pBdr>
        <w:shd w:fill="FEF3C7" w:val="clear"/>
        <w:spacing w:after="20" w:before="20"/>
        <w:ind w:left="240"/>
      </w:pPr>
      <w:r>
        <w:rPr>
          <w:rFonts w:ascii="Arial" w:cs="Arial" w:eastAsia="Arial" w:hAnsi="Arial"/>
          <w:color w:val="1E293B"/>
          <w:sz w:val="20"/>
          <w:szCs w:val="20"/>
        </w:rPr>
        <w:t xml:space="preserve">Ancak PDB kaynağından gelen CD ile CDf toplanmadığı için (satır 1813–1814), ana hesapta CDf sadece raporlama amaçlıdır.</w:t>
      </w:r>
    </w:p>
    <w:p>
      <w:pPr>
        <w:pBdr>
          <w:left w:val="single" w:color="FDE68A" w:sz="12" w:space="8"/>
        </w:pBdr>
        <w:shd w:fill="FEF3C7" w:val="clear"/>
        <w:spacing w:after="20" w:before="20"/>
        <w:ind w:left="240"/>
      </w:pPr>
      <w:r>
        <w:rPr>
          <w:rFonts w:ascii="Arial" w:cs="Arial" w:eastAsia="Arial" w:hAnsi="Arial"/>
          <w:color w:val="1E293B"/>
          <w:sz w:val="20"/>
          <w:szCs w:val="20"/>
        </w:rPr>
        <w:t xml:space="preserve">Telemetri kartındaki CD_friction değeri bilgilendiricidir fakat CD toplamına dahil edilmemektedir.</w:t>
      </w:r>
    </w:p>
    <w:p>
      <w:pPr>
        <w:pBdr>
          <w:left w:val="single" w:color="FDE68A" w:sz="12" w:space="8"/>
        </w:pBdr>
        <w:shd w:fill="FEF3C7" w:val="clear"/>
        <w:spacing w:after="20" w:before="20"/>
        <w:ind w:left="240"/>
      </w:pPr>
      <w:r>
        <w:rPr>
          <w:rFonts w:ascii="Arial" w:cs="Arial" w:eastAsia="Arial" w:hAnsi="Arial"/>
          <w:color w:val="1E293B"/>
          <w:sz w:val="20"/>
          <w:szCs w:val="20"/>
        </w:rPr>
        <w:t xml:space="preserve">Sonuç: Gösterilen CD değeri gerçek profilsürüklemesini içerirken CDf kartı 'ne kadarı sürtünmeden geliyor' sorusuna yanıt verir.</w:t>
      </w:r>
    </w:p>
    <w:p>
      <w:pPr>
        <w:spacing w:after="60" w:before="60"/>
      </w:pPr>
      <w:r>
        <w:t xml:space="preserve"/>
      </w:r>
    </w:p>
    <w:p>
      <w:pPr>
        <w:spacing w:after="100" w:before="60"/>
      </w:pPr>
      <w:r>
        <w:rPr>
          <w:rFonts w:ascii="Arial" w:cs="Arial" w:eastAsia="Arial" w:hAnsi="Arial"/>
          <w:b/>
          <w:bCs/>
          <w:color w:val="334155"/>
          <w:sz w:val="22"/>
          <w:szCs w:val="22"/>
        </w:rPr>
        <w:t xml:space="preserve">Cf formülünün kendisi: </w:t>
      </w:r>
      <w:r>
        <w:rPr>
          <w:rFonts w:ascii="Arial" w:cs="Arial" w:eastAsia="Arial" w:hAnsi="Arial"/>
          <w:sz w:val="22"/>
          <w:szCs w:val="22"/>
        </w:rPr>
        <w:t xml:space="preserve">Schlichting (1979) kitabından alınan Prandtl-Schlichting formülü, deneysel verilerle mükemmel uyumludur ve havacılık mühendisliği ders kitaplarında standart referans olarak kullanılmaktadır. Re 10⁵–10⁷ aralığında CFD karşılaştırma çalışmalarıyla %2–5 içinde doğrulanmıştır.</w:t>
      </w:r>
    </w:p>
    <w:p>
      <w:pPr>
        <w:spacing w:after="60" w:before="60"/>
      </w:pPr>
      <w:r>
        <w:t xml:space="preserve"/>
      </w:r>
    </w:p>
    <w:p>
      <w:pPr>
        <w:pBdr>
          <w:left w:val="single" w:color="FDE68A" w:sz="12" w:space="8"/>
        </w:pBdr>
        <w:shd w:fill="FEF3C7" w:val="clear"/>
        <w:spacing w:after="40" w:before="120"/>
      </w:pPr>
      <w:r>
        <w:rPr>
          <w:rFonts w:ascii="Arial" w:cs="Arial" w:eastAsia="Arial" w:hAnsi="Arial"/>
          <w:b/>
          <w:bCs/>
          <w:color w:val="92400E"/>
          <w:sz w:val="22"/>
          <w:szCs w:val="22"/>
        </w:rPr>
        <w:t xml:space="preserve">★★★☆☆ Orta — Formül doğru, uygulamada bağlam önemli</w:t>
      </w:r>
    </w:p>
    <w:p>
      <w:pPr>
        <w:pBdr>
          <w:left w:val="single" w:color="FDE68A" w:sz="12" w:space="8"/>
        </w:pBdr>
        <w:shd w:fill="FEF3C7" w:val="clear"/>
        <w:spacing w:after="20" w:before="20"/>
        <w:ind w:left="240"/>
      </w:pPr>
      <w:r>
        <w:rPr>
          <w:rFonts w:ascii="Arial" w:cs="Arial" w:eastAsia="Arial" w:hAnsi="Arial"/>
          <w:color w:val="1E293B"/>
          <w:sz w:val="20"/>
          <w:szCs w:val="20"/>
        </w:rPr>
        <w:t xml:space="preserve">Prandtl-Schlichting formülü doğru kodlanmıştır.</w:t>
      </w:r>
    </w:p>
    <w:p>
      <w:pPr>
        <w:pBdr>
          <w:left w:val="single" w:color="FDE68A" w:sz="12" w:space="8"/>
        </w:pBdr>
        <w:shd w:fill="FEF3C7" w:val="clear"/>
        <w:spacing w:after="20" w:before="20"/>
        <w:ind w:left="240"/>
      </w:pPr>
      <w:r>
        <w:rPr>
          <w:rFonts w:ascii="Arial" w:cs="Arial" w:eastAsia="Arial" w:hAnsi="Arial"/>
          <w:color w:val="1E293B"/>
          <w:sz w:val="20"/>
          <w:szCs w:val="20"/>
        </w:rPr>
        <w:t xml:space="preserve">Geçiş katsayısı (36.9) Michel kriteri ile uyumludur.</w:t>
      </w:r>
    </w:p>
    <w:p>
      <w:pPr>
        <w:pBdr>
          <w:left w:val="single" w:color="FDE68A" w:sz="12" w:space="8"/>
        </w:pBdr>
        <w:shd w:fill="FEF3C7" w:val="clear"/>
        <w:spacing w:after="20" w:before="20"/>
        <w:ind w:left="240"/>
      </w:pPr>
      <w:r>
        <w:rPr>
          <w:rFonts w:ascii="Arial" w:cs="Arial" w:eastAsia="Arial" w:hAnsi="Arial"/>
          <w:color w:val="1E293B"/>
          <w:sz w:val="20"/>
          <w:szCs w:val="20"/>
        </w:rPr>
        <w:t xml:space="preserve">Sınır: Kanat şeklini düz levha olarak yaklaşık işler; camber ve kalınlık profilinin ürettiği basınç gradyanını görmezden gelir.</w:t>
      </w:r>
    </w:p>
    <w:p>
      <w:pPr>
        <w:pBdr>
          <w:left w:val="single" w:color="FDE68A" w:sz="12" w:space="8"/>
        </w:pBdr>
        <w:shd w:fill="FEF3C7" w:val="clear"/>
        <w:spacing w:after="20" w:before="20"/>
        <w:ind w:left="240"/>
      </w:pPr>
      <w:r>
        <w:rPr>
          <w:rFonts w:ascii="Arial" w:cs="Arial" w:eastAsia="Arial" w:hAnsi="Arial"/>
          <w:color w:val="1E293B"/>
          <w:sz w:val="20"/>
          <w:szCs w:val="20"/>
        </w:rPr>
        <w:t xml:space="preserve">Sınır: Gerçek xtr geçişi baskı şartlarına, yüzey pürüzlülüğüne ve türbülans yoğunluğuna bağlıdır; bu basit Michel formülü tahmininin ötesindedir.</w:t>
      </w:r>
    </w:p>
    <w:p>
      <w:pPr>
        <w:pBdr>
          <w:left w:val="single" w:color="FDE68A" w:sz="12" w:space="8"/>
        </w:pBdr>
        <w:shd w:fill="FEF3C7" w:val="clear"/>
        <w:spacing w:after="20" w:before="20"/>
        <w:ind w:left="240"/>
      </w:pPr>
      <w:r>
        <w:rPr>
          <w:rFonts w:ascii="Arial" w:cs="Arial" w:eastAsia="Arial" w:hAnsi="Arial"/>
          <w:color w:val="1E293B"/>
          <w:sz w:val="20"/>
          <w:szCs w:val="20"/>
        </w:rPr>
        <w:t xml:space="preserve">Sonuç: CDf telemetri göstergesi için iyi bir referans değer; CL/CDi hesaplarını etkilemez.</w:t>
      </w:r>
    </w:p>
    <w:p>
      <w:pPr>
        <w:spacing w:after="60" w:before="60"/>
      </w:pPr>
      <w:r>
        <w:t xml:space="preserve"/>
      </w:r>
    </w:p>
    <w:p>
      <w:r>
        <w:br w:type="page"/>
      </w:r>
    </w:p>
    <w:p>
      <w:pPr>
        <w:pStyle w:val="Heading1"/>
        <w:pBdr>
          <w:bottom w:val="single" w:color="2563EB" w:sz="4" w:space="6"/>
        </w:pBdr>
        <w:spacing w:after="200" w:before="400"/>
      </w:pPr>
      <w:r>
        <w:rPr>
          <w:rFonts w:ascii="Arial" w:cs="Arial" w:eastAsia="Arial" w:hAnsi="Arial"/>
          <w:b/>
          <w:bCs/>
          <w:color w:val="1E3A5F"/>
          <w:sz w:val="36"/>
          <w:szCs w:val="36"/>
        </w:rPr>
        <w:t xml:space="preserve">9. Stall Modeli</w:t>
      </w:r>
    </w:p>
    <w:p>
      <w:pPr>
        <w:pStyle w:val="Heading2"/>
        <w:spacing w:after="120" w:before="320"/>
      </w:pPr>
      <w:r>
        <w:rPr>
          <w:rFonts w:ascii="Arial" w:cs="Arial" w:eastAsia="Arial" w:hAnsi="Arial"/>
          <w:b/>
          <w:bCs/>
          <w:color w:val="1E3A5F"/>
          <w:sz w:val="28"/>
          <w:szCs w:val="28"/>
        </w:rPr>
        <w:t xml:space="preserve">9.1 CLmax ve α_stall Tahmini</w:t>
      </w:r>
    </w:p>
    <w:p>
      <w:pPr>
        <w:spacing w:after="100" w:before="60"/>
      </w:pPr>
      <w:r>
        <w:rPr>
          <w:rFonts w:ascii="Arial" w:cs="Arial" w:eastAsia="Arial" w:hAnsi="Arial"/>
          <w:sz w:val="22"/>
          <w:szCs w:val="22"/>
        </w:rPr>
        <w:t xml:space="preserve">2B CLmax PDB'deki tablo değerlerinden (Re ile enterpolasyonla) alınmaktadır. Ardından üç boyutlu düzeltme uygulanır:</w:t>
      </w:r>
    </w:p>
    <w:p>
      <w:pPr>
        <w:spacing w:after="100" w:before="60"/>
      </w:pPr>
      <w:r>
        <w:rPr>
          <w:rFonts w:ascii="Courier New" w:cs="Courier New" w:eastAsia="Courier New" w:hAnsi="Courier New"/>
          <w:color w:val="1E3A5F"/>
          <w:sz w:val="20"/>
          <w:szCs w:val="20"/>
        </w:rPr>
        <w:t xml:space="preserve">CLmax_3D = CLmax_2D · cos(sweep)^0.5 · (AR / (AR + 2))</w:t>
      </w:r>
    </w:p>
    <w:p>
      <w:pPr>
        <w:spacing w:after="100" w:before="60"/>
      </w:pPr>
      <w:r>
        <w:rPr>
          <w:rFonts w:ascii="Arial" w:cs="Arial" w:eastAsia="Arial" w:hAnsi="Arial"/>
          <w:sz w:val="22"/>
          <w:szCs w:val="22"/>
        </w:rPr>
        <w:t xml:space="preserve">Burh ifade McCormick (1979) ve Raymer (1992) kaynaklarından alınmış empirik yaklaşımların bir birleşimidir. Stall açısı, 3B CLmax değerinden kaldırma hattı eğimi kullanılarak türetilmektedir.</w:t>
      </w:r>
    </w:p>
    <w:p>
      <w:pPr>
        <w:spacing w:after="60" w:before="60"/>
      </w:pPr>
      <w:r>
        <w:t xml:space="preserve"/>
      </w:r>
    </w:p>
    <w:p>
      <w:pPr>
        <w:pStyle w:val="Heading2"/>
        <w:spacing w:after="120" w:before="320"/>
      </w:pPr>
      <w:r>
        <w:rPr>
          <w:rFonts w:ascii="Arial" w:cs="Arial" w:eastAsia="Arial" w:hAnsi="Arial"/>
          <w:b/>
          <w:bCs/>
          <w:color w:val="1E3A5F"/>
          <w:sz w:val="28"/>
          <w:szCs w:val="28"/>
        </w:rPr>
        <w:t xml:space="preserve">9.2 Stall Tipi (LE/TE)</w:t>
      </w:r>
    </w:p>
    <w:p>
      <w:pPr>
        <w:spacing w:after="100" w:before="60"/>
      </w:pPr>
      <w:r>
        <w:rPr>
          <w:rFonts w:ascii="Arial" w:cs="Arial" w:eastAsia="Arial" w:hAnsi="Arial"/>
          <w:sz w:val="22"/>
          <w:szCs w:val="22"/>
        </w:rPr>
        <w:t xml:space="preserve">Profil kalınlığına göre sınıflandırma yapılmaktadır: t &lt; %9 → LE stall (ani), t &gt; %15 → TE stall (yumuşak), arası → birleşik. Bu yaklaşım McCormick (1979) Şekil 4-19'daki ile tutarlıdır.</w:t>
      </w:r>
    </w:p>
    <w:p>
      <w:pPr>
        <w:spacing w:after="60" w:before="60"/>
      </w:pPr>
      <w:r>
        <w:t xml:space="preserve"/>
      </w:r>
    </w:p>
    <w:p>
      <w:pPr>
        <w:pStyle w:val="Heading2"/>
        <w:spacing w:after="120" w:before="320"/>
      </w:pPr>
      <w:r>
        <w:rPr>
          <w:rFonts w:ascii="Arial" w:cs="Arial" w:eastAsia="Arial" w:hAnsi="Arial"/>
          <w:b/>
          <w:bCs/>
          <w:color w:val="1E3A5F"/>
          <w:sz w:val="28"/>
          <w:szCs w:val="28"/>
        </w:rPr>
        <w:t xml:space="preserve">9.3 Stall Sonrası Davranış</w:t>
      </w:r>
    </w:p>
    <w:p>
      <w:pPr>
        <w:spacing w:after="100" w:before="60"/>
      </w:pPr>
      <w:r>
        <w:rPr>
          <w:rFonts w:ascii="Arial" w:cs="Arial" w:eastAsia="Arial" w:hAnsi="Arial"/>
          <w:sz w:val="22"/>
          <w:szCs w:val="22"/>
        </w:rPr>
        <w:t xml:space="preserve">LE stall için cos²·exp çürüme eğrisi, TE stall için ise güçlü-kosinüs azalma kullanılmaktadır.</w:t>
      </w:r>
    </w:p>
    <w:p>
      <w:pPr>
        <w:spacing w:after="60" w:before="60"/>
      </w:pPr>
      <w:r>
        <w:t xml:space="preserve"/>
      </w:r>
    </w:p>
    <w:p>
      <w:pPr>
        <w:pBdr>
          <w:left w:val="single" w:color="FDE68A" w:sz="12" w:space="8"/>
        </w:pBdr>
        <w:shd w:fill="FEF3C7" w:val="clear"/>
        <w:spacing w:after="40" w:before="120"/>
      </w:pPr>
      <w:r>
        <w:rPr>
          <w:rFonts w:ascii="Arial" w:cs="Arial" w:eastAsia="Arial" w:hAnsi="Arial"/>
          <w:b/>
          <w:bCs/>
          <w:color w:val="92400E"/>
          <w:sz w:val="22"/>
          <w:szCs w:val="22"/>
        </w:rPr>
        <w:t xml:space="preserve">★★★☆☆ Orta — Nitel doğru, sayısal belirsiz</w:t>
      </w:r>
    </w:p>
    <w:p>
      <w:pPr>
        <w:pBdr>
          <w:left w:val="single" w:color="FDE68A" w:sz="12" w:space="8"/>
        </w:pBdr>
        <w:shd w:fill="FEF3C7" w:val="clear"/>
        <w:spacing w:after="20" w:before="20"/>
        <w:ind w:left="240"/>
      </w:pPr>
      <w:r>
        <w:rPr>
          <w:rFonts w:ascii="Arial" w:cs="Arial" w:eastAsia="Arial" w:hAnsi="Arial"/>
          <w:color w:val="1E293B"/>
          <w:sz w:val="20"/>
          <w:szCs w:val="20"/>
        </w:rPr>
        <w:t xml:space="preserve">CLmax tahmini ön tasarım için ±%10–15 doğruluk sunar; bu havacılık mühendisliği standardıdır.</w:t>
      </w:r>
    </w:p>
    <w:p>
      <w:pPr>
        <w:pBdr>
          <w:left w:val="single" w:color="FDE68A" w:sz="12" w:space="8"/>
        </w:pBdr>
        <w:shd w:fill="FEF3C7" w:val="clear"/>
        <w:spacing w:after="20" w:before="20"/>
        <w:ind w:left="240"/>
      </w:pPr>
      <w:r>
        <w:rPr>
          <w:rFonts w:ascii="Arial" w:cs="Arial" w:eastAsia="Arial" w:hAnsi="Arial"/>
          <w:color w:val="1E293B"/>
          <w:sz w:val="20"/>
          <w:szCs w:val="20"/>
        </w:rPr>
        <w:t xml:space="preserve">cos(sweep)^0.5 düzeltmesi basitleştirilmiş bir empirik ifadedir; vorteks kafes yöntemleri daha kesin sonuç verir.</w:t>
      </w:r>
    </w:p>
    <w:p>
      <w:pPr>
        <w:pBdr>
          <w:left w:val="single" w:color="FDE68A" w:sz="12" w:space="8"/>
        </w:pBdr>
        <w:shd w:fill="FEF3C7" w:val="clear"/>
        <w:spacing w:after="20" w:before="20"/>
        <w:ind w:left="240"/>
      </w:pPr>
      <w:r>
        <w:rPr>
          <w:rFonts w:ascii="Arial" w:cs="Arial" w:eastAsia="Arial" w:hAnsi="Arial"/>
          <w:color w:val="1E293B"/>
          <w:sz w:val="20"/>
          <w:szCs w:val="20"/>
        </w:rPr>
        <w:t xml:space="preserve">Stall tipi sınıflandırması (t &lt; %9 = LE) McCormick'e uygun fakat profilin detaylı geometrisini görmez.</w:t>
      </w:r>
    </w:p>
    <w:p>
      <w:pPr>
        <w:pBdr>
          <w:left w:val="single" w:color="FDE68A" w:sz="12" w:space="8"/>
        </w:pBdr>
        <w:shd w:fill="FEF3C7" w:val="clear"/>
        <w:spacing w:after="20" w:before="20"/>
        <w:ind w:left="240"/>
      </w:pPr>
      <w:r>
        <w:rPr>
          <w:rFonts w:ascii="Arial" w:cs="Arial" w:eastAsia="Arial" w:hAnsi="Arial"/>
          <w:color w:val="1E293B"/>
          <w:sz w:val="20"/>
          <w:szCs w:val="20"/>
        </w:rPr>
        <w:t xml:space="preserve">Sınır: Stall sonrası CL/CD eğrileri nitel karakteri doğru yansıtır fakat gerçek değerler büyük ölçüde geometriye, Re'ye ve yüzey durumuna bağlıdır.</w:t>
      </w:r>
    </w:p>
    <w:p>
      <w:pPr>
        <w:pBdr>
          <w:left w:val="single" w:color="FDE68A" w:sz="12" w:space="8"/>
        </w:pBdr>
        <w:shd w:fill="FEF3C7" w:val="clear"/>
        <w:spacing w:after="20" w:before="20"/>
        <w:ind w:left="240"/>
      </w:pPr>
      <w:r>
        <w:rPr>
          <w:rFonts w:ascii="Arial" w:cs="Arial" w:eastAsia="Arial" w:hAnsi="Arial"/>
          <w:color w:val="1E293B"/>
          <w:sz w:val="20"/>
          <w:szCs w:val="20"/>
        </w:rPr>
        <w:t xml:space="preserve">Sınır: AR etkisi yalnızca (AR/(AR+2)) terimiyle ele alınmaktadır; düşük AR kanatlarda düşük tahmin oluşabilir.</w:t>
      </w:r>
    </w:p>
    <w:p>
      <w:pPr>
        <w:pBdr>
          <w:left w:val="single" w:color="FDE68A" w:sz="12" w:space="8"/>
        </w:pBdr>
        <w:shd w:fill="FEF3C7" w:val="clear"/>
        <w:spacing w:after="20" w:before="20"/>
        <w:ind w:left="240"/>
      </w:pPr>
      <w:r>
        <w:rPr>
          <w:rFonts w:ascii="Arial" w:cs="Arial" w:eastAsia="Arial" w:hAnsi="Arial"/>
          <w:color w:val="1E293B"/>
          <w:sz w:val="20"/>
          <w:szCs w:val="20"/>
        </w:rPr>
        <w:t xml:space="preserve">Kullanıcıya tavsiye: Stall bölgesi ve sonrasındaki polar değerleri eğitim amacıyla görmek için mükemmeldir; sayısal tasarım kararları için ek doğrulama yapılmalıdır.</w:t>
      </w:r>
    </w:p>
    <w:p>
      <w:pPr>
        <w:spacing w:after="60" w:before="60"/>
      </w:pPr>
      <w:r>
        <w:t xml:space="preserve"/>
      </w:r>
    </w:p>
    <w:p>
      <w:pPr>
        <w:pStyle w:val="Heading1"/>
        <w:pBdr>
          <w:bottom w:val="single" w:color="2563EB" w:sz="4" w:space="6"/>
        </w:pBdr>
        <w:spacing w:after="200" w:before="400"/>
      </w:pPr>
      <w:r>
        <w:rPr>
          <w:rFonts w:ascii="Arial" w:cs="Arial" w:eastAsia="Arial" w:hAnsi="Arial"/>
          <w:b/>
          <w:bCs/>
          <w:color w:val="1E3A5F"/>
          <w:sz w:val="36"/>
          <w:szCs w:val="36"/>
        </w:rPr>
        <w:t xml:space="preserve">10. Dalga Sürüklemesi</w:t>
      </w:r>
    </w:p>
    <w:p>
      <w:pPr>
        <w:pStyle w:val="Heading2"/>
        <w:spacing w:after="120" w:before="320"/>
      </w:pPr>
      <w:r>
        <w:rPr>
          <w:rFonts w:ascii="Arial" w:cs="Arial" w:eastAsia="Arial" w:hAnsi="Arial"/>
          <w:b/>
          <w:bCs/>
          <w:color w:val="1E3A5F"/>
          <w:sz w:val="28"/>
          <w:szCs w:val="28"/>
        </w:rPr>
        <w:t xml:space="preserve">10.1 Mcr Tahmini</w:t>
      </w:r>
    </w:p>
    <w:p>
      <w:pPr>
        <w:spacing w:after="100" w:before="60"/>
      </w:pPr>
      <w:r>
        <w:rPr>
          <w:rFonts w:ascii="Courier New" w:cs="Courier New" w:eastAsia="Courier New" w:hAnsi="Courier New"/>
          <w:color w:val="1E3A5F"/>
          <w:sz w:val="20"/>
          <w:szCs w:val="20"/>
        </w:rPr>
        <w:t xml:space="preserve">Mcr = k / t^(1/3) − t − 0.03/k²,   k = 0.87</w:t>
      </w:r>
    </w:p>
    <w:p>
      <w:pPr>
        <w:spacing w:after="100" w:before="60"/>
      </w:pPr>
      <w:r>
        <w:rPr>
          <w:rFonts w:ascii="Arial" w:cs="Arial" w:eastAsia="Arial" w:hAnsi="Arial"/>
          <w:sz w:val="22"/>
          <w:szCs w:val="22"/>
        </w:rPr>
        <w:t xml:space="preserve">Bu ifade Korn denkleminin basitleştirilmiş bir versiyonudur ve ince profiller için kalınlık-Mcr ilişkisini yaklaşık olarak verir. Süpürme düzeltmesi cos(sweep)^(2/3) terimi ile yapılmaktadır.</w:t>
      </w:r>
    </w:p>
    <w:p>
      <w:pPr>
        <w:spacing w:after="60" w:before="60"/>
      </w:pPr>
      <w:r>
        <w:t xml:space="preserve"/>
      </w:r>
    </w:p>
    <w:p>
      <w:pPr>
        <w:pStyle w:val="Heading2"/>
        <w:spacing w:after="120" w:before="320"/>
      </w:pPr>
      <w:r>
        <w:rPr>
          <w:rFonts w:ascii="Arial" w:cs="Arial" w:eastAsia="Arial" w:hAnsi="Arial"/>
          <w:b/>
          <w:bCs/>
          <w:color w:val="1E3A5F"/>
          <w:sz w:val="28"/>
          <w:szCs w:val="28"/>
        </w:rPr>
        <w:t xml:space="preserve">10.2 CDw Modeli</w:t>
      </w:r>
    </w:p>
    <w:p>
      <w:pPr>
        <w:spacing w:after="100" w:before="60"/>
      </w:pPr>
      <w:r>
        <w:rPr>
          <w:rFonts w:ascii="Courier New" w:cs="Courier New" w:eastAsia="Courier New" w:hAnsi="Courier New"/>
          <w:color w:val="1E3A5F"/>
          <w:sz w:val="20"/>
          <w:szCs w:val="20"/>
        </w:rPr>
        <w:t xml:space="preserve">CDw = 0.002 · cos(sweep)^(−3) · (ΔM/0.1)² · [1 + 1.5·(ΔM/0.1)^1.5]</w:t>
      </w:r>
    </w:p>
    <w:p>
      <w:pPr>
        <w:spacing w:after="100" w:before="60"/>
      </w:pPr>
      <w:r>
        <w:rPr>
          <w:rFonts w:ascii="Arial" w:cs="Arial" w:eastAsia="Arial" w:hAnsi="Arial"/>
          <w:sz w:val="22"/>
          <w:szCs w:val="22"/>
        </w:rPr>
        <w:t xml:space="preserve">Bu ifade Drela'nın XFOIL dokümantasyonunda ve çeşitli ön tasarım metinlerinde verilen transonic dalga sürüklemesi modeline benzemektedir.</w:t>
      </w:r>
    </w:p>
    <w:p>
      <w:pPr>
        <w:spacing w:after="60" w:before="60"/>
      </w:pPr>
      <w:r>
        <w:t xml:space="preserve"/>
      </w:r>
    </w:p>
    <w:p>
      <w:pPr>
        <w:pBdr>
          <w:left w:val="single" w:color="FDE68A" w:sz="12" w:space="8"/>
        </w:pBdr>
        <w:shd w:fill="FEF3C7" w:val="clear"/>
        <w:spacing w:after="40" w:before="120"/>
      </w:pPr>
      <w:r>
        <w:rPr>
          <w:rFonts w:ascii="Arial" w:cs="Arial" w:eastAsia="Arial" w:hAnsi="Arial"/>
          <w:b/>
          <w:bCs/>
          <w:color w:val="92400E"/>
          <w:sz w:val="22"/>
          <w:szCs w:val="22"/>
        </w:rPr>
        <w:t xml:space="preserve">★★★☆☆ Orta — Ön tasarım için yeterli, M &gt; 0.85'te güvenilmez</w:t>
      </w:r>
    </w:p>
    <w:p>
      <w:pPr>
        <w:pBdr>
          <w:left w:val="single" w:color="FDE68A" w:sz="12" w:space="8"/>
        </w:pBdr>
        <w:shd w:fill="FEF3C7" w:val="clear"/>
        <w:spacing w:after="20" w:before="20"/>
        <w:ind w:left="240"/>
      </w:pPr>
      <w:r>
        <w:rPr>
          <w:rFonts w:ascii="Arial" w:cs="Arial" w:eastAsia="Arial" w:hAnsi="Arial"/>
          <w:color w:val="1E293B"/>
          <w:sz w:val="20"/>
          <w:szCs w:val="20"/>
        </w:rPr>
        <w:t xml:space="preserve">M &lt; Mcr için CDw = 0 doğrudur.</w:t>
      </w:r>
    </w:p>
    <w:p>
      <w:pPr>
        <w:pBdr>
          <w:left w:val="single" w:color="FDE68A" w:sz="12" w:space="8"/>
        </w:pBdr>
        <w:shd w:fill="FEF3C7" w:val="clear"/>
        <w:spacing w:after="20" w:before="20"/>
        <w:ind w:left="240"/>
      </w:pPr>
      <w:r>
        <w:rPr>
          <w:rFonts w:ascii="Arial" w:cs="Arial" w:eastAsia="Arial" w:hAnsi="Arial"/>
          <w:color w:val="1E293B"/>
          <w:sz w:val="20"/>
          <w:szCs w:val="20"/>
        </w:rPr>
        <w:t xml:space="preserve">M = Mcr + 0.05 civarında CDw büyümesi nitel olarak doğrudur.</w:t>
      </w:r>
    </w:p>
    <w:p>
      <w:pPr>
        <w:pBdr>
          <w:left w:val="single" w:color="FDE68A" w:sz="12" w:space="8"/>
        </w:pBdr>
        <w:shd w:fill="FEF3C7" w:val="clear"/>
        <w:spacing w:after="20" w:before="20"/>
        <w:ind w:left="240"/>
      </w:pPr>
      <w:r>
        <w:rPr>
          <w:rFonts w:ascii="Arial" w:cs="Arial" w:eastAsia="Arial" w:hAnsi="Arial"/>
          <w:color w:val="1E293B"/>
          <w:sz w:val="20"/>
          <w:szCs w:val="20"/>
        </w:rPr>
        <w:t xml:space="preserve">Sınır: Model, profil kalınlık dağılımını değil yalnızca ortalama kalınlık oranını kullanır.</w:t>
      </w:r>
    </w:p>
    <w:p>
      <w:pPr>
        <w:pBdr>
          <w:left w:val="single" w:color="FDE68A" w:sz="12" w:space="8"/>
        </w:pBdr>
        <w:shd w:fill="FEF3C7" w:val="clear"/>
        <w:spacing w:after="20" w:before="20"/>
        <w:ind w:left="240"/>
      </w:pPr>
      <w:r>
        <w:rPr>
          <w:rFonts w:ascii="Arial" w:cs="Arial" w:eastAsia="Arial" w:hAnsi="Arial"/>
          <w:color w:val="1E293B"/>
          <w:sz w:val="20"/>
          <w:szCs w:val="20"/>
        </w:rPr>
        <w:t xml:space="preserve">Sınır: M &gt; 0.85 transonikte şok konumu ve kuvvetinin doğru tahmini için tam transonic panel veya Euler çözücü gerekir.</w:t>
      </w:r>
    </w:p>
    <w:p>
      <w:pPr>
        <w:pBdr>
          <w:left w:val="single" w:color="FDE68A" w:sz="12" w:space="8"/>
        </w:pBdr>
        <w:shd w:fill="FEF3C7" w:val="clear"/>
        <w:spacing w:after="20" w:before="20"/>
        <w:ind w:left="240"/>
      </w:pPr>
      <w:r>
        <w:rPr>
          <w:rFonts w:ascii="Arial" w:cs="Arial" w:eastAsia="Arial" w:hAnsi="Arial"/>
          <w:color w:val="1E293B"/>
          <w:sz w:val="20"/>
          <w:szCs w:val="20"/>
        </w:rPr>
        <w:t xml:space="preserve">Uygulamanın hedef kitlesi (GA, UAV) için bu bölge genellikle geçerli rejim dışındadır.</w:t>
      </w:r>
    </w:p>
    <w:p>
      <w:pPr>
        <w:spacing w:after="60" w:before="60"/>
      </w:pPr>
      <w:r>
        <w:t xml:space="preserve"/>
      </w:r>
    </w:p>
    <w:p>
      <w:r>
        <w:br w:type="page"/>
      </w:r>
    </w:p>
    <w:p>
      <w:pPr>
        <w:pStyle w:val="Heading1"/>
        <w:pBdr>
          <w:bottom w:val="single" w:color="2563EB" w:sz="4" w:space="6"/>
        </w:pBdr>
        <w:spacing w:after="200" w:before="400"/>
      </w:pPr>
      <w:r>
        <w:rPr>
          <w:rFonts w:ascii="Arial" w:cs="Arial" w:eastAsia="Arial" w:hAnsi="Arial"/>
          <w:b/>
          <w:bCs/>
          <w:color w:val="1E3A5F"/>
          <w:sz w:val="36"/>
          <w:szCs w:val="36"/>
        </w:rPr>
        <w:t xml:space="preserve">11. Yer Etkisi (Ground Effect)</w:t>
      </w:r>
    </w:p>
    <w:p>
      <w:pPr>
        <w:pStyle w:val="Heading2"/>
        <w:spacing w:after="120" w:before="320"/>
      </w:pPr>
      <w:r>
        <w:rPr>
          <w:rFonts w:ascii="Arial" w:cs="Arial" w:eastAsia="Arial" w:hAnsi="Arial"/>
          <w:b/>
          <w:bCs/>
          <w:color w:val="1E3A5F"/>
          <w:sz w:val="28"/>
          <w:szCs w:val="28"/>
        </w:rPr>
        <w:t xml:space="preserve">11.1 Uygulanan Model</w:t>
      </w:r>
    </w:p>
    <w:p>
      <w:pPr>
        <w:spacing w:after="100" w:before="60"/>
      </w:pPr>
      <w:r>
        <w:rPr>
          <w:rFonts w:ascii="Arial" w:cs="Arial" w:eastAsia="Arial" w:hAnsi="Arial"/>
          <w:sz w:val="22"/>
          <w:szCs w:val="22"/>
        </w:rPr>
        <w:t xml:space="preserve">Raporlanan 'görüntü girdap' (image vortex) modeli uygulanmaktadır:</w:t>
      </w:r>
    </w:p>
    <w:p>
      <w:pPr>
        <w:spacing w:after="100" w:before="60"/>
      </w:pPr>
      <w:r>
        <w:rPr>
          <w:rFonts w:ascii="Courier New" w:cs="Courier New" w:eastAsia="Courier New" w:hAnsi="Courier New"/>
          <w:color w:val="1E3A5F"/>
          <w:sz w:val="20"/>
          <w:szCs w:val="20"/>
        </w:rPr>
        <w:t xml:space="preserve">Φ = (16h/b)² / (1 + (16h/b)²)</w:t>
      </w:r>
    </w:p>
    <w:p>
      <w:pPr>
        <w:spacing w:after="100" w:before="60"/>
      </w:pPr>
      <w:r>
        <w:rPr>
          <w:rFonts w:ascii="Arial" w:cs="Arial" w:eastAsia="Arial" w:hAnsi="Arial"/>
          <w:sz w:val="22"/>
          <w:szCs w:val="22"/>
        </w:rPr>
        <w:t xml:space="preserve">CDi_eff = CDi · Φ</w:t>
      </w:r>
    </w:p>
    <w:p>
      <w:pPr>
        <w:spacing w:after="100" w:before="60"/>
      </w:pPr>
      <w:r>
        <w:rPr>
          <w:rFonts w:ascii="Arial" w:cs="Arial" w:eastAsia="Arial" w:hAnsi="Arial"/>
          <w:sz w:val="22"/>
          <w:szCs w:val="22"/>
        </w:rPr>
        <w:t xml:space="preserve">Bu formül Raymer (1992) ve Torenbeek kaynaklarında verilen ve NACA'nın Reid (1932) deneysel verilerine dayandırılan standart yer etkisi modelidir.</w:t>
      </w:r>
    </w:p>
    <w:p>
      <w:pPr>
        <w:spacing w:after="60" w:before="60"/>
      </w:pPr>
      <w:r>
        <w:t xml:space="preserve"/>
      </w:r>
    </w:p>
    <w:p>
      <w:pPr>
        <w:pBdr>
          <w:left w:val="single" w:color="FDE68A" w:sz="12" w:space="8"/>
        </w:pBdr>
        <w:shd w:fill="FEF3C7" w:val="clear"/>
        <w:spacing w:after="40" w:before="120"/>
      </w:pPr>
      <w:r>
        <w:rPr>
          <w:rFonts w:ascii="Arial" w:cs="Arial" w:eastAsia="Arial" w:hAnsi="Arial"/>
          <w:b/>
          <w:bCs/>
          <w:color w:val="92400E"/>
          <w:sz w:val="22"/>
          <w:szCs w:val="22"/>
        </w:rPr>
        <w:t xml:space="preserve">★★★☆☆ Orta — Ön tasarım için standart</w:t>
      </w:r>
    </w:p>
    <w:p>
      <w:pPr>
        <w:pBdr>
          <w:left w:val="single" w:color="FDE68A" w:sz="12" w:space="8"/>
        </w:pBdr>
        <w:shd w:fill="FEF3C7" w:val="clear"/>
        <w:spacing w:after="20" w:before="20"/>
        <w:ind w:left="240"/>
      </w:pPr>
      <w:r>
        <w:rPr>
          <w:rFonts w:ascii="Arial" w:cs="Arial" w:eastAsia="Arial" w:hAnsi="Arial"/>
          <w:color w:val="1E293B"/>
          <w:sz w:val="20"/>
          <w:szCs w:val="20"/>
        </w:rPr>
        <w:t xml:space="preserve">Reid (1932) ve sonraki deneysel verilerle ±%10–15 içinde uyum (h/b &gt; 0.05 için).</w:t>
      </w:r>
    </w:p>
    <w:p>
      <w:pPr>
        <w:pBdr>
          <w:left w:val="single" w:color="FDE68A" w:sz="12" w:space="8"/>
        </w:pBdr>
        <w:shd w:fill="FEF3C7" w:val="clear"/>
        <w:spacing w:after="20" w:before="20"/>
        <w:ind w:left="240"/>
      </w:pPr>
      <w:r>
        <w:rPr>
          <w:rFonts w:ascii="Arial" w:cs="Arial" w:eastAsia="Arial" w:hAnsi="Arial"/>
          <w:color w:val="1E293B"/>
          <w:sz w:val="20"/>
          <w:szCs w:val="20"/>
        </w:rPr>
        <w:t xml:space="preserve">Model kanat profiline duyarsızdır; CDi azalmasını doğru, CL artışını ise ancak dolaylı olarak temsil eder.</w:t>
      </w:r>
    </w:p>
    <w:p>
      <w:pPr>
        <w:pBdr>
          <w:left w:val="single" w:color="FDE68A" w:sz="12" w:space="8"/>
        </w:pBdr>
        <w:shd w:fill="FEF3C7" w:val="clear"/>
        <w:spacing w:after="20" w:before="20"/>
        <w:ind w:left="240"/>
      </w:pPr>
      <w:r>
        <w:rPr>
          <w:rFonts w:ascii="Arial" w:cs="Arial" w:eastAsia="Arial" w:hAnsi="Arial"/>
          <w:color w:val="1E293B"/>
          <w:sz w:val="20"/>
          <w:szCs w:val="20"/>
        </w:rPr>
        <w:t xml:space="preserve">Sınır: Bire bir yer üzerinde uçuş (h/b &lt; 0.05) için lineer model yanıltıcı olabilir.</w:t>
      </w:r>
    </w:p>
    <w:p>
      <w:pPr>
        <w:pBdr>
          <w:left w:val="single" w:color="FDE68A" w:sz="12" w:space="8"/>
        </w:pBdr>
        <w:shd w:fill="FEF3C7" w:val="clear"/>
        <w:spacing w:after="20" w:before="20"/>
        <w:ind w:left="240"/>
      </w:pPr>
      <w:r>
        <w:rPr>
          <w:rFonts w:ascii="Arial" w:cs="Arial" w:eastAsia="Arial" w:hAnsi="Arial"/>
          <w:color w:val="1E293B"/>
          <w:sz w:val="20"/>
          <w:szCs w:val="20"/>
        </w:rPr>
        <w:t xml:space="preserve">Sınır: Yer etkisinde gerçek CL artışı ve Cm değişimi bu modelde gösterilmez.</w:t>
      </w:r>
    </w:p>
    <w:p>
      <w:pPr>
        <w:spacing w:after="60" w:before="60"/>
      </w:pPr>
      <w:r>
        <w:t xml:space="preserve"/>
      </w:r>
    </w:p>
    <w:p>
      <w:pPr>
        <w:pStyle w:val="Heading1"/>
        <w:pBdr>
          <w:bottom w:val="single" w:color="2563EB" w:sz="4" w:space="6"/>
        </w:pBdr>
        <w:spacing w:after="200" w:before="400"/>
      </w:pPr>
      <w:r>
        <w:rPr>
          <w:rFonts w:ascii="Arial" w:cs="Arial" w:eastAsia="Arial" w:hAnsi="Arial"/>
          <w:b/>
          <w:bCs/>
          <w:color w:val="1E3A5F"/>
          <w:sz w:val="36"/>
          <w:szCs w:val="36"/>
        </w:rPr>
        <w:t xml:space="preserve">12. Statik Marj ve Nötr Nokta</w:t>
      </w:r>
    </w:p>
    <w:p>
      <w:pPr>
        <w:pStyle w:val="Heading2"/>
        <w:spacing w:after="120" w:before="320"/>
      </w:pPr>
      <w:r>
        <w:rPr>
          <w:rFonts w:ascii="Arial" w:cs="Arial" w:eastAsia="Arial" w:hAnsi="Arial"/>
          <w:b/>
          <w:bCs/>
          <w:color w:val="1E3A5F"/>
          <w:sz w:val="28"/>
          <w:szCs w:val="28"/>
        </w:rPr>
        <w:t xml:space="preserve">12.1 Yöntem</w:t>
      </w:r>
    </w:p>
    <w:p>
      <w:pPr>
        <w:spacing w:after="100" w:before="60"/>
      </w:pPr>
      <w:r>
        <w:rPr>
          <w:rFonts w:ascii="Arial" w:cs="Arial" w:eastAsia="Arial" w:hAnsi="Arial"/>
          <w:sz w:val="22"/>
          <w:szCs w:val="22"/>
        </w:rPr>
        <w:t xml:space="preserve">dCm/dCL eğimi, α = −1° ve α = +3° noktaları arasındaki polar tarama verisinden numerik türev alınarak hesaplanmaktadır. Nötr nokta: xNP = xAC − (dCm/dCL)·100, aeridinamik merkez ise 1/4 kiriş noktasında sabit kabul edilmektedir.</w:t>
      </w:r>
    </w:p>
    <w:p>
      <w:pPr>
        <w:spacing w:after="60" w:before="60"/>
      </w:pPr>
      <w:r>
        <w:t xml:space="preserve"/>
      </w:r>
    </w:p>
    <w:p>
      <w:pPr>
        <w:pBdr>
          <w:left w:val="single" w:color="FDE68A" w:sz="12" w:space="8"/>
        </w:pBdr>
        <w:shd w:fill="FEF3C7" w:val="clear"/>
        <w:spacing w:after="40" w:before="120"/>
      </w:pPr>
      <w:r>
        <w:rPr>
          <w:rFonts w:ascii="Arial" w:cs="Arial" w:eastAsia="Arial" w:hAnsi="Arial"/>
          <w:b/>
          <w:bCs/>
          <w:color w:val="92400E"/>
          <w:sz w:val="22"/>
          <w:szCs w:val="22"/>
        </w:rPr>
        <w:t xml:space="preserve">★★★☆☆ Orta — Eğilim doğru, mutlak değer yaklaşık</w:t>
      </w:r>
    </w:p>
    <w:p>
      <w:pPr>
        <w:pBdr>
          <w:left w:val="single" w:color="FDE68A" w:sz="12" w:space="8"/>
        </w:pBdr>
        <w:shd w:fill="FEF3C7" w:val="clear"/>
        <w:spacing w:after="20" w:before="20"/>
        <w:ind w:left="240"/>
      </w:pPr>
      <w:r>
        <w:rPr>
          <w:rFonts w:ascii="Arial" w:cs="Arial" w:eastAsia="Arial" w:hAnsi="Arial"/>
          <w:color w:val="1E293B"/>
          <w:sz w:val="20"/>
          <w:szCs w:val="20"/>
        </w:rPr>
        <w:t xml:space="preserve">Lineer rejimde (α = −1° ile +3°) dCm/dα eğimi Cm polar verisinden doğru hesaplanmaktadır.</w:t>
      </w:r>
    </w:p>
    <w:p>
      <w:pPr>
        <w:pBdr>
          <w:left w:val="single" w:color="FDE68A" w:sz="12" w:space="8"/>
        </w:pBdr>
        <w:shd w:fill="FEF3C7" w:val="clear"/>
        <w:spacing w:after="20" w:before="20"/>
        <w:ind w:left="240"/>
      </w:pPr>
      <w:r>
        <w:rPr>
          <w:rFonts w:ascii="Arial" w:cs="Arial" w:eastAsia="Arial" w:hAnsi="Arial"/>
          <w:color w:val="1E293B"/>
          <w:sz w:val="20"/>
          <w:szCs w:val="20"/>
        </w:rPr>
        <w:t xml:space="preserve">Kararlı / kararsız sınıflandırması (SM &gt; 0) doğrudur.</w:t>
      </w:r>
    </w:p>
    <w:p>
      <w:pPr>
        <w:pBdr>
          <w:left w:val="single" w:color="FDE68A" w:sz="12" w:space="8"/>
        </w:pBdr>
        <w:shd w:fill="FEF3C7" w:val="clear"/>
        <w:spacing w:after="20" w:before="20"/>
        <w:ind w:left="240"/>
      </w:pPr>
      <w:r>
        <w:rPr>
          <w:rFonts w:ascii="Arial" w:cs="Arial" w:eastAsia="Arial" w:hAnsi="Arial"/>
          <w:color w:val="1E293B"/>
          <w:sz w:val="20"/>
          <w:szCs w:val="20"/>
        </w:rPr>
        <w:t xml:space="preserve">Sınır: xAC = %25 sabit varsayımı tam doğru değildir; gerçek aeridinamik merkez kiriş profiline ve geometriye bağlı olarak ±%2–5 kayabilir.</w:t>
      </w:r>
    </w:p>
    <w:p>
      <w:pPr>
        <w:pBdr>
          <w:left w:val="single" w:color="FDE68A" w:sz="12" w:space="8"/>
        </w:pBdr>
        <w:shd w:fill="FEF3C7" w:val="clear"/>
        <w:spacing w:after="20" w:before="20"/>
        <w:ind w:left="240"/>
      </w:pPr>
      <w:r>
        <w:rPr>
          <w:rFonts w:ascii="Arial" w:cs="Arial" w:eastAsia="Arial" w:hAnsi="Arial"/>
          <w:color w:val="1E293B"/>
          <w:sz w:val="20"/>
          <w:szCs w:val="20"/>
        </w:rPr>
        <w:t xml:space="preserve">Sınır: Hesaplanan SM değerinin mutlak doğruluğu ±%3–5 MAC olarak düşünülmelidir; tüm tasarım kararları için doğrulama önerilir.</w:t>
      </w:r>
    </w:p>
    <w:p>
      <w:pPr>
        <w:spacing w:after="60" w:before="60"/>
      </w:pPr>
      <w:r>
        <w:t xml:space="preserve"/>
      </w:r>
    </w:p>
    <w:p>
      <w:pPr>
        <w:pStyle w:val="Heading1"/>
        <w:pBdr>
          <w:bottom w:val="single" w:color="2563EB" w:sz="4" w:space="6"/>
        </w:pBdr>
        <w:spacing w:after="200" w:before="400"/>
      </w:pPr>
      <w:r>
        <w:rPr>
          <w:rFonts w:ascii="Arial" w:cs="Arial" w:eastAsia="Arial" w:hAnsi="Arial"/>
          <w:b/>
          <w:bCs/>
          <w:color w:val="1E3A5F"/>
          <w:sz w:val="36"/>
          <w:szCs w:val="36"/>
        </w:rPr>
        <w:t xml:space="preserve">13. Kök Eğilme Momenti</w:t>
      </w:r>
    </w:p>
    <w:p>
      <w:pPr>
        <w:pStyle w:val="Heading2"/>
        <w:spacing w:after="120" w:before="320"/>
      </w:pPr>
      <w:r>
        <w:rPr>
          <w:rFonts w:ascii="Arial" w:cs="Arial" w:eastAsia="Arial" w:hAnsi="Arial"/>
          <w:b/>
          <w:bCs/>
          <w:color w:val="1E3A5F"/>
          <w:sz w:val="28"/>
          <w:szCs w:val="28"/>
        </w:rPr>
        <w:t xml:space="preserve">13.1 Yöntem</w:t>
      </w:r>
    </w:p>
    <w:p>
      <w:pPr>
        <w:spacing w:after="100" w:before="60"/>
      </w:pPr>
      <w:r>
        <w:rPr>
          <w:rFonts w:ascii="Arial" w:cs="Arial" w:eastAsia="Arial" w:hAnsi="Arial"/>
          <w:sz w:val="22"/>
          <w:szCs w:val="22"/>
        </w:rPr>
        <w:t xml:space="preserve">Yarım kanat boyunca trapezoid integrasyonla hesaplanmaktadır:</w:t>
      </w:r>
    </w:p>
    <w:p>
      <w:pPr>
        <w:spacing w:after="100" w:before="60"/>
      </w:pPr>
      <w:r>
        <w:rPr>
          <w:rFonts w:ascii="Courier New" w:cs="Courier New" w:eastAsia="Courier New" w:hAnsi="Courier New"/>
          <w:color w:val="1E3A5F"/>
          <w:sz w:val="20"/>
          <w:szCs w:val="20"/>
        </w:rPr>
        <w:t xml:space="preserve">Mb = ∫ q · cl_local(y) · c(y) · y · dy</w:t>
      </w:r>
    </w:p>
    <w:p>
      <w:pPr>
        <w:spacing w:after="100" w:before="60"/>
      </w:pPr>
      <w:r>
        <w:rPr>
          <w:rFonts w:ascii="Arial" w:cs="Arial" w:eastAsia="Arial" w:hAnsi="Arial"/>
          <w:sz w:val="22"/>
          <w:szCs w:val="22"/>
        </w:rPr>
        <w:t xml:space="preserve">Yerel CL değerleri NLLT yük dağılımından, kiriş değerleri geometri modelinden alınmaktadır.</w:t>
      </w:r>
    </w:p>
    <w:p>
      <w:pPr>
        <w:spacing w:after="60" w:before="60"/>
      </w:pPr>
      <w:r>
        <w:t xml:space="preserve"/>
      </w:r>
    </w:p>
    <w:p>
      <w:pPr>
        <w:pBdr>
          <w:left w:val="single" w:color="BFDBFE" w:sz="12" w:space="8"/>
        </w:pBdr>
        <w:shd w:fill="DBEAFE" w:val="clear"/>
        <w:spacing w:after="40" w:before="120"/>
      </w:pPr>
      <w:r>
        <w:rPr>
          <w:rFonts w:ascii="Arial" w:cs="Arial" w:eastAsia="Arial" w:hAnsi="Arial"/>
          <w:b/>
          <w:bCs/>
          <w:color w:val="1D4ED8"/>
          <w:sz w:val="22"/>
          <w:szCs w:val="22"/>
        </w:rPr>
        <w:t xml:space="preserve">★★★★☆ Çok İyi — Yapısal ön boyutlandırma için uygun</w:t>
      </w:r>
    </w:p>
    <w:p>
      <w:pPr>
        <w:pBdr>
          <w:left w:val="single" w:color="BFDBFE" w:sz="12" w:space="8"/>
        </w:pBdr>
        <w:shd w:fill="DBEAFE" w:val="clear"/>
        <w:spacing w:after="20" w:before="20"/>
        <w:ind w:left="240"/>
      </w:pPr>
      <w:r>
        <w:rPr>
          <w:rFonts w:ascii="Arial" w:cs="Arial" w:eastAsia="Arial" w:hAnsi="Arial"/>
          <w:color w:val="1E293B"/>
          <w:sz w:val="20"/>
          <w:szCs w:val="20"/>
        </w:rPr>
        <w:t xml:space="preserve">NLLT yük dağılımı doğruyken entegrasyon da doğrudur.</w:t>
      </w:r>
    </w:p>
    <w:p>
      <w:pPr>
        <w:pBdr>
          <w:left w:val="single" w:color="BFDBFE" w:sz="12" w:space="8"/>
        </w:pBdr>
        <w:shd w:fill="DBEAFE" w:val="clear"/>
        <w:spacing w:after="20" w:before="20"/>
        <w:ind w:left="240"/>
      </w:pPr>
      <w:r>
        <w:rPr>
          <w:rFonts w:ascii="Arial" w:cs="Arial" w:eastAsia="Arial" w:hAnsi="Arial"/>
          <w:color w:val="1E293B"/>
          <w:sz w:val="20"/>
          <w:szCs w:val="20"/>
        </w:rPr>
        <w:t xml:space="preserve">40 noktalı trapezoid integrasyonu, düzgün yük dağılımı için yeterlidir.</w:t>
      </w:r>
    </w:p>
    <w:p>
      <w:pPr>
        <w:pBdr>
          <w:left w:val="single" w:color="BFDBFE" w:sz="12" w:space="8"/>
        </w:pBdr>
        <w:shd w:fill="DBEAFE" w:val="clear"/>
        <w:spacing w:after="20" w:before="20"/>
        <w:ind w:left="240"/>
      </w:pPr>
      <w:r>
        <w:rPr>
          <w:rFonts w:ascii="Arial" w:cs="Arial" w:eastAsia="Arial" w:hAnsi="Arial"/>
          <w:color w:val="1E293B"/>
          <w:sz w:val="20"/>
          <w:szCs w:val="20"/>
        </w:rPr>
        <w:t xml:space="preserve">Sonuç, kanat kökü I-kirişi ön boyutlandırması için doğrudan kullanılabilir.</w:t>
      </w:r>
    </w:p>
    <w:p>
      <w:pPr>
        <w:pBdr>
          <w:left w:val="single" w:color="BFDBFE" w:sz="12" w:space="8"/>
        </w:pBdr>
        <w:shd w:fill="DBEAFE" w:val="clear"/>
        <w:spacing w:after="20" w:before="20"/>
        <w:ind w:left="240"/>
      </w:pPr>
      <w:r>
        <w:rPr>
          <w:rFonts w:ascii="Arial" w:cs="Arial" w:eastAsia="Arial" w:hAnsi="Arial"/>
          <w:color w:val="1E293B"/>
          <w:sz w:val="20"/>
          <w:szCs w:val="20"/>
        </w:rPr>
        <w:t xml:space="preserve">Sınır: Motor, yakıt, iniş takımı gibi yoğunlaşmış kütleler yoktur; yalnızca aerodinamik yük hesaplanmaktadır.</w:t>
      </w:r>
    </w:p>
    <w:p>
      <w:pPr>
        <w:pBdr>
          <w:left w:val="single" w:color="BFDBFE" w:sz="12" w:space="8"/>
        </w:pBdr>
        <w:shd w:fill="DBEAFE" w:val="clear"/>
        <w:spacing w:after="20" w:before="20"/>
        <w:ind w:left="240"/>
      </w:pPr>
      <w:r>
        <w:rPr>
          <w:rFonts w:ascii="Arial" w:cs="Arial" w:eastAsia="Arial" w:hAnsi="Arial"/>
          <w:color w:val="1E293B"/>
          <w:sz w:val="20"/>
          <w:szCs w:val="20"/>
        </w:rPr>
        <w:t xml:space="preserve">Sınır: Flap bölgelerindeki yerel yük artışı hesaba katılmaktadır fakat ayrıntılı FEM analizinin yerini tutmaz.</w:t>
      </w:r>
    </w:p>
    <w:p>
      <w:pPr>
        <w:spacing w:after="60" w:before="60"/>
      </w:pPr>
      <w:r>
        <w:t xml:space="preserve"/>
      </w:r>
    </w:p>
    <w:p>
      <w:r>
        <w:br w:type="page"/>
      </w:r>
    </w:p>
    <w:p>
      <w:pPr>
        <w:pStyle w:val="Heading1"/>
        <w:pBdr>
          <w:bottom w:val="single" w:color="2563EB" w:sz="4" w:space="6"/>
        </w:pBdr>
        <w:spacing w:after="200" w:before="400"/>
      </w:pPr>
      <w:r>
        <w:rPr>
          <w:rFonts w:ascii="Arial" w:cs="Arial" w:eastAsia="Arial" w:hAnsi="Arial"/>
          <w:b/>
          <w:bCs/>
          <w:color w:val="1E3A5F"/>
          <w:sz w:val="36"/>
          <w:szCs w:val="36"/>
        </w:rPr>
        <w:t xml:space="preserve">14. Flap Modeli</w:t>
      </w:r>
    </w:p>
    <w:p>
      <w:pPr>
        <w:pStyle w:val="Heading2"/>
        <w:spacing w:after="120" w:before="320"/>
      </w:pPr>
      <w:r>
        <w:rPr>
          <w:rFonts w:ascii="Arial" w:cs="Arial" w:eastAsia="Arial" w:hAnsi="Arial"/>
          <w:b/>
          <w:bCs/>
          <w:color w:val="1E3A5F"/>
          <w:sz w:val="28"/>
          <w:szCs w:val="28"/>
        </w:rPr>
        <w:t xml:space="preserve">14.1 Uygulanan Yöntem</w:t>
      </w:r>
    </w:p>
    <w:p>
      <w:pPr>
        <w:spacing w:after="100" w:before="60"/>
      </w:pPr>
      <w:r>
        <w:rPr>
          <w:rFonts w:ascii="Arial" w:cs="Arial" w:eastAsia="Arial" w:hAnsi="Arial"/>
          <w:sz w:val="22"/>
          <w:szCs w:val="22"/>
        </w:rPr>
        <w:t xml:space="preserve">NACA ince kanat teorisine dayanan kapalı form ifadesi kullanılmaktadır:</w:t>
      </w:r>
    </w:p>
    <w:p>
      <w:pPr>
        <w:spacing w:after="100" w:before="60"/>
      </w:pPr>
      <w:r>
        <w:rPr>
          <w:rFonts w:ascii="Courier New" w:cs="Courier New" w:eastAsia="Courier New" w:hAnsi="Courier New"/>
          <w:color w:val="1E3A5F"/>
          <w:sz w:val="20"/>
          <w:szCs w:val="20"/>
        </w:rPr>
        <w:t xml:space="preserve">Cl_δ = 2π · 0.9 · √(cf/c),   ΔCL = Cl_δ · δ_rad</w:t>
      </w:r>
    </w:p>
    <w:p>
      <w:pPr>
        <w:spacing w:after="100" w:before="60"/>
      </w:pPr>
      <w:r>
        <w:rPr>
          <w:rFonts w:ascii="Courier New" w:cs="Courier New" w:eastAsia="Courier New" w:hAnsi="Courier New"/>
          <w:color w:val="1E3A5F"/>
          <w:sz w:val="20"/>
          <w:szCs w:val="20"/>
        </w:rPr>
        <w:t xml:space="preserve">ΔCm = −0.25 · ΔCL,   ΔCD = 0.025 · |δ_rad| · (cf/c)</w:t>
      </w:r>
    </w:p>
    <w:p>
      <w:pPr>
        <w:spacing w:after="100" w:before="60"/>
      </w:pPr>
      <w:r>
        <w:rPr>
          <w:rFonts w:ascii="Arial" w:cs="Arial" w:eastAsia="Arial" w:hAnsi="Arial"/>
          <w:sz w:val="22"/>
          <w:szCs w:val="22"/>
        </w:rPr>
        <w:t xml:space="preserve">cf/c = 0.25 (sabit), flap boyunca etkili olan açıklık oranı olarak varsayılmıştır.</w:t>
      </w:r>
    </w:p>
    <w:p>
      <w:pPr>
        <w:spacing w:after="60" w:before="60"/>
      </w:pPr>
      <w:r>
        <w:t xml:space="preserve"/>
      </w:r>
    </w:p>
    <w:p>
      <w:pPr>
        <w:pBdr>
          <w:left w:val="single" w:color="FDE68A" w:sz="12" w:space="8"/>
        </w:pBdr>
        <w:shd w:fill="FEF3C7" w:val="clear"/>
        <w:spacing w:after="40" w:before="120"/>
      </w:pPr>
      <w:r>
        <w:rPr>
          <w:rFonts w:ascii="Arial" w:cs="Arial" w:eastAsia="Arial" w:hAnsi="Arial"/>
          <w:b/>
          <w:bCs/>
          <w:color w:val="92400E"/>
          <w:sz w:val="22"/>
          <w:szCs w:val="22"/>
        </w:rPr>
        <w:t xml:space="preserve">★★★☆☆ Orta — Küçük sapmalar için uygun</w:t>
      </w:r>
    </w:p>
    <w:p>
      <w:pPr>
        <w:pBdr>
          <w:left w:val="single" w:color="FDE68A" w:sz="12" w:space="8"/>
        </w:pBdr>
        <w:shd w:fill="FEF3C7" w:val="clear"/>
        <w:spacing w:after="20" w:before="20"/>
        <w:ind w:left="240"/>
      </w:pPr>
      <w:r>
        <w:rPr>
          <w:rFonts w:ascii="Arial" w:cs="Arial" w:eastAsia="Arial" w:hAnsi="Arial"/>
          <w:color w:val="1E293B"/>
          <w:sz w:val="20"/>
          <w:szCs w:val="20"/>
        </w:rPr>
        <w:t xml:space="preserve">δ &lt; 15° ve cf/c = 0.25 için ΔCL tahmini deneysel verilerle ±%10–15 içinde uyum gösterir.</w:t>
      </w:r>
    </w:p>
    <w:p>
      <w:pPr>
        <w:pBdr>
          <w:left w:val="single" w:color="FDE68A" w:sz="12" w:space="8"/>
        </w:pBdr>
        <w:shd w:fill="FEF3C7" w:val="clear"/>
        <w:spacing w:after="20" w:before="20"/>
        <w:ind w:left="240"/>
      </w:pPr>
      <w:r>
        <w:rPr>
          <w:rFonts w:ascii="Arial" w:cs="Arial" w:eastAsia="Arial" w:hAnsi="Arial"/>
          <w:color w:val="1E293B"/>
          <w:sz w:val="20"/>
          <w:szCs w:val="20"/>
        </w:rPr>
        <w:t xml:space="preserve">Sınır: cf/c sabit kabul edilmiştir; kullanıcı farklı flap oranı seçemez.</w:t>
      </w:r>
    </w:p>
    <w:p>
      <w:pPr>
        <w:pBdr>
          <w:left w:val="single" w:color="FDE68A" w:sz="12" w:space="8"/>
        </w:pBdr>
        <w:shd w:fill="FEF3C7" w:val="clear"/>
        <w:spacing w:after="20" w:before="20"/>
        <w:ind w:left="240"/>
      </w:pPr>
      <w:r>
        <w:rPr>
          <w:rFonts w:ascii="Arial" w:cs="Arial" w:eastAsia="Arial" w:hAnsi="Arial"/>
          <w:color w:val="1E293B"/>
          <w:sz w:val="20"/>
          <w:szCs w:val="20"/>
        </w:rPr>
        <w:t xml:space="preserve">Sınır: δ &gt; 20° için doğrusal yaklaşım bozulur; gerçek ΔCL daha düşüktür (viskos kayıp).</w:t>
      </w:r>
    </w:p>
    <w:p>
      <w:pPr>
        <w:pBdr>
          <w:left w:val="single" w:color="FDE68A" w:sz="12" w:space="8"/>
        </w:pBdr>
        <w:shd w:fill="FEF3C7" w:val="clear"/>
        <w:spacing w:after="20" w:before="20"/>
        <w:ind w:left="240"/>
      </w:pPr>
      <w:r>
        <w:rPr>
          <w:rFonts w:ascii="Arial" w:cs="Arial" w:eastAsia="Arial" w:hAnsi="Arial"/>
          <w:color w:val="1E293B"/>
          <w:sz w:val="20"/>
          <w:szCs w:val="20"/>
        </w:rPr>
        <w:t xml:space="preserve">Sınır: Flap gap'i, Fowler geometrisi gibi karmaşık flap tipleri modellenemez.</w:t>
      </w:r>
    </w:p>
    <w:p>
      <w:pPr>
        <w:spacing w:after="60" w:before="60"/>
      </w:pPr>
      <w:r>
        <w:t xml:space="preserve"/>
      </w:r>
    </w:p>
    <w:p>
      <w:pPr>
        <w:pStyle w:val="Heading1"/>
        <w:pBdr>
          <w:bottom w:val="single" w:color="2563EB" w:sz="4" w:space="6"/>
        </w:pBdr>
        <w:spacing w:after="200" w:before="400"/>
      </w:pPr>
      <w:r>
        <w:rPr>
          <w:rFonts w:ascii="Arial" w:cs="Arial" w:eastAsia="Arial" w:hAnsi="Arial"/>
          <w:b/>
          <w:bCs/>
          <w:color w:val="1E3A5F"/>
          <w:sz w:val="36"/>
          <w:szCs w:val="36"/>
        </w:rPr>
        <w:t xml:space="preserve">15. VIE Karma Polar: PDB + Panel Karması</w:t>
      </w:r>
    </w:p>
    <w:p>
      <w:pPr>
        <w:pStyle w:val="Heading2"/>
        <w:spacing w:after="120" w:before="320"/>
      </w:pPr>
      <w:r>
        <w:rPr>
          <w:rFonts w:ascii="Arial" w:cs="Arial" w:eastAsia="Arial" w:hAnsi="Arial"/>
          <w:b/>
          <w:bCs/>
          <w:color w:val="1E3A5F"/>
          <w:sz w:val="28"/>
          <w:szCs w:val="28"/>
        </w:rPr>
        <w:t xml:space="preserve">15.1 Karışım Mekanizması</w:t>
      </w:r>
    </w:p>
    <w:p>
      <w:pPr>
        <w:spacing w:after="100" w:before="60"/>
      </w:pPr>
      <w:r>
        <w:rPr>
          <w:rFonts w:ascii="Arial" w:cs="Arial" w:eastAsia="Arial" w:hAnsi="Arial"/>
          <w:sz w:val="22"/>
          <w:szCs w:val="22"/>
        </w:rPr>
        <w:t xml:space="preserve">Gerçek hesap, PDB değerlerini ağırlıklı taban olarak kullanmakta ve VIE panel sonuçlarını bir güven ağırlığı w ile karıştırmaktadır:</w:t>
      </w:r>
    </w:p>
    <w:p>
      <w:pPr>
        <w:spacing w:after="100" w:before="60"/>
      </w:pPr>
      <w:r>
        <w:rPr>
          <w:rFonts w:ascii="Courier New" w:cs="Courier New" w:eastAsia="Courier New" w:hAnsi="Courier New"/>
          <w:color w:val="1E3A5F"/>
          <w:sz w:val="20"/>
          <w:szCs w:val="20"/>
        </w:rPr>
        <w:t xml:space="preserve">sonuç = (1 − w) · PDB + w · VIE,   0 ≤ w ≤ 0.75</w:t>
      </w:r>
    </w:p>
    <w:p>
      <w:pPr>
        <w:spacing w:after="100" w:before="60"/>
      </w:pPr>
      <w:r>
        <w:rPr>
          <w:rFonts w:ascii="Arial" w:cs="Arial" w:eastAsia="Arial" w:hAnsi="Arial"/>
          <w:sz w:val="22"/>
          <w:szCs w:val="22"/>
        </w:rPr>
        <w:t xml:space="preserve">Güven ağırlığı Re normalizasyonu ve hücum açısı yumuşatma terimiyle hesaplanmakta; fark büyüklüğüne göre cezalandırılmaktadır.</w:t>
      </w:r>
    </w:p>
    <w:p>
      <w:pPr>
        <w:spacing w:after="60" w:before="60"/>
      </w:pPr>
      <w:r>
        <w:t xml:space="preserve"/>
      </w:r>
    </w:p>
    <w:p>
      <w:pPr>
        <w:pBdr>
          <w:left w:val="single" w:color="FDE68A" w:sz="12" w:space="8"/>
        </w:pBdr>
        <w:shd w:fill="FEF3C7" w:val="clear"/>
        <w:spacing w:after="40" w:before="120"/>
      </w:pPr>
      <w:r>
        <w:rPr>
          <w:rFonts w:ascii="Arial" w:cs="Arial" w:eastAsia="Arial" w:hAnsi="Arial"/>
          <w:b/>
          <w:bCs/>
          <w:color w:val="92400E"/>
          <w:sz w:val="22"/>
          <w:szCs w:val="22"/>
        </w:rPr>
        <w:t xml:space="preserve">★★★☆☆ Orta — Akıllıca tasarım, doğru uygulandığında faydalı</w:t>
      </w:r>
    </w:p>
    <w:p>
      <w:pPr>
        <w:pBdr>
          <w:left w:val="single" w:color="FDE68A" w:sz="12" w:space="8"/>
        </w:pBdr>
        <w:shd w:fill="FEF3C7" w:val="clear"/>
        <w:spacing w:after="20" w:before="20"/>
        <w:ind w:left="240"/>
      </w:pPr>
      <w:r>
        <w:rPr>
          <w:rFonts w:ascii="Arial" w:cs="Arial" w:eastAsia="Arial" w:hAnsi="Arial"/>
          <w:color w:val="1E293B"/>
          <w:sz w:val="20"/>
          <w:szCs w:val="20"/>
        </w:rPr>
        <w:t xml:space="preserve">PDB verisi dışındaki profiller için VIE bazlı düzeltme mantıklı bir yaklaşımdır.</w:t>
      </w:r>
    </w:p>
    <w:p>
      <w:pPr>
        <w:pBdr>
          <w:left w:val="single" w:color="FDE68A" w:sz="12" w:space="8"/>
        </w:pBdr>
        <w:shd w:fill="FEF3C7" w:val="clear"/>
        <w:spacing w:after="20" w:before="20"/>
        <w:ind w:left="240"/>
      </w:pPr>
      <w:r>
        <w:rPr>
          <w:rFonts w:ascii="Arial" w:cs="Arial" w:eastAsia="Arial" w:hAnsi="Arial"/>
          <w:color w:val="1E293B"/>
          <w:sz w:val="20"/>
          <w:szCs w:val="20"/>
        </w:rPr>
        <w:t xml:space="preserve">Güven kapısı, fizik dışı VIE sonuçlarının ana hesabı bozmasını önlemektedir.</w:t>
      </w:r>
    </w:p>
    <w:p>
      <w:pPr>
        <w:pBdr>
          <w:left w:val="single" w:color="FDE68A" w:sz="12" w:space="8"/>
        </w:pBdr>
        <w:shd w:fill="FEF3C7" w:val="clear"/>
        <w:spacing w:after="20" w:before="20"/>
        <w:ind w:left="240"/>
      </w:pPr>
      <w:r>
        <w:rPr>
          <w:rFonts w:ascii="Arial" w:cs="Arial" w:eastAsia="Arial" w:hAnsi="Arial"/>
          <w:color w:val="1E293B"/>
          <w:sz w:val="20"/>
          <w:szCs w:val="20"/>
        </w:rPr>
        <w:t xml:space="preserve">XFOIL polar import edildiğinde bu karışım devre dışıdır; bu doğru bir önceliklendirmedir.</w:t>
      </w:r>
    </w:p>
    <w:p>
      <w:pPr>
        <w:pBdr>
          <w:left w:val="single" w:color="FDE68A" w:sz="12" w:space="8"/>
        </w:pBdr>
        <w:shd w:fill="FEF3C7" w:val="clear"/>
        <w:spacing w:after="20" w:before="20"/>
        <w:ind w:left="240"/>
      </w:pPr>
      <w:r>
        <w:rPr>
          <w:rFonts w:ascii="Arial" w:cs="Arial" w:eastAsia="Arial" w:hAnsi="Arial"/>
          <w:color w:val="1E293B"/>
          <w:sz w:val="20"/>
          <w:szCs w:val="20"/>
        </w:rPr>
        <w:t xml:space="preserve">Sınır: w = 0.75 maksimum ağırlık, VIE'nin hatalarını kısmen PDB'ye bağlamaktadır; ayrışma yakınında bu ideal değildir.</w:t>
      </w:r>
    </w:p>
    <w:p>
      <w:pPr>
        <w:pBdr>
          <w:left w:val="single" w:color="FDE68A" w:sz="12" w:space="8"/>
        </w:pBdr>
        <w:shd w:fill="FEF3C7" w:val="clear"/>
        <w:spacing w:after="20" w:before="20"/>
        <w:ind w:left="240"/>
      </w:pPr>
      <w:r>
        <w:rPr>
          <w:rFonts w:ascii="Arial" w:cs="Arial" w:eastAsia="Arial" w:hAnsi="Arial"/>
          <w:color w:val="1E293B"/>
          <w:sz w:val="20"/>
          <w:szCs w:val="20"/>
        </w:rPr>
        <w:t xml:space="preserve">Sınır: PDB'de olmayan profillerle VIE karışımının doğruluğu profilin PDB'deki yakın komşusuna benzerliğine bağlıdır.</w:t>
      </w:r>
    </w:p>
    <w:p>
      <w:pPr>
        <w:spacing w:after="60" w:before="60"/>
      </w:pPr>
      <w:r>
        <w:t xml:space="preserve"/>
      </w:r>
    </w:p>
    <w:p>
      <w:r>
        <w:br w:type="page"/>
      </w:r>
    </w:p>
    <w:p>
      <w:pPr>
        <w:pStyle w:val="Heading1"/>
        <w:pBdr>
          <w:bottom w:val="single" w:color="2563EB" w:sz="4" w:space="6"/>
        </w:pBdr>
        <w:spacing w:after="200" w:before="400"/>
      </w:pPr>
      <w:r>
        <w:rPr>
          <w:rFonts w:ascii="Arial" w:cs="Arial" w:eastAsia="Arial" w:hAnsi="Arial"/>
          <w:b/>
          <w:bCs/>
          <w:color w:val="1E3A5F"/>
          <w:sz w:val="36"/>
          <w:szCs w:val="36"/>
        </w:rPr>
        <w:t xml:space="preserve">16. Genel Doğruluk Özeti ve Kullanım Kılavuzu</w:t>
      </w:r>
    </w:p>
    <w:p>
      <w:pPr>
        <w:pStyle w:val="Heading2"/>
        <w:spacing w:after="120" w:before="320"/>
      </w:pPr>
      <w:r>
        <w:rPr>
          <w:rFonts w:ascii="Arial" w:cs="Arial" w:eastAsia="Arial" w:hAnsi="Arial"/>
          <w:b/>
          <w:bCs/>
          <w:color w:val="1E3A5F"/>
          <w:sz w:val="28"/>
          <w:szCs w:val="28"/>
        </w:rPr>
        <w:t xml:space="preserve">16.1 Hangi Koşulda Ne Kadar Güvenilir?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200"/>
        <w:gridCol w:w="1200"/>
        <w:gridCol w:w="2640"/>
      </w:tblGrid>
      <w:tr>
        <w:trPr>
          <w:tblHeader/>
        </w:trPr>
        <w:tc>
          <w:tcPr>
            <w:tcW w:type="dxa" w:w="28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Parametreler</w:t>
            </w:r>
          </w:p>
        </w:tc>
        <w:tc>
          <w:tcPr>
            <w:tcW w:type="dxa" w:w="14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Durum</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 Hatası</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CD Hatası</w:t>
            </w:r>
          </w:p>
        </w:tc>
        <w:tc>
          <w:tcPr>
            <w:tcW w:type="dxa" w:w="26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Öneri</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AR &gt; 5, süpürme &lt; 15°, M &lt; 0.5, α &lt; 10°</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 İdeal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±%5–10</w:t>
            </w:r>
          </w:p>
        </w:tc>
        <w:tc>
          <w:tcPr>
            <w:tcW w:type="dxa" w:w="2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Doğrudan kullanılabilir</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AR 3–5, süpürme 15–25°, M 0.5–0.65</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 Orta</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±%5–8</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±%10–15</w:t>
            </w:r>
          </w:p>
        </w:tc>
        <w:tc>
          <w:tcPr>
            <w:tcW w:type="dxa" w:w="2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Sonuçları doğrulayın</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AR &lt; 3, süpürme &gt; 30°, M &gt; 0.7</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 Sınır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Güvenilmez</w:t>
            </w:r>
          </w:p>
        </w:tc>
        <w:tc>
          <w:tcPr>
            <w:tcW w:type="dxa" w:w="2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Yüksek doğruluklu araç kullanın</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Stall bölgesi (α ≥ α_stall)</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 Kalitatif</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Eğilim doğru</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Eğilim doğru</w:t>
            </w:r>
          </w:p>
        </w:tc>
        <w:tc>
          <w:tcPr>
            <w:tcW w:type="dxa" w:w="2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Nitel yorumlayın</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 &lt; 200k (model uçak, nano-UAV)</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 Extrapolasyon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±%10–20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Büyük hata</w:t>
            </w:r>
          </w:p>
        </w:tc>
        <w:tc>
          <w:tcPr>
            <w:tcW w:type="dxa" w:w="2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XFOIL polar import edin</w:t>
            </w:r>
          </w:p>
        </w:tc>
      </w:tr>
      <w:tr>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Standart NACA, PDB'de mevcut profil</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 Güçlü</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±%2–5</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±%5–8</w:t>
            </w:r>
          </w:p>
        </w:tc>
        <w:tc>
          <w:tcPr>
            <w:tcW w:type="dxa" w:w="2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En güvenilir rejim</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PDB'de olmayan profil, VIE karışımı</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 Orta</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±%5–10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±%10–20</w:t>
            </w:r>
          </w:p>
        </w:tc>
        <w:tc>
          <w:tcPr>
            <w:tcW w:type="dxa" w:w="2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XFOIL polar kullanın</w:t>
            </w:r>
          </w:p>
        </w:tc>
      </w:tr>
    </w:tbl>
    <w:p>
      <w:pPr>
        <w:spacing w:after="60" w:before="60"/>
      </w:pPr>
      <w:r>
        <w:t xml:space="preserve"/>
      </w:r>
    </w:p>
    <w:p>
      <w:pPr>
        <w:spacing w:after="60" w:before="60"/>
      </w:pPr>
      <w:r>
        <w:t xml:space="preserve"/>
      </w:r>
    </w:p>
    <w:p>
      <w:pPr>
        <w:pStyle w:val="Heading2"/>
        <w:spacing w:after="120" w:before="320"/>
      </w:pPr>
      <w:r>
        <w:rPr>
          <w:rFonts w:ascii="Arial" w:cs="Arial" w:eastAsia="Arial" w:hAnsi="Arial"/>
          <w:b/>
          <w:bCs/>
          <w:color w:val="1E3A5F"/>
          <w:sz w:val="28"/>
          <w:szCs w:val="28"/>
        </w:rPr>
        <w:t xml:space="preserve">16.2 Diğer Araçlarla Kıyaslama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1680"/>
        <w:gridCol w:w="1680"/>
        <w:gridCol w:w="1440"/>
      </w:tblGrid>
      <w:tr>
        <w:trPr>
          <w:tblHeader/>
        </w:trPr>
        <w:tc>
          <w:tcPr>
            <w:tcW w:type="dxa" w:w="2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Araç</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Yöntem</w:t>
            </w:r>
          </w:p>
        </w:tc>
        <w:tc>
          <w:tcPr>
            <w:tcW w:type="dxa" w:w="1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 Doğruluğu</w:t>
            </w:r>
          </w:p>
        </w:tc>
        <w:tc>
          <w:tcPr>
            <w:tcW w:type="dxa" w:w="1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CD Doğruluğu</w:t>
            </w:r>
          </w:p>
        </w:tc>
        <w:tc>
          <w:tcPr>
            <w:tcW w:type="dxa" w:w="14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Stall</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YFoil Aero v7.9</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NLLT + PDB + Hess-Smith</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±%3–8</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±%5–15</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Tahmin</w:t>
            </w:r>
          </w:p>
        </w:tc>
      </w:tr>
      <w:tr>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XFOIL (Drela)</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Panel + BL integral</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±%1–3</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±%3–8</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Sınırlı</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OpenVSP + VSPAERO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VLM/Panel 3B</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±%3–6</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±%8–15</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Hayır</w:t>
            </w:r>
          </w:p>
        </w:tc>
      </w:tr>
      <w:tr>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AVL (Drela)</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Vorteks kafes</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±%2–5</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CDi ±%3–5</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Hayır</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CFD (RANS)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Navier-Stokes</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Evet</w:t>
            </w:r>
          </w:p>
        </w:tc>
      </w:tr>
      <w:tr>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Rüzgar tüneli</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Deney</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±%0.5–2</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±%1–3</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Tam</w:t>
            </w:r>
          </w:p>
        </w:tc>
      </w:tr>
    </w:tbl>
    <w:p>
      <w:pPr>
        <w:spacing w:after="60" w:before="60"/>
      </w:pPr>
      <w:r>
        <w:t xml:space="preserve"/>
      </w:r>
    </w:p>
    <w:p>
      <w:pPr>
        <w:spacing w:after="60" w:before="60"/>
      </w:pPr>
      <w:r>
        <w:t xml:space="preserve"/>
      </w:r>
    </w:p>
    <w:p>
      <w:pPr>
        <w:pStyle w:val="Heading2"/>
        <w:spacing w:after="120" w:before="320"/>
      </w:pPr>
      <w:r>
        <w:rPr>
          <w:rFonts w:ascii="Arial" w:cs="Arial" w:eastAsia="Arial" w:hAnsi="Arial"/>
          <w:b/>
          <w:bCs/>
          <w:color w:val="1E3A5F"/>
          <w:sz w:val="28"/>
          <w:szCs w:val="28"/>
        </w:rPr>
        <w:t xml:space="preserve">16.3 Kullanıcıya Tavsiyeler</w:t>
      </w:r>
    </w:p>
    <w:p>
      <w:pPr>
        <w:spacing w:after="60" w:before="60"/>
      </w:pPr>
      <w:r>
        <w:t xml:space="preserve"/>
      </w:r>
    </w:p>
    <w:p>
      <w:pPr>
        <w:pBdr>
          <w:left w:val="single" w:color="86EFAC" w:sz="12" w:space="8"/>
        </w:pBdr>
        <w:shd w:fill="DCFCE7" w:val="clear"/>
        <w:spacing w:after="40" w:before="120"/>
      </w:pPr>
      <w:r>
        <w:rPr>
          <w:rFonts w:ascii="Arial" w:cs="Arial" w:eastAsia="Arial" w:hAnsi="Arial"/>
          <w:b/>
          <w:bCs/>
          <w:color w:val="166534"/>
          <w:sz w:val="22"/>
          <w:szCs w:val="22"/>
        </w:rPr>
        <w:t xml:space="preserve">✅ Uygulamanın güçlü olduğu alanlar</w:t>
      </w:r>
    </w:p>
    <w:p>
      <w:pPr>
        <w:pBdr>
          <w:left w:val="single" w:color="86EFAC" w:sz="12" w:space="8"/>
        </w:pBdr>
        <w:shd w:fill="DCFCE7" w:val="clear"/>
        <w:spacing w:after="20" w:before="20"/>
        <w:ind w:left="240"/>
      </w:pPr>
      <w:r>
        <w:rPr>
          <w:rFonts w:ascii="Arial" w:cs="Arial" w:eastAsia="Arial" w:hAnsi="Arial"/>
          <w:color w:val="1E293B"/>
          <w:sz w:val="20"/>
          <w:szCs w:val="20"/>
        </w:rPr>
        <w:t xml:space="preserve">Standart NACA profillerinde (0012, 4412, 23012, vb.) stall öncesi polar eğrileri — referans kalitesinde.</w:t>
      </w:r>
    </w:p>
    <w:p>
      <w:pPr>
        <w:pBdr>
          <w:left w:val="single" w:color="86EFAC" w:sz="12" w:space="8"/>
        </w:pBdr>
        <w:shd w:fill="DCFCE7" w:val="clear"/>
        <w:spacing w:after="20" w:before="20"/>
        <w:ind w:left="240"/>
      </w:pPr>
      <w:r>
        <w:rPr>
          <w:rFonts w:ascii="Arial" w:cs="Arial" w:eastAsia="Arial" w:hAnsi="Arial"/>
          <w:color w:val="1E293B"/>
          <w:sz w:val="20"/>
          <w:szCs w:val="20"/>
        </w:rPr>
        <w:t xml:space="preserve">Açıklık boyunca yük dağılımı ve eliptik yük karşılaştırması — LLT'nin klasik güçlü yanı.</w:t>
      </w:r>
    </w:p>
    <w:p>
      <w:pPr>
        <w:pBdr>
          <w:left w:val="single" w:color="86EFAC" w:sz="12" w:space="8"/>
        </w:pBdr>
        <w:shd w:fill="DCFCE7" w:val="clear"/>
        <w:spacing w:after="20" w:before="20"/>
        <w:ind w:left="240"/>
      </w:pPr>
      <w:r>
        <w:rPr>
          <w:rFonts w:ascii="Arial" w:cs="Arial" w:eastAsia="Arial" w:hAnsi="Arial"/>
          <w:color w:val="1E293B"/>
          <w:sz w:val="20"/>
          <w:szCs w:val="20"/>
        </w:rPr>
        <w:t xml:space="preserve">Farklı geometriler ve koşullar arasında karşılaştırmalı analiz (snapshot özelliği).</w:t>
      </w:r>
    </w:p>
    <w:p>
      <w:pPr>
        <w:pBdr>
          <w:left w:val="single" w:color="86EFAC" w:sz="12" w:space="8"/>
        </w:pBdr>
        <w:shd w:fill="DCFCE7" w:val="clear"/>
        <w:spacing w:after="20" w:before="20"/>
        <w:ind w:left="240"/>
      </w:pPr>
      <w:r>
        <w:rPr>
          <w:rFonts w:ascii="Arial" w:cs="Arial" w:eastAsia="Arial" w:hAnsi="Arial"/>
          <w:color w:val="1E293B"/>
          <w:sz w:val="20"/>
          <w:szCs w:val="20"/>
        </w:rPr>
        <w:t xml:space="preserve">ISA atmosferi, Re ve Mach tabanlı etkilerin görselleştirilmesi.</w:t>
      </w:r>
    </w:p>
    <w:p>
      <w:pPr>
        <w:pBdr>
          <w:left w:val="single" w:color="86EFAC" w:sz="12" w:space="8"/>
        </w:pBdr>
        <w:shd w:fill="DCFCE7" w:val="clear"/>
        <w:spacing w:after="20" w:before="20"/>
        <w:ind w:left="240"/>
      </w:pPr>
      <w:r>
        <w:rPr>
          <w:rFonts w:ascii="Arial" w:cs="Arial" w:eastAsia="Arial" w:hAnsi="Arial"/>
          <w:color w:val="1E293B"/>
          <w:sz w:val="20"/>
          <w:szCs w:val="20"/>
        </w:rPr>
        <w:t xml:space="preserve">Eğilme momenti ile ön yapısal konsept değerlendirmesi.</w:t>
      </w:r>
    </w:p>
    <w:p>
      <w:pPr>
        <w:pBdr>
          <w:left w:val="single" w:color="86EFAC" w:sz="12" w:space="8"/>
        </w:pBdr>
        <w:shd w:fill="DCFCE7" w:val="clear"/>
        <w:spacing w:after="20" w:before="20"/>
        <w:ind w:left="240"/>
      </w:pPr>
      <w:r>
        <w:rPr>
          <w:rFonts w:ascii="Arial" w:cs="Arial" w:eastAsia="Arial" w:hAnsi="Arial"/>
          <w:color w:val="1E293B"/>
          <w:sz w:val="20"/>
          <w:szCs w:val="20"/>
        </w:rPr>
        <w:t xml:space="preserve">Statik marj ve boyuna denge nitel değerlendirmesi.</w:t>
      </w:r>
    </w:p>
    <w:p>
      <w:pPr>
        <w:spacing w:after="60" w:before="60"/>
      </w:pPr>
      <w:r>
        <w:t xml:space="preserve"/>
      </w:r>
    </w:p>
    <w:p>
      <w:pPr>
        <w:spacing w:after="60" w:before="60"/>
      </w:pPr>
      <w:r>
        <w:t xml:space="preserve"/>
      </w:r>
    </w:p>
    <w:p>
      <w:pPr>
        <w:pBdr>
          <w:left w:val="single" w:color="FDE68A" w:sz="12" w:space="8"/>
        </w:pBdr>
        <w:shd w:fill="FEF3C7" w:val="clear"/>
        <w:spacing w:after="40" w:before="120"/>
      </w:pPr>
      <w:r>
        <w:rPr>
          <w:rFonts w:ascii="Arial" w:cs="Arial" w:eastAsia="Arial" w:hAnsi="Arial"/>
          <w:b/>
          <w:bCs/>
          <w:color w:val="92400E"/>
          <w:sz w:val="22"/>
          <w:szCs w:val="22"/>
        </w:rPr>
        <w:t xml:space="preserve">⚠️ Dikkat edilmesi gereken alanlar</w:t>
      </w:r>
    </w:p>
    <w:p>
      <w:pPr>
        <w:pBdr>
          <w:left w:val="single" w:color="FDE68A" w:sz="12" w:space="8"/>
        </w:pBdr>
        <w:shd w:fill="FEF3C7" w:val="clear"/>
        <w:spacing w:after="20" w:before="20"/>
        <w:ind w:left="240"/>
      </w:pPr>
      <w:r>
        <w:rPr>
          <w:rFonts w:ascii="Arial" w:cs="Arial" w:eastAsia="Arial" w:hAnsi="Arial"/>
          <w:color w:val="1E293B"/>
          <w:sz w:val="20"/>
          <w:szCs w:val="20"/>
        </w:rPr>
        <w:t xml:space="preserve">Kesin sürükleme sayıları gerektiren verimlilik karşılaştırmalarında CD değerlerini ±%10 belirsizlikle yorumlayın.</w:t>
      </w:r>
    </w:p>
    <w:p>
      <w:pPr>
        <w:pBdr>
          <w:left w:val="single" w:color="FDE68A" w:sz="12" w:space="8"/>
        </w:pBdr>
        <w:shd w:fill="FEF3C7" w:val="clear"/>
        <w:spacing w:after="20" w:before="20"/>
        <w:ind w:left="240"/>
      </w:pPr>
      <w:r>
        <w:rPr>
          <w:rFonts w:ascii="Arial" w:cs="Arial" w:eastAsia="Arial" w:hAnsi="Arial"/>
          <w:color w:val="1E293B"/>
          <w:sz w:val="20"/>
          <w:szCs w:val="20"/>
        </w:rPr>
        <w:t xml:space="preserve">Stall sonrası değerleri yalnızca davranışın nitel yapısını anlamak için kullanın.</w:t>
      </w:r>
    </w:p>
    <w:p>
      <w:pPr>
        <w:pBdr>
          <w:left w:val="single" w:color="FDE68A" w:sz="12" w:space="8"/>
        </w:pBdr>
        <w:shd w:fill="FEF3C7" w:val="clear"/>
        <w:spacing w:after="20" w:before="20"/>
        <w:ind w:left="240"/>
      </w:pPr>
      <w:r>
        <w:rPr>
          <w:rFonts w:ascii="Arial" w:cs="Arial" w:eastAsia="Arial" w:hAnsi="Arial"/>
          <w:color w:val="1E293B"/>
          <w:sz w:val="20"/>
          <w:szCs w:val="20"/>
        </w:rPr>
        <w:t xml:space="preserve">AR &lt; 4 veya süpürme &gt; 30° kombinasyonlarında alternatif araçla çapraz kontrol yapın.</w:t>
      </w:r>
    </w:p>
    <w:p>
      <w:pPr>
        <w:pBdr>
          <w:left w:val="single" w:color="FDE68A" w:sz="12" w:space="8"/>
        </w:pBdr>
        <w:shd w:fill="FEF3C7" w:val="clear"/>
        <w:spacing w:after="20" w:before="20"/>
        <w:ind w:left="240"/>
      </w:pPr>
      <w:r>
        <w:rPr>
          <w:rFonts w:ascii="Arial" w:cs="Arial" w:eastAsia="Arial" w:hAnsi="Arial"/>
          <w:color w:val="1E293B"/>
          <w:sz w:val="20"/>
          <w:szCs w:val="20"/>
        </w:rPr>
        <w:t xml:space="preserve">XFOIL polar import, özellikle standart dışı profiller için önemli ölçüde doğruluğu artırır — aktif olarak kullanılmalıdır.</w:t>
      </w:r>
    </w:p>
    <w:p>
      <w:pPr>
        <w:pBdr>
          <w:left w:val="single" w:color="FDE68A" w:sz="12" w:space="8"/>
        </w:pBdr>
        <w:shd w:fill="FEF3C7" w:val="clear"/>
        <w:spacing w:after="20" w:before="20"/>
        <w:ind w:left="240"/>
      </w:pPr>
      <w:r>
        <w:rPr>
          <w:rFonts w:ascii="Arial" w:cs="Arial" w:eastAsia="Arial" w:hAnsi="Arial"/>
          <w:color w:val="1E293B"/>
          <w:sz w:val="20"/>
          <w:szCs w:val="20"/>
        </w:rPr>
        <w:t xml:space="preserve">Re &lt; 200k rejimi için doğrudan XFOIL'de hesaplayıp polar olarak import edin.</w:t>
      </w:r>
    </w:p>
    <w:p>
      <w:pPr>
        <w:spacing w:after="60" w:before="60"/>
      </w:pPr>
      <w:r>
        <w:t xml:space="preserve"/>
      </w:r>
    </w:p>
    <w:p>
      <w:r>
        <w:br w:type="page"/>
      </w:r>
    </w:p>
    <w:p>
      <w:pPr>
        <w:pStyle w:val="Heading1"/>
        <w:pBdr>
          <w:bottom w:val="single" w:color="2563EB" w:sz="4" w:space="6"/>
        </w:pBdr>
        <w:spacing w:after="200" w:before="400"/>
      </w:pPr>
      <w:r>
        <w:rPr>
          <w:rFonts w:ascii="Arial" w:cs="Arial" w:eastAsia="Arial" w:hAnsi="Arial"/>
          <w:b/>
          <w:bCs/>
          <w:color w:val="1E3A5F"/>
          <w:sz w:val="36"/>
          <w:szCs w:val="36"/>
        </w:rPr>
        <w:t xml:space="preserve">17. Sonuç</w:t>
      </w:r>
    </w:p>
    <w:p>
      <w:pPr>
        <w:spacing w:after="100" w:before="60"/>
      </w:pPr>
      <w:r>
        <w:rPr>
          <w:rFonts w:ascii="Arial" w:cs="Arial" w:eastAsia="Arial" w:hAnsi="Arial"/>
          <w:sz w:val="22"/>
          <w:szCs w:val="22"/>
        </w:rPr>
        <w:t xml:space="preserve">YFoil Aero v7.9, tek dosyalık bir tarayıcı uygulamasının sunabileceği fizik derinliğinin ötesine geçmektedir. Uygulanan yöntemlerin büyük çoğunluğu —ISA atmosferi, NACA koordinat üretici, PDB tabanlı polar interpolasyonu ve Hess-Smith panel çözücüsü— doğru kodlanmıştır ve referans literatürüyle uyumludur.</w:t>
      </w:r>
    </w:p>
    <w:p>
      <w:pPr>
        <w:spacing w:after="60" w:before="60"/>
      </w:pPr>
      <w:r>
        <w:t xml:space="preserve"/>
      </w:r>
    </w:p>
    <w:p>
      <w:pPr>
        <w:spacing w:after="100" w:before="60"/>
      </w:pPr>
      <w:r>
        <w:rPr>
          <w:rFonts w:ascii="Arial" w:cs="Arial" w:eastAsia="Arial" w:hAnsi="Arial"/>
          <w:sz w:val="22"/>
          <w:szCs w:val="22"/>
        </w:rPr>
        <w:t xml:space="preserve">Lineer aerodinamik rejimde (AR &gt; 4, süpürme &lt; 25°, M &lt; 0.6, α &lt; stall) YFoil XFOIL ve OpenVSP gibi endüstri araçlarıyla karşılaştırılabilir sonuçlar üretmektedir. Bu rejim, bir öğrencinin veya genç mühendislik tasarımcısının büyük çoğunlukla çalışacağı parametrik uzayı kapsar.</w:t>
      </w:r>
    </w:p>
    <w:p>
      <w:pPr>
        <w:spacing w:after="60" w:before="60"/>
      </w:pPr>
      <w:r>
        <w:t xml:space="preserve"/>
      </w:r>
    </w:p>
    <w:p>
      <w:pPr>
        <w:spacing w:after="100" w:before="60"/>
      </w:pPr>
      <w:r>
        <w:rPr>
          <w:rFonts w:ascii="Arial" w:cs="Arial" w:eastAsia="Arial" w:hAnsi="Arial"/>
          <w:sz w:val="22"/>
          <w:szCs w:val="22"/>
        </w:rPr>
        <w:t xml:space="preserve">Yüksek süpürme açısı, düşük en boy oranı ve stall sonrası bölge ise teorinin doğal sınırlarına karşılık gelmektedir; bu sınırlar uygulamaya özgü değil, kullanılan fizik modelinin içsel kısıtlamalarıdır. Bu durum raporlanmalı ve belgelenmelidir —ki bu rapor tam olarak bunu yapmaktadır.</w:t>
      </w:r>
    </w:p>
    <w:p>
      <w:pPr>
        <w:spacing w:after="60" w:before="60"/>
      </w:pPr>
      <w:r>
        <w:t xml:space="preserve"/>
      </w:r>
    </w:p>
    <w:p>
      <w:pPr>
        <w:spacing w:after="100" w:before="60"/>
      </w:pPr>
      <w:r>
        <w:rPr>
          <w:rFonts w:ascii="Arial" w:cs="Arial" w:eastAsia="Arial" w:hAnsi="Arial"/>
          <w:b/>
          <w:bCs/>
          <w:color w:val="2563EB"/>
          <w:sz w:val="22"/>
          <w:szCs w:val="22"/>
        </w:rPr>
        <w:t xml:space="preserve">Paylaşım değerlendirmesi: </w:t>
      </w:r>
      <w:r>
        <w:rPr>
          <w:rFonts w:ascii="Arial" w:cs="Arial" w:eastAsia="Arial" w:hAnsi="Arial"/>
          <w:sz w:val="22"/>
          <w:szCs w:val="22"/>
        </w:rPr>
        <w:t xml:space="preserve">Belirtilen sınırlamalar README veya uygulama içinde açıkça ifade edildiğinde, YFoil Aero v7.9 eğitim ve ön tasarım amacıyla yayınlanmaya hazırdır. Kullanıcılar mühendislik kararlarını desteklemek için ek doğrulama araçlarına yönlendirilmelidir.</w:t>
      </w:r>
    </w:p>
    <w:p>
      <w:pPr>
        <w:spacing w:after="60" w:before="60"/>
      </w:pPr>
      <w:r>
        <w:t xml:space="preserve"/>
      </w:r>
    </w:p>
    <w:p>
      <w:pPr>
        <w:spacing w:after="60" w:before="60"/>
      </w:pPr>
      <w:r>
        <w:t xml:space="preserve"/>
      </w:r>
    </w:p>
    <w:p>
      <w:pPr>
        <w:jc w:val="right"/>
      </w:pPr>
      <w:r>
        <w:rPr>
          <w:rFonts w:ascii="Arial" w:cs="Arial" w:eastAsia="Arial" w:hAnsi="Arial"/>
          <w:color w:val="94A3B8"/>
          <w:sz w:val="18"/>
          <w:szCs w:val="18"/>
        </w:rPr>
        <w:t xml:space="preserve">YFoil Aero v7.9 — Fizik Motoru Doğruluk Raporu</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4A3B8"/>
        <w:sz w:val="18"/>
        <w:szCs w:val="18"/>
      </w:rPr>
      <w:t xml:space="preserve">YFoil Aero v7.9 — Doğruluk Raporu   |   Sayfa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2026-04-23T23:53:49.586Z</dcterms:created>
  <dcterms:modified xsi:type="dcterms:W3CDTF">2026-04-23T23:53:49.587Z</dcterms:modified>
</cp:coreProperties>
</file>

<file path=docProps/custom.xml><?xml version="1.0" encoding="utf-8"?>
<Properties xmlns="http://schemas.openxmlformats.org/officeDocument/2006/custom-properties" xmlns:vt="http://schemas.openxmlformats.org/officeDocument/2006/docPropsVTypes"/>
</file>