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맑은 고딕" w:cs="맑은 고딕" w:eastAsia="맑은 고딕" w:hAnsi="맑은 고딕"/>
          <w:b/>
          <w:bCs/>
          <w:sz w:val="40"/>
          <w:szCs w:val="40"/>
        </w:rPr>
        <w:t xml:space="preserve">25 cm² PEMFC 성능 예측을 위한</w:t>
      </w:r>
    </w:p>
    <w:p>
      <w:pPr>
        <w:spacing w:after="400"/>
        <w:jc w:val="center"/>
      </w:pPr>
      <w:r>
        <w:rPr>
          <w:rFonts w:ascii="맑은 고딕" w:cs="맑은 고딕" w:eastAsia="맑은 고딕" w:hAnsi="맑은 고딕"/>
          <w:b/>
          <w:bCs/>
          <w:sz w:val="40"/>
          <w:szCs w:val="40"/>
        </w:rPr>
        <w:t xml:space="preserve">물리 정보 신경망(PINN) 기반 대리모델 연구</w:t>
      </w:r>
    </w:p>
    <w:p>
      <w:pPr>
        <w:spacing w:after="100" w:before="200"/>
        <w:jc w:val="center"/>
      </w:pPr>
      <w:r>
        <w:rPr>
          <w:rFonts w:ascii="맑은 고딕" w:cs="맑은 고딕" w:eastAsia="맑은 고딕" w:hAnsi="맑은 고딕"/>
          <w:color w:val="595959"/>
          <w:sz w:val="26"/>
          <w:szCs w:val="26"/>
        </w:rPr>
        <w:t xml:space="preserve">— Phase 1 연구 보고서 —</w:t>
      </w:r>
    </w:p>
    <w:p>
      <w:pPr>
        <w:spacing w:before="1600"/>
      </w:pPr>
    </w:p>
    <w:p>
      <w:pPr>
        <w:jc w:val="center"/>
      </w:pPr>
      <w:r>
        <w:rPr>
          <w:rFonts w:ascii="맑은 고딕" w:cs="맑은 고딕" w:eastAsia="맑은 고딕" w:hAnsi="맑은 고딕"/>
          <w:sz w:val="24"/>
          <w:szCs w:val="24"/>
        </w:rPr>
        <w:t xml:space="preserve">국립공주대학교 미래자동차공학과</w:t>
      </w:r>
    </w:p>
    <w:p>
      <w:pPr>
        <w:jc w:val="center"/>
      </w:pPr>
      <w:r>
        <w:rPr>
          <w:rFonts w:ascii="맑은 고딕" w:cs="맑은 고딕" w:eastAsia="맑은 고딕" w:hAnsi="맑은 고딕"/>
          <w:sz w:val="24"/>
          <w:szCs w:val="24"/>
        </w:rPr>
        <w:t xml:space="preserve">IMT &amp; PEMFC Laboratory</w:t>
      </w:r>
    </w:p>
    <w:p>
      <w:pPr>
        <w:spacing w:before="800"/>
        <w:jc w:val="center"/>
      </w:pPr>
      <w:r>
        <w:rPr>
          <w:rFonts w:ascii="맑은 고딕" w:cs="맑은 고딕" w:eastAsia="맑은 고딕" w:hAnsi="맑은 고딕"/>
          <w:color w:val="595959"/>
          <w:sz w:val="22"/>
          <w:szCs w:val="22"/>
        </w:rPr>
        <w:t xml:space="preserve">2026년 7월</w:t>
      </w:r>
    </w:p>
    <w:p>
      <w:r>
        <w:br w:type="page"/>
      </w:r>
    </w:p>
    <w:p>
      <w:pPr>
        <w:pStyle w:val="Heading1"/>
        <w:spacing w:after="200" w:before="400"/>
      </w:pPr>
      <w:r>
        <w:rPr>
          <w:rFonts w:ascii="맑은 고딕" w:cs="맑은 고딕" w:eastAsia="맑은 고딕" w:hAnsi="맑은 고딕"/>
          <w:b/>
          <w:bCs/>
          <w:color w:val="1F3864"/>
          <w:sz w:val="32"/>
          <w:szCs w:val="32"/>
        </w:rPr>
        <w:t xml:space="preserve">초록 (Abstract)</w:t>
      </w:r>
    </w:p>
    <w:p>
      <w:pPr>
        <w:spacing w:after="160" w:line="300"/>
        <w:jc w:val="both"/>
      </w:pPr>
      <w:r>
        <w:rPr>
          <w:rFonts w:ascii="맑은 고딕" w:cs="맑은 고딕" w:eastAsia="맑은 고딕" w:hAnsi="맑은 고딕"/>
          <w:i w:val="false"/>
          <w:iCs w:val="false"/>
          <w:sz w:val="21"/>
          <w:szCs w:val="21"/>
        </w:rPr>
        <w:t xml:space="preserve">본 보고서는 25 cm² 규모의 고분자전해질막 연료전지(Proton Exchange Membrane Fuel Cell, PEMFC)에 대해, 온도·압력·습도·화학양론비 등 다양한 운전조건에서 전류-전압(I-V) 곡선과 출력 성능을 예측하는 대리모델(surrogate model) 개발 연구의 1단계 결과를 정리한다. 선행 연구에서 확보한 전산유체역학(CFD) 해석 데이터와 연구실에서 자체 수행한 실험 데이터를 결합하여, 순수 데이터 기반 머신러닝 모델(XGBoost 등)과 분극곡선(polarization curve)의 반경험적 물리 방정식을 손실함수에 내재화한 물리 정보 신경망(Physics-Informed Neural Network, PINN)을 비교·검증하였다. 실험 분극곡선 데이터를 이용해 물리 방정식 자체의 타당성을 독립적으로 검증한 결과 결정계수 R² = 0.9996의 높은 적합도를 확인하였으며, 이를 근거로 PINN의 물리 계수를 저차원 파라미터 형태로 재구성하고 실험값에 앵커링하였다. 무작위 홀드아웃(보간, interpolation) 평가에서는 트리 기반 앙상블 모델(XGBoost)이 여전히 높은 표본 효율성을 보인 반면, 학습에 사용되지 않은 운전조건 구간 전체를 배제한 외삽(extrapolation) 평가에서는 전압 축을 벗어난 조건에 대해 PINN이 XGBoost 대비 뚜렷한 성능 우위(R² = 0.773 대 0.664)를 보여, 물리 제약이 CFD 해석 범위를 넘어서는 조건에서의 예측 신뢰성 확보에 실질적으로 기여함을 확인하였다. 다만 온도·압력·습도·화학양론비 축에서는 아직 개선이 필요하며, 이는 후속 연구의 구체적 방향으로 제시된다.</w:t>
      </w:r>
    </w:p>
    <w:p>
      <w:pPr>
        <w:spacing w:after="160" w:line="300"/>
        <w:jc w:val="both"/>
      </w:pPr>
      <w:r>
        <w:rPr>
          <w:rFonts w:ascii="맑은 고딕" w:cs="맑은 고딕" w:eastAsia="맑은 고딕" w:hAnsi="맑은 고딕"/>
          <w:i w:val="false"/>
          <w:iCs w:val="false"/>
          <w:sz w:val="21"/>
          <w:szCs w:val="21"/>
        </w:rPr>
        <w:t xml:space="preserve">핵심어: 고분자전해질막 연료전지(PEMFC), 물리 정보 신경망(PINN), 대리모델, 분극곡선, 전산유체역학(CFD), 기계학습, 외삽 일반화</w:t>
      </w:r>
    </w:p>
    <w:p>
      <w:r>
        <w:br w:type="page"/>
      </w:r>
    </w:p>
    <w:p>
      <w:pPr>
        <w:pStyle w:val="Heading1"/>
        <w:spacing w:after="200" w:before="400"/>
      </w:pPr>
      <w:r>
        <w:rPr>
          <w:rFonts w:ascii="맑은 고딕" w:cs="맑은 고딕" w:eastAsia="맑은 고딕" w:hAnsi="맑은 고딕"/>
          <w:b/>
          <w:bCs/>
          <w:color w:val="1F3864"/>
          <w:sz w:val="32"/>
          <w:szCs w:val="32"/>
        </w:rPr>
        <w:t xml:space="preserve">목차</w:t>
      </w:r>
    </w:p>
    <w:p>
      <w:pPr>
        <w:tabs>
          <w:tab w:val="right" w:pos="9350" w:leader="dot"/>
        </w:tabs>
        <w:spacing w:after="90"/>
      </w:pPr>
      <w:r>
        <w:rPr>
          <w:rFonts w:ascii="맑은 고딕" w:cs="맑은 고딕" w:eastAsia="맑은 고딕" w:hAnsi="맑은 고딕"/>
          <w:sz w:val="21"/>
          <w:szCs w:val="21"/>
        </w:rPr>
        <w:t xml:space="preserve">1. 서론	4</w:t>
      </w:r>
    </w:p>
    <w:p>
      <w:pPr>
        <w:tabs>
          <w:tab w:val="right" w:pos="9350" w:leader="dot"/>
        </w:tabs>
        <w:spacing w:after="90"/>
      </w:pPr>
      <w:r>
        <w:rPr>
          <w:rFonts w:ascii="맑은 고딕" w:cs="맑은 고딕" w:eastAsia="맑은 고딕" w:hAnsi="맑은 고딕"/>
          <w:sz w:val="21"/>
          <w:szCs w:val="21"/>
        </w:rPr>
        <w:t xml:space="preserve">    1.1 연구 배경 및 필요성	4</w:t>
      </w:r>
    </w:p>
    <w:p>
      <w:pPr>
        <w:tabs>
          <w:tab w:val="right" w:pos="9350" w:leader="dot"/>
        </w:tabs>
        <w:spacing w:after="90"/>
      </w:pPr>
      <w:r>
        <w:rPr>
          <w:rFonts w:ascii="맑은 고딕" w:cs="맑은 고딕" w:eastAsia="맑은 고딕" w:hAnsi="맑은 고딕"/>
          <w:sz w:val="21"/>
          <w:szCs w:val="21"/>
        </w:rPr>
        <w:t xml:space="preserve">    1.2 연구 목적 및 범위	5</w:t>
      </w:r>
    </w:p>
    <w:p>
      <w:pPr>
        <w:tabs>
          <w:tab w:val="right" w:pos="9350" w:leader="dot"/>
        </w:tabs>
        <w:spacing w:after="90"/>
      </w:pPr>
      <w:r>
        <w:rPr>
          <w:rFonts w:ascii="맑은 고딕" w:cs="맑은 고딕" w:eastAsia="맑은 고딕" w:hAnsi="맑은 고딕"/>
          <w:sz w:val="21"/>
          <w:szCs w:val="21"/>
        </w:rPr>
        <w:t xml:space="preserve">2. 이론적 배경	6</w:t>
      </w:r>
    </w:p>
    <w:p>
      <w:pPr>
        <w:tabs>
          <w:tab w:val="right" w:pos="9350" w:leader="dot"/>
        </w:tabs>
        <w:spacing w:after="90"/>
      </w:pPr>
      <w:r>
        <w:rPr>
          <w:rFonts w:ascii="맑은 고딕" w:cs="맑은 고딕" w:eastAsia="맑은 고딕" w:hAnsi="맑은 고딕"/>
          <w:sz w:val="21"/>
          <w:szCs w:val="21"/>
        </w:rPr>
        <w:t xml:space="preserve">    2.1 고분자전해질막 연료전지(PEMFC)의 작동 원리	6</w:t>
      </w:r>
    </w:p>
    <w:p>
      <w:pPr>
        <w:tabs>
          <w:tab w:val="right" w:pos="9350" w:leader="dot"/>
        </w:tabs>
        <w:spacing w:after="90"/>
      </w:pPr>
      <w:r>
        <w:rPr>
          <w:rFonts w:ascii="맑은 고딕" w:cs="맑은 고딕" w:eastAsia="맑은 고딕" w:hAnsi="맑은 고딕"/>
          <w:sz w:val="21"/>
          <w:szCs w:val="21"/>
        </w:rPr>
        <w:t xml:space="preserve">    2.2 분극곡선(Polarization Curve) 이론	6</w:t>
      </w:r>
    </w:p>
    <w:p>
      <w:pPr>
        <w:tabs>
          <w:tab w:val="right" w:pos="9350" w:leader="dot"/>
        </w:tabs>
        <w:spacing w:after="90"/>
      </w:pPr>
      <w:r>
        <w:rPr>
          <w:rFonts w:ascii="맑은 고딕" w:cs="맑은 고딕" w:eastAsia="맑은 고딕" w:hAnsi="맑은 고딕"/>
          <w:sz w:val="21"/>
          <w:szCs w:val="21"/>
        </w:rPr>
        <w:t xml:space="preserve">    2.3 PEMFC의 CFD 지배방정식	9</w:t>
      </w:r>
    </w:p>
    <w:p>
      <w:pPr>
        <w:tabs>
          <w:tab w:val="right" w:pos="9350" w:leader="dot"/>
        </w:tabs>
        <w:spacing w:after="90"/>
      </w:pPr>
      <w:r>
        <w:rPr>
          <w:rFonts w:ascii="맑은 고딕" w:cs="맑은 고딕" w:eastAsia="맑은 고딕" w:hAnsi="맑은 고딕"/>
          <w:sz w:val="21"/>
          <w:szCs w:val="21"/>
        </w:rPr>
        <w:t xml:space="preserve">    2.4 머신러닝 대리모델(Surrogate Model)	9</w:t>
      </w:r>
    </w:p>
    <w:p>
      <w:pPr>
        <w:tabs>
          <w:tab w:val="right" w:pos="9350" w:leader="dot"/>
        </w:tabs>
        <w:spacing w:after="90"/>
      </w:pPr>
      <w:r>
        <w:rPr>
          <w:rFonts w:ascii="맑은 고딕" w:cs="맑은 고딕" w:eastAsia="맑은 고딕" w:hAnsi="맑은 고딕"/>
          <w:sz w:val="21"/>
          <w:szCs w:val="21"/>
        </w:rPr>
        <w:t xml:space="preserve">    2.5 물리 정보 신경망(PINN)	11</w:t>
      </w:r>
    </w:p>
    <w:p>
      <w:pPr>
        <w:tabs>
          <w:tab w:val="right" w:pos="9350" w:leader="dot"/>
        </w:tabs>
        <w:spacing w:after="90"/>
      </w:pPr>
      <w:r>
        <w:rPr>
          <w:rFonts w:ascii="맑은 고딕" w:cs="맑은 고딕" w:eastAsia="맑은 고딕" w:hAnsi="맑은 고딕"/>
          <w:sz w:val="21"/>
          <w:szCs w:val="21"/>
        </w:rPr>
        <w:t xml:space="preserve">    2.6 오퍼레이터 러닝과 DeepONet	12</w:t>
      </w:r>
    </w:p>
    <w:p>
      <w:pPr>
        <w:tabs>
          <w:tab w:val="right" w:pos="9350" w:leader="dot"/>
        </w:tabs>
        <w:spacing w:after="90"/>
      </w:pPr>
      <w:r>
        <w:rPr>
          <w:rFonts w:ascii="맑은 고딕" w:cs="맑은 고딕" w:eastAsia="맑은 고딕" w:hAnsi="맑은 고딕"/>
          <w:sz w:val="21"/>
          <w:szCs w:val="21"/>
        </w:rPr>
        <w:t xml:space="preserve">3. 데이터	14</w:t>
      </w:r>
    </w:p>
    <w:p>
      <w:pPr>
        <w:tabs>
          <w:tab w:val="right" w:pos="9350" w:leader="dot"/>
        </w:tabs>
        <w:spacing w:after="90"/>
      </w:pPr>
      <w:r>
        <w:rPr>
          <w:rFonts w:ascii="맑은 고딕" w:cs="맑은 고딕" w:eastAsia="맑은 고딕" w:hAnsi="맑은 고딕"/>
          <w:sz w:val="21"/>
          <w:szCs w:val="21"/>
        </w:rPr>
        <w:t xml:space="preserve">    3.1 CFD 해석 데이터셋	14</w:t>
      </w:r>
    </w:p>
    <w:p>
      <w:pPr>
        <w:tabs>
          <w:tab w:val="right" w:pos="9350" w:leader="dot"/>
        </w:tabs>
        <w:spacing w:after="90"/>
      </w:pPr>
      <w:r>
        <w:rPr>
          <w:rFonts w:ascii="맑은 고딕" w:cs="맑은 고딕" w:eastAsia="맑은 고딕" w:hAnsi="맑은 고딕"/>
          <w:sz w:val="21"/>
          <w:szCs w:val="21"/>
        </w:rPr>
        <w:t xml:space="preserve">    3.2 실험 분극곡선 데이터셋	14</w:t>
      </w:r>
    </w:p>
    <w:p>
      <w:pPr>
        <w:tabs>
          <w:tab w:val="right" w:pos="9350" w:leader="dot"/>
        </w:tabs>
        <w:spacing w:after="90"/>
      </w:pPr>
      <w:r>
        <w:rPr>
          <w:rFonts w:ascii="맑은 고딕" w:cs="맑은 고딕" w:eastAsia="맑은 고딕" w:hAnsi="맑은 고딕"/>
          <w:sz w:val="21"/>
          <w:szCs w:val="21"/>
        </w:rPr>
        <w:t xml:space="preserve">    3.3 참고 논문 개요	15</w:t>
      </w:r>
    </w:p>
    <w:p>
      <w:pPr>
        <w:tabs>
          <w:tab w:val="right" w:pos="9350" w:leader="dot"/>
        </w:tabs>
        <w:spacing w:after="90"/>
      </w:pPr>
      <w:r>
        <w:rPr>
          <w:rFonts w:ascii="맑은 고딕" w:cs="맑은 고딕" w:eastAsia="맑은 고딕" w:hAnsi="맑은 고딕"/>
          <w:sz w:val="21"/>
          <w:szCs w:val="21"/>
        </w:rPr>
        <w:t xml:space="preserve">4. 연구 방법	17</w:t>
      </w:r>
    </w:p>
    <w:p>
      <w:pPr>
        <w:tabs>
          <w:tab w:val="right" w:pos="9350" w:leader="dot"/>
        </w:tabs>
        <w:spacing w:after="90"/>
      </w:pPr>
      <w:r>
        <w:rPr>
          <w:rFonts w:ascii="맑은 고딕" w:cs="맑은 고딕" w:eastAsia="맑은 고딕" w:hAnsi="맑은 고딕"/>
          <w:sz w:val="21"/>
          <w:szCs w:val="21"/>
        </w:rPr>
        <w:t xml:space="preserve">    4.1 Baseline 대리모델 재현	17</w:t>
      </w:r>
    </w:p>
    <w:p>
      <w:pPr>
        <w:tabs>
          <w:tab w:val="right" w:pos="9350" w:leader="dot"/>
        </w:tabs>
        <w:spacing w:after="90"/>
      </w:pPr>
      <w:r>
        <w:rPr>
          <w:rFonts w:ascii="맑은 고딕" w:cs="맑은 고딕" w:eastAsia="맑은 고딕" w:hAnsi="맑은 고딕"/>
          <w:sz w:val="21"/>
          <w:szCs w:val="21"/>
        </w:rPr>
        <w:t xml:space="preserve">    4.2 실험 데이터 기반 물리 방정식 검증	17</w:t>
      </w:r>
    </w:p>
    <w:p>
      <w:pPr>
        <w:tabs>
          <w:tab w:val="right" w:pos="9350" w:leader="dot"/>
        </w:tabs>
        <w:spacing w:after="90"/>
      </w:pPr>
      <w:r>
        <w:rPr>
          <w:rFonts w:ascii="맑은 고딕" w:cs="맑은 고딕" w:eastAsia="맑은 고딕" w:hAnsi="맑은 고딕"/>
          <w:sz w:val="21"/>
          <w:szCs w:val="21"/>
        </w:rPr>
        <w:t xml:space="preserve">    4.3 PINN 모델 설계	17</w:t>
      </w:r>
    </w:p>
    <w:p>
      <w:pPr>
        <w:tabs>
          <w:tab w:val="right" w:pos="9350" w:leader="dot"/>
        </w:tabs>
        <w:spacing w:after="90"/>
      </w:pPr>
      <w:r>
        <w:rPr>
          <w:rFonts w:ascii="맑은 고딕" w:cs="맑은 고딕" w:eastAsia="맑은 고딕" w:hAnsi="맑은 고딕"/>
          <w:sz w:val="21"/>
          <w:szCs w:val="21"/>
        </w:rPr>
        <w:t xml:space="preserve">    4.4 평가 방법론: 보간과 외삽	19</w:t>
      </w:r>
    </w:p>
    <w:p>
      <w:pPr>
        <w:tabs>
          <w:tab w:val="right" w:pos="9350" w:leader="dot"/>
        </w:tabs>
        <w:spacing w:after="90"/>
      </w:pPr>
      <w:r>
        <w:rPr>
          <w:rFonts w:ascii="맑은 고딕" w:cs="맑은 고딕" w:eastAsia="맑은 고딕" w:hAnsi="맑은 고딕"/>
          <w:sz w:val="21"/>
          <w:szCs w:val="21"/>
        </w:rPr>
        <w:t xml:space="preserve">5. 결과	20</w:t>
      </w:r>
    </w:p>
    <w:p>
      <w:pPr>
        <w:tabs>
          <w:tab w:val="right" w:pos="9350" w:leader="dot"/>
        </w:tabs>
        <w:spacing w:after="90"/>
      </w:pPr>
      <w:r>
        <w:rPr>
          <w:rFonts w:ascii="맑은 고딕" w:cs="맑은 고딕" w:eastAsia="맑은 고딕" w:hAnsi="맑은 고딕"/>
          <w:sz w:val="21"/>
          <w:szCs w:val="21"/>
        </w:rPr>
        <w:t xml:space="preserve">    5.1 Baseline 재현 결과	20</w:t>
      </w:r>
    </w:p>
    <w:p>
      <w:pPr>
        <w:tabs>
          <w:tab w:val="right" w:pos="9350" w:leader="dot"/>
        </w:tabs>
        <w:spacing w:after="90"/>
      </w:pPr>
      <w:r>
        <w:rPr>
          <w:rFonts w:ascii="맑은 고딕" w:cs="맑은 고딕" w:eastAsia="맑은 고딕" w:hAnsi="맑은 고딕"/>
          <w:sz w:val="21"/>
          <w:szCs w:val="21"/>
        </w:rPr>
        <w:t xml:space="preserve">    5.2 물리 방정식 검증 결과	20</w:t>
      </w:r>
    </w:p>
    <w:p>
      <w:pPr>
        <w:tabs>
          <w:tab w:val="right" w:pos="9350" w:leader="dot"/>
        </w:tabs>
        <w:spacing w:after="90"/>
      </w:pPr>
      <w:r>
        <w:rPr>
          <w:rFonts w:ascii="맑은 고딕" w:cs="맑은 고딕" w:eastAsia="맑은 고딕" w:hAnsi="맑은 고딕"/>
          <w:sz w:val="21"/>
          <w:szCs w:val="21"/>
        </w:rPr>
        <w:t xml:space="preserve">    5.3 PINN 전체 데이터 학습 결과	21</w:t>
      </w:r>
    </w:p>
    <w:p>
      <w:pPr>
        <w:tabs>
          <w:tab w:val="right" w:pos="9350" w:leader="dot"/>
        </w:tabs>
        <w:spacing w:after="90"/>
      </w:pPr>
      <w:r>
        <w:rPr>
          <w:rFonts w:ascii="맑은 고딕" w:cs="맑은 고딕" w:eastAsia="맑은 고딕" w:hAnsi="맑은 고딕"/>
          <w:sz w:val="21"/>
          <w:szCs w:val="21"/>
        </w:rPr>
        <w:t xml:space="preserve">    5.4 데이터 효율성(보간) 비교	21</w:t>
      </w:r>
    </w:p>
    <w:p>
      <w:pPr>
        <w:tabs>
          <w:tab w:val="right" w:pos="9350" w:leader="dot"/>
        </w:tabs>
        <w:spacing w:after="90"/>
      </w:pPr>
      <w:r>
        <w:rPr>
          <w:rFonts w:ascii="맑은 고딕" w:cs="맑은 고딕" w:eastAsia="맑은 고딕" w:hAnsi="맑은 고딕"/>
          <w:sz w:val="21"/>
          <w:szCs w:val="21"/>
        </w:rPr>
        <w:t xml:space="preserve">    5.5 외삽 성능 비교	22</w:t>
      </w:r>
    </w:p>
    <w:p>
      <w:pPr>
        <w:tabs>
          <w:tab w:val="right" w:pos="9350" w:leader="dot"/>
        </w:tabs>
        <w:spacing w:after="90"/>
      </w:pPr>
      <w:r>
        <w:rPr>
          <w:rFonts w:ascii="맑은 고딕" w:cs="맑은 고딕" w:eastAsia="맑은 고딕" w:hAnsi="맑은 고딕"/>
          <w:sz w:val="21"/>
          <w:szCs w:val="21"/>
        </w:rPr>
        <w:t xml:space="preserve">6. 논의	23</w:t>
      </w:r>
    </w:p>
    <w:p>
      <w:pPr>
        <w:tabs>
          <w:tab w:val="right" w:pos="9350" w:leader="dot"/>
        </w:tabs>
        <w:spacing w:after="90"/>
      </w:pPr>
      <w:r>
        <w:rPr>
          <w:rFonts w:ascii="맑은 고딕" w:cs="맑은 고딕" w:eastAsia="맑은 고딕" w:hAnsi="맑은 고딕"/>
          <w:sz w:val="21"/>
          <w:szCs w:val="21"/>
        </w:rPr>
        <w:t xml:space="preserve">7. 결론 및 향후 계획	26</w:t>
      </w:r>
    </w:p>
    <w:p>
      <w:pPr>
        <w:tabs>
          <w:tab w:val="right" w:pos="9350" w:leader="dot"/>
        </w:tabs>
        <w:spacing w:after="90"/>
      </w:pPr>
      <w:r>
        <w:rPr>
          <w:rFonts w:ascii="맑은 고딕" w:cs="맑은 고딕" w:eastAsia="맑은 고딕" w:hAnsi="맑은 고딕"/>
          <w:sz w:val="21"/>
          <w:szCs w:val="21"/>
        </w:rPr>
        <w:t xml:space="preserve">참고문헌	27</w:t>
      </w:r>
    </w:p>
    <w:p>
      <w:r>
        <w:br w:type="page"/>
      </w:r>
    </w:p>
    <w:p>
      <w:pPr>
        <w:pStyle w:val="Heading1"/>
        <w:spacing w:after="200" w:before="400"/>
      </w:pPr>
      <w:r>
        <w:rPr>
          <w:rFonts w:ascii="맑은 고딕" w:cs="맑은 고딕" w:eastAsia="맑은 고딕" w:hAnsi="맑은 고딕"/>
          <w:b/>
          <w:bCs/>
          <w:color w:val="1F3864"/>
          <w:sz w:val="32"/>
          <w:szCs w:val="32"/>
        </w:rPr>
        <w:t xml:space="preserve">1. 서론</w:t>
      </w:r>
    </w:p>
    <w:p>
      <w:pPr>
        <w:pStyle w:val="Heading2"/>
        <w:spacing w:after="150" w:before="300"/>
      </w:pPr>
      <w:r>
        <w:rPr>
          <w:rFonts w:ascii="맑은 고딕" w:cs="맑은 고딕" w:eastAsia="맑은 고딕" w:hAnsi="맑은 고딕"/>
          <w:b/>
          <w:bCs/>
          <w:color w:val="2E5395"/>
          <w:sz w:val="26"/>
          <w:szCs w:val="26"/>
        </w:rPr>
        <w:t xml:space="preserve">1.1 연구 배경 및 필요성</w:t>
      </w:r>
    </w:p>
    <w:p>
      <w:pPr>
        <w:spacing w:after="160" w:line="300"/>
        <w:jc w:val="both"/>
      </w:pPr>
      <w:r>
        <w:rPr>
          <w:rFonts w:ascii="맑은 고딕" w:cs="맑은 고딕" w:eastAsia="맑은 고딕" w:hAnsi="맑은 고딕"/>
          <w:i w:val="false"/>
          <w:iCs w:val="false"/>
          <w:sz w:val="21"/>
          <w:szCs w:val="21"/>
        </w:rPr>
        <w:t xml:space="preserve">수소 연료전지는 화석연료를 대체할 친환경 에너지 변환 장치로서, 높은 에너지 변환 효율과 무공해 배출 특성으로 인해 수송, 발전, 휴대용 전원 등 다양한 분야에서 주목받고 있다. 특히 고분자전해질막 연료전지(PEMFC)는 낮은 작동 온도(60~100°C), 빠른 시동 특성, 높은 출력 밀도로 인해 자동차용 동력원으로 가장 활발히 상용화가 진행되고 있는 연료전지 방식이다. 그러나 PEMFC의 성능은 운전 온도, 반응가스 압력, 상대습도, 화학양론비(stoichiometric ratio) 등 다수의 운전조건에 복잡하고 비선형적으로 의존하며, 이들 변수 간 상호작용까지 고려하면 설계 및 제어 최적화를 위해 검토해야 할 조건의 조합은 매우 방대하다.</w:t>
      </w:r>
    </w:p>
    <w:p>
      <w:pPr>
        <w:spacing w:after="160" w:line="300"/>
        <w:jc w:val="both"/>
      </w:pPr>
      <w:r>
        <w:rPr>
          <w:rFonts w:ascii="맑은 고딕" w:cs="맑은 고딕" w:eastAsia="맑은 고딕" w:hAnsi="맑은 고딕"/>
          <w:i w:val="false"/>
          <w:iCs w:val="false"/>
          <w:sz w:val="21"/>
          <w:szCs w:val="21"/>
        </w:rPr>
        <w:t xml:space="preserve">이러한 복잡성을 다루기 위한 전통적 접근법은 3차원 전산유체역학(CFD) 시뮬레이션이다. CFD는 연속체 역학 기반의 지배방정식을 통해 셀 내부의 유동·물질전달·전기화학 반응을 정밀하게 모사할 수 있어 설계 최적화에 유용하지만, 단일 운전조건에 대한 해석에도 상당한 계산 시간과 자원이 소요된다는 근본적 한계가 있다. 따라서 넓은 운전조건 공간을 촘촘히 탐색해야 하는 최적화, 실시간 제어, 다목적 설계와 같은 응용에는 CFD를 직접 반복적으로 활용하기 어렵다.</w:t>
      </w:r>
    </w:p>
    <w:p>
      <w:pPr>
        <w:spacing w:after="160" w:line="300"/>
        <w:jc w:val="both"/>
      </w:pPr>
      <w:r>
        <w:rPr>
          <w:rFonts w:ascii="맑은 고딕" w:cs="맑은 고딕" w:eastAsia="맑은 고딕" w:hAnsi="맑은 고딕"/>
          <w:i w:val="false"/>
          <w:iCs w:val="false"/>
          <w:sz w:val="21"/>
          <w:szCs w:val="21"/>
        </w:rPr>
        <w:t xml:space="preserve">이 문제에 대한 대안으로, 소수의 CFD 해석 결과를 학습 데이터로 삼아 저비용·고속으로 성능을 예측하는 머신러닝 기반 대리모델(surrogate model)이 활발히 연구되고 있다. 본 연구팀이 선행 발표한 논문(Ngo et al., 2025)에서는 25 cm² PEMFC에 대해 무작위 포레스트(Random Forest), 그래디언트 부스팅(Gradient Boosting), 서포트벡터머신(SVM), 인공신경망(ANN), XGBoost의 다섯 가지 대리모델을 비교하여 XGBoost가 가장 우수한 예측 성능을 보임을 확인하였다. 그러나 해당 연구는 스스로 다음과 같은 한계를 명시하였다: (1) 295개의 CFD 데이터는 PEMFC의 넓은 운전영역을 대표하기에는 여전히 제한적이며, (2) 특히 ANN, SVM과 같이 유연한(flexible) 모델일수록 더 많은 데이터가 확보될 때 성능 개선의 여지가 크다는 점이다. 이는 순수 데이터 기반 모델이 학습 데이터의 범위를 벗어난 조건, 즉 외삽(extrapolation) 영역에서 예측 신뢰성을 보장하기 어렵다는 근본적 한계와 직결된다.</w:t>
      </w:r>
    </w:p>
    <w:p>
      <w:pPr>
        <w:spacing w:after="160" w:line="300"/>
        <w:jc w:val="both"/>
      </w:pPr>
      <w:r>
        <w:rPr>
          <w:rFonts w:ascii="맑은 고딕" w:cs="맑은 고딕" w:eastAsia="맑은 고딕" w:hAnsi="맑은 고딕"/>
          <w:i w:val="false"/>
          <w:iCs w:val="false"/>
          <w:sz w:val="21"/>
          <w:szCs w:val="21"/>
        </w:rPr>
        <w:t xml:space="preserve">이러한 배경에서, 본 연구는 PEMFC의 물리적 지배 법칙(전기화학 반응 속도론, 옴의 법칙, 물질전달 이론)을 신경망의 손실함수에 명시적으로 내재화하는 물리 정보 신경망(Physics-Informed Neural Network, PINN)을 도입하여, 적은 수의 CFD 데이터로도 넓은 운전조건 범위에서 신뢰성 있는 예측이 가능한 모델을 구축하고자 한다.</w:t>
      </w:r>
    </w:p>
    <w:p>
      <w:pPr>
        <w:pStyle w:val="Heading2"/>
        <w:spacing w:after="150" w:before="300"/>
      </w:pPr>
      <w:r>
        <w:rPr>
          <w:rFonts w:ascii="맑은 고딕" w:cs="맑은 고딕" w:eastAsia="맑은 고딕" w:hAnsi="맑은 고딕"/>
          <w:b/>
          <w:bCs/>
          <w:color w:val="2E5395"/>
          <w:sz w:val="26"/>
          <w:szCs w:val="26"/>
        </w:rPr>
        <w:t xml:space="preserve">1.2 연구 목적 및 범위</w:t>
      </w:r>
    </w:p>
    <w:p>
      <w:pPr>
        <w:spacing w:after="160" w:line="300"/>
        <w:jc w:val="both"/>
      </w:pPr>
      <w:r>
        <w:rPr>
          <w:rFonts w:ascii="맑은 고딕" w:cs="맑은 고딕" w:eastAsia="맑은 고딕" w:hAnsi="맑은 고딕"/>
          <w:i w:val="false"/>
          <w:iCs w:val="false"/>
          <w:sz w:val="21"/>
          <w:szCs w:val="21"/>
        </w:rPr>
        <w:t xml:space="preserve">본 연구의 최종 목표는 다음 네 단계로 구성된다.</w:t>
      </w:r>
    </w:p>
    <w:p>
      <w:pPr>
        <w:pStyle w:val="ListParagraph"/>
        <w:numPr>
          <w:ilvl w:val="0"/>
          <w:numId w:val="2"/>
        </w:numPr>
        <w:spacing w:after="90" w:line="280"/>
      </w:pPr>
      <w:r>
        <w:rPr>
          <w:rFonts w:ascii="맑은 고딕" w:cs="맑은 고딕" w:eastAsia="맑은 고딕" w:hAnsi="맑은 고딕"/>
          <w:sz w:val="21"/>
          <w:szCs w:val="21"/>
        </w:rPr>
        <w:t xml:space="preserve">① PINN: CFD 데이터와 전기화학 물리 법칙을 결합하여, 적은 해석 데이터로도 넓은 운전조건에서 신뢰성 있게 성능을 예측하는 모델 개발</w:t>
      </w:r>
    </w:p>
    <w:p>
      <w:pPr>
        <w:pStyle w:val="ListParagraph"/>
        <w:numPr>
          <w:ilvl w:val="0"/>
          <w:numId w:val="2"/>
        </w:numPr>
        <w:spacing w:after="90" w:line="280"/>
      </w:pPr>
      <w:r>
        <w:rPr>
          <w:rFonts w:ascii="맑은 고딕" w:cs="맑은 고딕" w:eastAsia="맑은 고딕" w:hAnsi="맑은 고딕"/>
          <w:sz w:val="21"/>
          <w:szCs w:val="21"/>
        </w:rPr>
        <w:t xml:space="preserve">② DeepONet: 검증된 PINN으로부터 저비용으로 생성한 대량의 합성 데이터를 이용해, 임의의 운전조건 함수를 입력받아 즉시 I-V 곡선을 예측하는 실시간 오퍼레이터 신경망 학습</w:t>
      </w:r>
    </w:p>
    <w:p>
      <w:pPr>
        <w:pStyle w:val="ListParagraph"/>
        <w:numPr>
          <w:ilvl w:val="0"/>
          <w:numId w:val="2"/>
        </w:numPr>
        <w:spacing w:after="90" w:line="280"/>
      </w:pPr>
      <w:r>
        <w:rPr>
          <w:rFonts w:ascii="맑은 고딕" w:cs="맑은 고딕" w:eastAsia="맑은 고딕" w:hAnsi="맑은 고딕"/>
          <w:sz w:val="21"/>
          <w:szCs w:val="21"/>
        </w:rPr>
        <w:t xml:space="preserve">③ Unity 연동: 학습된 모델을 Python 서버로 서빙하고 Unity 클라이언트와 연동하여 실시간 시각화 인터페이스 구축</w:t>
      </w:r>
    </w:p>
    <w:p>
      <w:pPr>
        <w:pStyle w:val="ListParagraph"/>
        <w:numPr>
          <w:ilvl w:val="0"/>
          <w:numId w:val="2"/>
        </w:numPr>
        <w:spacing w:after="90" w:line="280"/>
      </w:pPr>
      <w:r>
        <w:rPr>
          <w:rFonts w:ascii="맑은 고딕" w:cs="맑은 고딕" w:eastAsia="맑은 고딕" w:hAnsi="맑은 고딕"/>
          <w:sz w:val="21"/>
          <w:szCs w:val="21"/>
        </w:rPr>
        <w:t xml:space="preserve">④ 논문 작성 및 투고</w:t>
      </w:r>
    </w:p>
    <w:p>
      <w:pPr>
        <w:spacing w:after="160" w:line="300"/>
        <w:jc w:val="both"/>
      </w:pPr>
      <w:r>
        <w:rPr>
          <w:rFonts w:ascii="맑은 고딕" w:cs="맑은 고딕" w:eastAsia="맑은 고딕" w:hAnsi="맑은 고딕"/>
          <w:i w:val="false"/>
          <w:iCs w:val="false"/>
          <w:sz w:val="21"/>
          <w:szCs w:val="21"/>
        </w:rPr>
        <w:t xml:space="preserve">본 보고서는 이 중 1단계, 즉 PINN 모델의 설계, 실험 데이터를 통한 물리 방정식 검증, 그리고 보간(interpolation) 및 외삽(extrapolation) 두 관점에서의 성능 검증 결과를 다룬다. 2~4단계는 본 보고서의 결과를 토대로 향후 진행될 예정이다.</w:t>
      </w:r>
    </w:p>
    <w:p>
      <w:r>
        <w:br w:type="page"/>
      </w:r>
    </w:p>
    <w:p>
      <w:pPr>
        <w:pStyle w:val="Heading1"/>
        <w:spacing w:after="200" w:before="400"/>
      </w:pPr>
      <w:r>
        <w:rPr>
          <w:rFonts w:ascii="맑은 고딕" w:cs="맑은 고딕" w:eastAsia="맑은 고딕" w:hAnsi="맑은 고딕"/>
          <w:b/>
          <w:bCs/>
          <w:color w:val="1F3864"/>
          <w:sz w:val="32"/>
          <w:szCs w:val="32"/>
        </w:rPr>
        <w:t xml:space="preserve">2. 이론적 배경</w:t>
      </w:r>
    </w:p>
    <w:p>
      <w:pPr>
        <w:pStyle w:val="Heading2"/>
        <w:spacing w:after="150" w:before="300"/>
      </w:pPr>
      <w:r>
        <w:rPr>
          <w:rFonts w:ascii="맑은 고딕" w:cs="맑은 고딕" w:eastAsia="맑은 고딕" w:hAnsi="맑은 고딕"/>
          <w:b/>
          <w:bCs/>
          <w:color w:val="2E5395"/>
          <w:sz w:val="26"/>
          <w:szCs w:val="26"/>
        </w:rPr>
        <w:t xml:space="preserve">2.1 고분자전해질막 연료전지(PEMFC)의 작동 원리</w:t>
      </w:r>
    </w:p>
    <w:p>
      <w:pPr>
        <w:spacing w:after="160" w:line="300"/>
        <w:jc w:val="both"/>
      </w:pPr>
      <w:r>
        <w:rPr>
          <w:rFonts w:ascii="맑은 고딕" w:cs="맑은 고딕" w:eastAsia="맑은 고딕" w:hAnsi="맑은 고딕"/>
          <w:i w:val="false"/>
          <w:iCs w:val="false"/>
          <w:sz w:val="21"/>
          <w:szCs w:val="21"/>
        </w:rPr>
        <w:t xml:space="preserve">PEMFC는 수소와 산소의 전기화학적 반응을 통해 화학에너지를 전기에너지로 직접 변환하는 장치이다. 셀의 핵심 구조는 고분자 전해질막(membrane)을 중심으로 양쪽에 촉매층(Catalyst Layer, CL), 기체확산층(Gas Diffusion Layer, GDL), 유로가 형성된 분리판(Bipolar Plate, BP)이 순서대로 적층된 형태이며, 이를 막전극접합체(Membrane Electrode Assembly, MEA)라 한다. 애노드(anode)에서는 수소가 산화되어 수소이온(양성자)과 전자로 분리되고, 양성자는 전해질막을 통해, 전자는 외부 회로를 통해 각각 캐소드(cathode)로 이동하여 산소와 결합해 물을 생성한다.</w:t>
      </w:r>
    </w:p>
    <w:p>
      <w:pPr>
        <w:tabs>
          <w:tab w:val="right" w:pos="9350"/>
        </w:tabs>
        <w:spacing w:after="120" w:before="120"/>
        <w:jc w:val="center"/>
      </w:pPr>
      <w:r>
        <w:rPr>
          <w:rFonts w:ascii="Cambria Math" w:cs="Cambria Math" w:eastAsia="Cambria Math" w:hAnsi="Cambria Math"/>
          <w:i/>
          <w:iCs/>
          <w:sz w:val="24"/>
          <w:szCs w:val="24"/>
        </w:rPr>
        <w:t xml:space="preserve">애노드(산화반응):  H₂ → 2H⁺ + 2e⁻</w:t>
      </w:r>
      <w:r>
        <w:rPr>
          <w:rFonts w:ascii="맑은 고딕" w:cs="맑은 고딕" w:eastAsia="맑은 고딕" w:hAnsi="맑은 고딕"/>
          <w:sz w:val="20"/>
          <w:szCs w:val="20"/>
        </w:rPr>
        <w:t xml:space="preserve">	(1)</w:t>
      </w:r>
    </w:p>
    <w:p>
      <w:pPr>
        <w:tabs>
          <w:tab w:val="right" w:pos="9350"/>
        </w:tabs>
        <w:spacing w:after="120" w:before="120"/>
        <w:jc w:val="center"/>
      </w:pPr>
      <w:r>
        <w:rPr>
          <w:rFonts w:ascii="Cambria Math" w:cs="Cambria Math" w:eastAsia="Cambria Math" w:hAnsi="Cambria Math"/>
          <w:i/>
          <w:iCs/>
          <w:sz w:val="24"/>
          <w:szCs w:val="24"/>
        </w:rPr>
        <w:t xml:space="preserve">캐소드(환원반응):  ½O₂ + 2H⁺ + 2e⁻ → H₂O</w:t>
      </w:r>
      <w:r>
        <w:rPr>
          <w:rFonts w:ascii="맑은 고딕" w:cs="맑은 고딕" w:eastAsia="맑은 고딕" w:hAnsi="맑은 고딕"/>
          <w:sz w:val="20"/>
          <w:szCs w:val="20"/>
        </w:rPr>
        <w:t xml:space="preserve">	(2)</w:t>
      </w:r>
    </w:p>
    <w:p>
      <w:pPr>
        <w:tabs>
          <w:tab w:val="right" w:pos="9350"/>
        </w:tabs>
        <w:spacing w:after="120" w:before="120"/>
        <w:jc w:val="center"/>
      </w:pPr>
      <w:r>
        <w:rPr>
          <w:rFonts w:ascii="Cambria Math" w:cs="Cambria Math" w:eastAsia="Cambria Math" w:hAnsi="Cambria Math"/>
          <w:i/>
          <w:iCs/>
          <w:sz w:val="24"/>
          <w:szCs w:val="24"/>
        </w:rPr>
        <w:t xml:space="preserve">전체 반응:  H₂ + ½O₂ → H₂O</w:t>
      </w:r>
      <w:r>
        <w:rPr>
          <w:rFonts w:ascii="맑은 고딕" w:cs="맑은 고딕" w:eastAsia="맑은 고딕" w:hAnsi="맑은 고딕"/>
          <w:sz w:val="20"/>
          <w:szCs w:val="20"/>
        </w:rPr>
        <w:t xml:space="preserve">	(3)</w:t>
      </w:r>
    </w:p>
    <w:p>
      <w:pPr>
        <w:spacing w:after="160" w:line="300"/>
        <w:jc w:val="both"/>
      </w:pPr>
      <w:r>
        <w:rPr>
          <w:rFonts w:ascii="맑은 고딕" w:cs="맑은 고딕" w:eastAsia="맑은 고딕" w:hAnsi="맑은 고딕"/>
          <w:i w:val="false"/>
          <w:iCs w:val="false"/>
          <w:sz w:val="21"/>
          <w:szCs w:val="21"/>
        </w:rPr>
        <w:t xml:space="preserve">이 반응의 표준 상태 자유에너지 변화로부터 이론적으로 얻을 수 있는 개회로전압(open-circuit voltage)은 약 1.229 V(25°C, 1 atm 기준)이나, 실제 셀에서는 활성화 손실, 옴 손실, 물질전달(농도) 손실이 복합적으로 작용하여 실제 작동전압은 이보다 상당히 낮게 나타난다. 이 세 가지 손실 기전과 그로 인한 전압 강하를 정량적으로 기술하는 것이 다음 절의 분극곡선 이론이다.</w:t>
      </w:r>
    </w:p>
    <w:p>
      <w:pPr>
        <w:pStyle w:val="Heading2"/>
        <w:spacing w:after="150" w:before="300"/>
      </w:pPr>
      <w:r>
        <w:rPr>
          <w:rFonts w:ascii="맑은 고딕" w:cs="맑은 고딕" w:eastAsia="맑은 고딕" w:hAnsi="맑은 고딕"/>
          <w:b/>
          <w:bCs/>
          <w:color w:val="2E5395"/>
          <w:sz w:val="26"/>
          <w:szCs w:val="26"/>
        </w:rPr>
        <w:t xml:space="preserve">2.2 분극곡선(Polarization Curve) 이론</w:t>
      </w:r>
    </w:p>
    <w:p>
      <w:pPr>
        <w:spacing w:after="160" w:line="300"/>
        <w:jc w:val="both"/>
      </w:pPr>
      <w:r>
        <w:rPr>
          <w:rFonts w:ascii="맑은 고딕" w:cs="맑은 고딕" w:eastAsia="맑은 고딕" w:hAnsi="맑은 고딕"/>
          <w:i w:val="false"/>
          <w:iCs w:val="false"/>
          <w:sz w:val="21"/>
          <w:szCs w:val="21"/>
        </w:rPr>
        <w:t xml:space="preserve">분극곡선(I-V 곡선)은 전류밀도(i, A/cm²)에 따른 셀 전압(V)의 변화를 나타내며, PEMFC 성능을 특징짓는 가장 기본적인 지표이다. 셀 전압은 이론적 기전력(Nernst 전위)에서 세 가지 과전압(overpotential) 손실을 뺀 값으로 표현되는 반경험적(semi-empirical) 모델로 널리 기술된다(Amphlett et al., 1995; Larminie &amp; Dicks, 2003).</w:t>
      </w:r>
    </w:p>
    <w:p>
      <w:pPr>
        <w:tabs>
          <w:tab w:val="right" w:pos="9350"/>
        </w:tabs>
        <w:spacing w:after="120" w:before="120"/>
        <w:jc w:val="center"/>
      </w:pPr>
      <w:r>
        <w:rPr>
          <w:rFonts w:ascii="Cambria Math" w:cs="Cambria Math" w:eastAsia="Cambria Math" w:hAnsi="Cambria Math"/>
          <w:i/>
          <w:iCs/>
          <w:sz w:val="24"/>
          <w:szCs w:val="24"/>
        </w:rPr>
        <w:t xml:space="preserve">V = E_Nernst − η_act − η_ohm − η_conc</w:t>
      </w:r>
      <w:r>
        <w:rPr>
          <w:rFonts w:ascii="맑은 고딕" w:cs="맑은 고딕" w:eastAsia="맑은 고딕" w:hAnsi="맑은 고딕"/>
          <w:sz w:val="20"/>
          <w:szCs w:val="20"/>
        </w:rPr>
        <w:t xml:space="preserve">	(4)</w:t>
      </w:r>
    </w:p>
    <w:p>
      <w:pPr>
        <w:spacing w:after="160" w:line="300"/>
        <w:jc w:val="both"/>
      </w:pPr>
      <w:r>
        <w:rPr>
          <w:rFonts w:ascii="맑은 고딕" w:cs="맑은 고딕" w:eastAsia="맑은 고딕" w:hAnsi="맑은 고딕"/>
          <w:i w:val="false"/>
          <w:iCs w:val="false"/>
          <w:sz w:val="21"/>
          <w:szCs w:val="21"/>
        </w:rPr>
        <w:t xml:space="preserve">이 식의 각 항은 서로 다른 물리적 기전을 대표하며, 전류밀도에 대한 의존성과 지배적으로 나타나는 전류 영역이 상이하다. 이 때문에 실제 분극곡선은 그림 1과 같이 저전류 영역(활성화 손실 지배), 중간전류 영역(옴 손실 지배), 고전류 영역(농도 손실 지배)의 세 구간으로 특징적인 형태를 보인다.</w:t>
      </w:r>
    </w:p>
    <w:p>
      <w:pPr>
        <w:pStyle w:val="Heading3"/>
        <w:spacing w:after="120" w:before="220"/>
      </w:pPr>
      <w:r>
        <w:rPr>
          <w:rFonts w:ascii="맑은 고딕" w:cs="맑은 고딕" w:eastAsia="맑은 고딕" w:hAnsi="맑은 고딕"/>
          <w:b/>
          <w:bCs/>
          <w:color w:val="44546A"/>
          <w:sz w:val="23"/>
          <w:szCs w:val="23"/>
        </w:rPr>
        <w:t xml:space="preserve">2.2.1 이론적 기전력 (Nernst 전위)</w:t>
      </w:r>
    </w:p>
    <w:p>
      <w:pPr>
        <w:spacing w:after="160" w:line="300"/>
        <w:jc w:val="both"/>
      </w:pPr>
      <w:r>
        <w:rPr>
          <w:rFonts w:ascii="맑은 고딕" w:cs="맑은 고딕" w:eastAsia="맑은 고딕" w:hAnsi="맑은 고딕"/>
          <w:i w:val="false"/>
          <w:iCs w:val="false"/>
          <w:sz w:val="21"/>
          <w:szCs w:val="21"/>
        </w:rPr>
        <w:t xml:space="preserve">Nernst 방정식은 반응물의 분압(partial pressure)과 온도에 따라 이론적 기전력이 어떻게 변화하는지를 열역학적으로 기술한다.</w:t>
      </w:r>
    </w:p>
    <w:p>
      <w:pPr>
        <w:tabs>
          <w:tab w:val="right" w:pos="9350"/>
        </w:tabs>
        <w:spacing w:after="120" w:before="120"/>
        <w:jc w:val="center"/>
      </w:pPr>
      <w:r>
        <w:rPr>
          <w:rFonts w:ascii="Cambria Math" w:cs="Cambria Math" w:eastAsia="Cambria Math" w:hAnsi="Cambria Math"/>
          <w:i/>
          <w:iCs/>
          <w:sz w:val="24"/>
          <w:szCs w:val="24"/>
        </w:rPr>
        <w:t xml:space="preserve">E_Nernst = E⁰ − k_E(T − T_ref) + (RT / 2F)·ln(P_H₂·√P_O₂)</w:t>
      </w:r>
      <w:r>
        <w:rPr>
          <w:rFonts w:ascii="맑은 고딕" w:cs="맑은 고딕" w:eastAsia="맑은 고딕" w:hAnsi="맑은 고딕"/>
          <w:sz w:val="20"/>
          <w:szCs w:val="20"/>
        </w:rPr>
        <w:t xml:space="preserve">	(5)</w:t>
      </w:r>
    </w:p>
    <w:p>
      <w:pPr>
        <w:spacing w:after="160" w:line="300"/>
        <w:jc w:val="both"/>
      </w:pPr>
      <w:r>
        <w:rPr>
          <w:rFonts w:ascii="맑은 고딕" w:cs="맑은 고딕" w:eastAsia="맑은 고딕" w:hAnsi="맑은 고딕"/>
          <w:i w:val="false"/>
          <w:iCs w:val="false"/>
          <w:sz w:val="21"/>
          <w:szCs w:val="21"/>
        </w:rPr>
        <w:t xml:space="preserve">여기서 E⁰(=1.229 V)는 표준상태 기준전위, k_E(≈0.85×10⁻³ V/K)는 온도에 따른 기전력 감소를 나타내는 Nernst 온도계수, R은 기체상수(8.314 J/mol·K), T는 절대온도(K), F는 패러데이 상수(96,485 C/mol), P_H₂와 P_O₂는 각각 애노드·캐소드의 반응가스 분압이다. 온도가 상승할수록 엔트로피 효과로 인해 이론 전위는 감소하지만, 실제로는 반응속도론이 개선되어 활성화 손실이 줄어드는 효과가 더 크게 작용하므로, 종합적으로는 고온에서 성능이 향상되는 경향을 보이는 경우가 많다. 압력이 상승하면 반응물의 분압이 높아져 Nernst 전위가 소폭 상승하는 동시에, 물질전달이 개선되어 농도 손실도 감소하는 이중의 긍정적 효과가 있다.</w:t>
      </w:r>
    </w:p>
    <w:p>
      <w:pPr>
        <w:pStyle w:val="Heading3"/>
        <w:spacing w:after="120" w:before="220"/>
      </w:pPr>
      <w:r>
        <w:rPr>
          <w:rFonts w:ascii="맑은 고딕" w:cs="맑은 고딕" w:eastAsia="맑은 고딕" w:hAnsi="맑은 고딕"/>
          <w:b/>
          <w:bCs/>
          <w:color w:val="44546A"/>
          <w:sz w:val="23"/>
          <w:szCs w:val="23"/>
        </w:rPr>
        <w:t xml:space="preserve">2.2.2 활성화 손실 (Activation Overpotential)</w:t>
      </w:r>
    </w:p>
    <w:p>
      <w:pPr>
        <w:spacing w:after="160" w:line="300"/>
        <w:jc w:val="both"/>
      </w:pPr>
      <w:r>
        <w:rPr>
          <w:rFonts w:ascii="맑은 고딕" w:cs="맑은 고딕" w:eastAsia="맑은 고딕" w:hAnsi="맑은 고딕"/>
          <w:i w:val="false"/>
          <w:iCs w:val="false"/>
          <w:sz w:val="21"/>
          <w:szCs w:val="21"/>
        </w:rPr>
        <w:t xml:space="preserve">활성화 손실은 전극 표면에서 전기화학 반응이 진행되기 위해 필요한 활성화 에너지 장벽을 극복하는 데 소모되는 전압으로, Butler-Volmer 방정식으로 기술되는 전극 반응속도론에서 유도된다.</w:t>
      </w:r>
    </w:p>
    <w:p>
      <w:pPr>
        <w:tabs>
          <w:tab w:val="right" w:pos="9350"/>
        </w:tabs>
        <w:spacing w:after="120" w:before="120"/>
        <w:jc w:val="center"/>
      </w:pPr>
      <w:r>
        <w:rPr>
          <w:rFonts w:ascii="Cambria Math" w:cs="Cambria Math" w:eastAsia="Cambria Math" w:hAnsi="Cambria Math"/>
          <w:i/>
          <w:iCs/>
          <w:sz w:val="24"/>
          <w:szCs w:val="24"/>
        </w:rPr>
        <w:t xml:space="preserve">i = i₀·[exp(α_a F η_act / RT) − exp(−α_c F η_act / RT)]</w:t>
      </w:r>
      <w:r>
        <w:rPr>
          <w:rFonts w:ascii="맑은 고딕" w:cs="맑은 고딕" w:eastAsia="맑은 고딕" w:hAnsi="맑은 고딕"/>
          <w:sz w:val="20"/>
          <w:szCs w:val="20"/>
        </w:rPr>
        <w:t xml:space="preserve">	(6)</w:t>
      </w:r>
    </w:p>
    <w:p>
      <w:pPr>
        <w:spacing w:after="160" w:line="300"/>
        <w:jc w:val="both"/>
      </w:pPr>
      <w:r>
        <w:rPr>
          <w:rFonts w:ascii="맑은 고딕" w:cs="맑은 고딕" w:eastAsia="맑은 고딕" w:hAnsi="맑은 고딕"/>
          <w:i w:val="false"/>
          <w:iCs w:val="false"/>
          <w:sz w:val="21"/>
          <w:szCs w:val="21"/>
        </w:rPr>
        <w:t xml:space="preserve">여기서 i₀는 교환전류밀도(exchange current density)로, 평형 상태에서 정반응과 역반응이 동일한 속도로 일어날 때의 전류밀도이며 촉매 활성과 온도에 강하게 의존한다. α_a, α_c는 각각 양극성·음극성 전달계수(transfer coefficient)이다. 과전압이 충분히 큰 경우(|η_act| ≫ RT/F, 일반적으로 PEMFC 작동 영역에 해당) 식 (6)의 역방향 항은 무시할 수 있으며, 이를 Tafel 근사라 한다. 이를 η_act에 대해 정리하면 다음과 같은 로그 형태의 Tafel 식을 얻는다.</w:t>
      </w:r>
    </w:p>
    <w:p>
      <w:pPr>
        <w:tabs>
          <w:tab w:val="right" w:pos="9350"/>
        </w:tabs>
        <w:spacing w:after="120" w:before="120"/>
        <w:jc w:val="center"/>
      </w:pPr>
      <w:r>
        <w:rPr>
          <w:rFonts w:ascii="Cambria Math" w:cs="Cambria Math" w:eastAsia="Cambria Math" w:hAnsi="Cambria Math"/>
          <w:i/>
          <w:iCs/>
          <w:sz w:val="24"/>
          <w:szCs w:val="24"/>
        </w:rPr>
        <w:t xml:space="preserve">η_act = (RT / αF)·ln(i / i₀)</w:t>
      </w:r>
      <w:r>
        <w:rPr>
          <w:rFonts w:ascii="맑은 고딕" w:cs="맑은 고딕" w:eastAsia="맑은 고딕" w:hAnsi="맑은 고딕"/>
          <w:sz w:val="20"/>
          <w:szCs w:val="20"/>
        </w:rPr>
        <w:t xml:space="preserve">	(7)</w:t>
      </w:r>
    </w:p>
    <w:p>
      <w:pPr>
        <w:spacing w:after="160" w:line="300"/>
        <w:jc w:val="both"/>
      </w:pPr>
      <w:r>
        <w:rPr>
          <w:rFonts w:ascii="맑은 고딕" w:cs="맑은 고딕" w:eastAsia="맑은 고딕" w:hAnsi="맑은 고딕"/>
          <w:i w:val="false"/>
          <w:iCs w:val="false"/>
          <w:sz w:val="21"/>
          <w:szCs w:val="21"/>
        </w:rPr>
        <w:t xml:space="preserve">이 항은 전류밀도가 0에 가까울수록 −∞로 발산하는 특성이 있어, 실제 개회로 부근의 완만한 전압 강하는 촉매 표면의 크로스오버 전류나 혼합전위 등 이 단순 모델이 포괄하지 못하는 부가적 손실 기전이 반영된 결과로 해석된다. 교환전류밀도 i₀는 일반적으로 캐소드의 산소환원반응(ORR)이 애노드의 수소산화반응(HOR)보다 훨씬 느려(수 자릿수 차이) 전체 활성화 손실을 지배하며, 문헌상 순백금 촉매 기준 i₀는 10⁻⁹~10⁻⁶ A/cm² 수준으로 보고된다.</w:t>
      </w:r>
    </w:p>
    <w:p>
      <w:pPr>
        <w:pStyle w:val="Heading3"/>
        <w:spacing w:after="120" w:before="220"/>
      </w:pPr>
      <w:r>
        <w:rPr>
          <w:rFonts w:ascii="맑은 고딕" w:cs="맑은 고딕" w:eastAsia="맑은 고딕" w:hAnsi="맑은 고딕"/>
          <w:b/>
          <w:bCs/>
          <w:color w:val="44546A"/>
          <w:sz w:val="23"/>
          <w:szCs w:val="23"/>
        </w:rPr>
        <w:t xml:space="preserve">2.2.3 옴 손실 (Ohmic Overpotential)</w:t>
      </w:r>
    </w:p>
    <w:p>
      <w:pPr>
        <w:spacing w:after="160" w:line="300"/>
        <w:jc w:val="both"/>
      </w:pPr>
      <w:r>
        <w:rPr>
          <w:rFonts w:ascii="맑은 고딕" w:cs="맑은 고딕" w:eastAsia="맑은 고딕" w:hAnsi="맑은 고딕"/>
          <w:i w:val="false"/>
          <w:iCs w:val="false"/>
          <w:sz w:val="21"/>
          <w:szCs w:val="21"/>
        </w:rPr>
        <w:t xml:space="preserve">옴 손실은 전해질막의 이온 전도 저항, 전극·분리판의 전자 전도 저항, 각 층간 접촉저항 등 셀을 구성하는 모든 저항 성분에 의한 전압 강하로, 전류밀도에 선형으로 비례한다.</w:t>
      </w:r>
    </w:p>
    <w:p>
      <w:pPr>
        <w:tabs>
          <w:tab w:val="right" w:pos="9350"/>
        </w:tabs>
        <w:spacing w:after="120" w:before="120"/>
        <w:jc w:val="center"/>
      </w:pPr>
      <w:r>
        <w:rPr>
          <w:rFonts w:ascii="Cambria Math" w:cs="Cambria Math" w:eastAsia="Cambria Math" w:hAnsi="Cambria Math"/>
          <w:i/>
          <w:iCs/>
          <w:sz w:val="24"/>
          <w:szCs w:val="24"/>
        </w:rPr>
        <w:t xml:space="preserve">η_ohm = i · R_ohm</w:t>
      </w:r>
      <w:r>
        <w:rPr>
          <w:rFonts w:ascii="맑은 고딕" w:cs="맑은 고딕" w:eastAsia="맑은 고딕" w:hAnsi="맑은 고딕"/>
          <w:sz w:val="20"/>
          <w:szCs w:val="20"/>
        </w:rPr>
        <w:t xml:space="preserve">	(8)</w:t>
      </w:r>
    </w:p>
    <w:p>
      <w:pPr>
        <w:spacing w:after="160" w:line="300"/>
        <w:jc w:val="both"/>
      </w:pPr>
      <w:r>
        <w:rPr>
          <w:rFonts w:ascii="맑은 고딕" w:cs="맑은 고딕" w:eastAsia="맑은 고딕" w:hAnsi="맑은 고딕"/>
          <w:i w:val="false"/>
          <w:iCs w:val="false"/>
          <w:sz w:val="21"/>
          <w:szCs w:val="21"/>
        </w:rPr>
        <w:t xml:space="preserve">R_ohm(Ω·cm²)은 셀의 총 면적저항이며, 그 중 지배적인 성분은 통상 고분자 전해질막(Nafion 등)의 이온전도 저항이다. 막의 양성자 전도도는 함수율(막 내 수분 함량)에 강하게 의존하는데, Springer et al.(1991)이 제시한 상관식이 문헌에서 널리 사용된다.</w:t>
      </w:r>
    </w:p>
    <w:p>
      <w:pPr>
        <w:tabs>
          <w:tab w:val="right" w:pos="9350"/>
        </w:tabs>
        <w:spacing w:after="120" w:before="120"/>
        <w:jc w:val="center"/>
      </w:pPr>
      <w:r>
        <w:rPr>
          <w:rFonts w:ascii="Cambria Math" w:cs="Cambria Math" w:eastAsia="Cambria Math" w:hAnsi="Cambria Math"/>
          <w:i/>
          <w:iCs/>
          <w:sz w:val="24"/>
          <w:szCs w:val="24"/>
        </w:rPr>
        <w:t xml:space="preserve">σ_m(λ, T) = (0.005139λ − 0.00326)·exp[1268·(1/303 − 1/T)]</w:t>
      </w:r>
      <w:r>
        <w:rPr>
          <w:rFonts w:ascii="맑은 고딕" w:cs="맑은 고딕" w:eastAsia="맑은 고딕" w:hAnsi="맑은 고딕"/>
          <w:sz w:val="20"/>
          <w:szCs w:val="20"/>
        </w:rPr>
        <w:t xml:space="preserve">	(9)</w:t>
      </w:r>
    </w:p>
    <w:p>
      <w:pPr>
        <w:spacing w:after="160" w:line="300"/>
        <w:jc w:val="both"/>
      </w:pPr>
      <w:r>
        <w:rPr>
          <w:rFonts w:ascii="맑은 고딕" w:cs="맑은 고딕" w:eastAsia="맑은 고딕" w:hAnsi="맑은 고딕"/>
          <w:i w:val="false"/>
          <w:iCs w:val="false"/>
          <w:sz w:val="21"/>
          <w:szCs w:val="21"/>
        </w:rPr>
        <w:t xml:space="preserve">여기서 λ는 막의 함수율(water content), T는 절대온도이다. λ는 다시 상대습도(RH)의 비선형 함수로 주어지며(전형적으로 3차 다항식 또는 S자형 곡선 형태), 이 때문에 R_ohm은 습도에 대해 단순한 선형 관계가 아니라 강한 비선형성을 가진다. 이 점은 본 연구의 5.5절 및 6장 논의에서 습도 축 외삽 성능이 저조했던 원인을 해석하는 데 중요한 단서가 된다.</w:t>
      </w:r>
    </w:p>
    <w:p>
      <w:pPr>
        <w:pStyle w:val="Heading3"/>
        <w:spacing w:after="120" w:before="220"/>
      </w:pPr>
      <w:r>
        <w:rPr>
          <w:rFonts w:ascii="맑은 고딕" w:cs="맑은 고딕" w:eastAsia="맑은 고딕" w:hAnsi="맑은 고딕"/>
          <w:b/>
          <w:bCs/>
          <w:color w:val="44546A"/>
          <w:sz w:val="23"/>
          <w:szCs w:val="23"/>
        </w:rPr>
        <w:t xml:space="preserve">2.2.4 농도(물질전달) 손실 (Concentration Overpotential)</w:t>
      </w:r>
    </w:p>
    <w:p>
      <w:pPr>
        <w:spacing w:after="160" w:line="300"/>
        <w:jc w:val="both"/>
      </w:pPr>
      <w:r>
        <w:rPr>
          <w:rFonts w:ascii="맑은 고딕" w:cs="맑은 고딕" w:eastAsia="맑은 고딕" w:hAnsi="맑은 고딕"/>
          <w:i w:val="false"/>
          <w:iCs w:val="false"/>
          <w:sz w:val="21"/>
          <w:szCs w:val="21"/>
        </w:rPr>
        <w:t xml:space="preserve">고전류 영역에서는 반응가스가 촉매층 표면으로 충분히 빠르게 공급되지 못해 국부적으로 반응물 농도가 급격히 감소하며, 전류밀도가 한계전류밀도(limiting current density, i_lim)에 근접할수록 전압이 급격히 떨어지는 비선형 거동이 나타난다.</w:t>
      </w:r>
    </w:p>
    <w:p>
      <w:pPr>
        <w:tabs>
          <w:tab w:val="right" w:pos="9350"/>
        </w:tabs>
        <w:spacing w:after="120" w:before="120"/>
        <w:jc w:val="center"/>
      </w:pPr>
      <w:r>
        <w:rPr>
          <w:rFonts w:ascii="Cambria Math" w:cs="Cambria Math" w:eastAsia="Cambria Math" w:hAnsi="Cambria Math"/>
          <w:i/>
          <w:iCs/>
          <w:sz w:val="24"/>
          <w:szCs w:val="24"/>
        </w:rPr>
        <w:t xml:space="preserve">η_conc = −B · ln(1 − i / i_lim)</w:t>
      </w:r>
      <w:r>
        <w:rPr>
          <w:rFonts w:ascii="맑은 고딕" w:cs="맑은 고딕" w:eastAsia="맑은 고딕" w:hAnsi="맑은 고딕"/>
          <w:sz w:val="20"/>
          <w:szCs w:val="20"/>
        </w:rPr>
        <w:t xml:space="preserve">	(10)</w:t>
      </w:r>
    </w:p>
    <w:p>
      <w:pPr>
        <w:spacing w:after="160" w:line="300"/>
        <w:jc w:val="both"/>
      </w:pPr>
      <w:r>
        <w:rPr>
          <w:rFonts w:ascii="맑은 고딕" w:cs="맑은 고딕" w:eastAsia="맑은 고딕" w:hAnsi="맑은 고딕"/>
          <w:i w:val="false"/>
          <w:iCs w:val="false"/>
          <w:sz w:val="21"/>
          <w:szCs w:val="21"/>
        </w:rPr>
        <w:t xml:space="preserve">B는 농도손실계수로 물질전달 특성(확산계수, GDL 기공률 등)에 관련되며, i_lim은 반응가스의 공급 유량(화학양론비), 압력, 습도(GDL 내 액체수 축적에 따른 유효 확산단면적 감소)에 의해 결정된다. i → i_lim에 가까워질수록 ln(1−i/i_lim) 항이 발산하므로, 이 항이 분극곡선의 급격한 전압 붕괴(dropoff) 구간을 결정한다.</w:t>
      </w:r>
    </w:p>
    <w:p>
      <w:pPr>
        <w:pStyle w:val="Heading3"/>
        <w:spacing w:after="120" w:before="220"/>
      </w:pPr>
      <w:r>
        <w:rPr>
          <w:rFonts w:ascii="맑은 고딕" w:cs="맑은 고딕" w:eastAsia="맑은 고딕" w:hAnsi="맑은 고딕"/>
          <w:b/>
          <w:bCs/>
          <w:color w:val="44546A"/>
          <w:sz w:val="23"/>
          <w:szCs w:val="23"/>
        </w:rPr>
        <w:t xml:space="preserve">2.2.5 종합: 4항 반경험적 모델의 특징</w:t>
      </w:r>
    </w:p>
    <w:p>
      <w:pPr>
        <w:spacing w:after="160" w:line="300"/>
        <w:jc w:val="both"/>
      </w:pPr>
      <w:r>
        <w:rPr>
          <w:rFonts w:ascii="맑은 고딕" w:cs="맑은 고딕" w:eastAsia="맑은 고딕" w:hAnsi="맑은 고딕"/>
          <w:i w:val="false"/>
          <w:iCs w:val="false"/>
          <w:sz w:val="21"/>
          <w:szCs w:val="21"/>
        </w:rPr>
        <w:t xml:space="preserve">식 (4)~(10)을 종합한 4항 모델은 자유 파라미터가 소수(α, i₀, R_ohm, B, i_lim)에 불과하면서도 실제 분극곡선의 세 가지 특징적 구간(활성화 지배, 옴 지배, 농도 지배)을 모두 재현할 수 있어, 연료전지 시스템 모델링에서 가장 널리 쓰이는 표준적 반경험적 모델이다(Amphlett et al., 1995; Kim et al., 1995; Larminie &amp; Dicks, 2003). 본 연구에서는 이 모델을 PINN의 물리적 사전지식(physics prior)으로 채택하였으며, 4.2절에서 이 방정식 형태 자체가 본 연구실의 실험 데이터에 실제로 잘 부합하는지를 독립적으로 검증하였다.</w:t>
      </w:r>
    </w:p>
    <w:p>
      <w:pPr>
        <w:pStyle w:val="Heading2"/>
        <w:spacing w:after="150" w:before="300"/>
      </w:pPr>
      <w:r>
        <w:rPr>
          <w:rFonts w:ascii="맑은 고딕" w:cs="맑은 고딕" w:eastAsia="맑은 고딕" w:hAnsi="맑은 고딕"/>
          <w:b/>
          <w:bCs/>
          <w:color w:val="2E5395"/>
          <w:sz w:val="26"/>
          <w:szCs w:val="26"/>
        </w:rPr>
        <w:t xml:space="preserve">2.3 PEMFC의 CFD 지배방정식</w:t>
      </w:r>
    </w:p>
    <w:p>
      <w:pPr>
        <w:spacing w:after="160" w:line="300"/>
        <w:jc w:val="both"/>
      </w:pPr>
      <w:r>
        <w:rPr>
          <w:rFonts w:ascii="맑은 고딕" w:cs="맑은 고딕" w:eastAsia="맑은 고딕" w:hAnsi="맑은 고딕"/>
          <w:i w:val="false"/>
          <w:iCs w:val="false"/>
          <w:sz w:val="21"/>
          <w:szCs w:val="21"/>
        </w:rPr>
        <w:t xml:space="preserve">2.2절의 반경험적 모델이 셀 전체를 하나의 집중정수(0차원) 시스템으로 단순화하여 다루는 것과 달리, 3차원 CFD 해석은 셀 내부의 국부적인 유동장·농도장·전위장 분포까지 상세히 모사한다. 선행 연구(Ngo et al., 2025)에서 사용된 ANSYS Fluent PEMFC 모듈 기반 CFD 모델은 다음의 지배방정식들을 결합하여 풀이한다.</w:t>
      </w:r>
    </w:p>
    <w:p>
      <w:pPr>
        <w:pStyle w:val="ListParagraph"/>
        <w:numPr>
          <w:ilvl w:val="0"/>
          <w:numId w:val="2"/>
        </w:numPr>
        <w:spacing w:after="90" w:line="280"/>
      </w:pPr>
      <w:r>
        <w:rPr>
          <w:rFonts w:ascii="맑은 고딕" w:cs="맑은 고딕" w:eastAsia="맑은 고딕" w:hAnsi="맑은 고딕"/>
          <w:sz w:val="21"/>
          <w:szCs w:val="21"/>
        </w:rPr>
        <w:t xml:space="preserve">연속방정식(continuity): 질량 보존, 다공성 매질에서의 유효 밀도·속도 관계</w:t>
      </w:r>
    </w:p>
    <w:p>
      <w:pPr>
        <w:pStyle w:val="ListParagraph"/>
        <w:numPr>
          <w:ilvl w:val="0"/>
          <w:numId w:val="2"/>
        </w:numPr>
        <w:spacing w:after="90" w:line="280"/>
      </w:pPr>
      <w:r>
        <w:rPr>
          <w:rFonts w:ascii="맑은 고딕" w:cs="맑은 고딕" w:eastAsia="맑은 고딕" w:hAnsi="맑은 고딕"/>
          <w:sz w:val="21"/>
          <w:szCs w:val="21"/>
        </w:rPr>
        <w:t xml:space="preserve">운동량방정식(momentum): 유로·GDL·촉매층에서의 압력-속도 관계, 다공성 매질의 Darcy 항 포함</w:t>
      </w:r>
    </w:p>
    <w:p>
      <w:pPr>
        <w:pStyle w:val="ListParagraph"/>
        <w:numPr>
          <w:ilvl w:val="0"/>
          <w:numId w:val="2"/>
        </w:numPr>
        <w:spacing w:after="90" w:line="280"/>
      </w:pPr>
      <w:r>
        <w:rPr>
          <w:rFonts w:ascii="맑은 고딕" w:cs="맑은 고딕" w:eastAsia="맑은 고딕" w:hAnsi="맑은 고딕"/>
          <w:sz w:val="21"/>
          <w:szCs w:val="21"/>
        </w:rPr>
        <w:t xml:space="preserve">에너지방정식(energy): 대류·전도에 의한 열전달과 반응열·저항손실에 의한 발열원 항</w:t>
      </w:r>
    </w:p>
    <w:p>
      <w:pPr>
        <w:pStyle w:val="ListParagraph"/>
        <w:numPr>
          <w:ilvl w:val="0"/>
          <w:numId w:val="2"/>
        </w:numPr>
        <w:spacing w:after="90" w:line="280"/>
      </w:pPr>
      <w:r>
        <w:rPr>
          <w:rFonts w:ascii="맑은 고딕" w:cs="맑은 고딕" w:eastAsia="맑은 고딕" w:hAnsi="맑은 고딕"/>
          <w:sz w:val="21"/>
          <w:szCs w:val="21"/>
        </w:rPr>
        <w:t xml:space="preserve">종보존방정식(species diffusion): 수소, 산소, 질소, 수증기 등 각 기체 성분의 확산·대류 수송</w:t>
      </w:r>
    </w:p>
    <w:p>
      <w:pPr>
        <w:pStyle w:val="ListParagraph"/>
        <w:numPr>
          <w:ilvl w:val="0"/>
          <w:numId w:val="2"/>
        </w:numPr>
        <w:spacing w:after="90" w:line="280"/>
      </w:pPr>
      <w:r>
        <w:rPr>
          <w:rFonts w:ascii="맑은 고딕" w:cs="맑은 고딕" w:eastAsia="맑은 고딕" w:hAnsi="맑은 고딕"/>
          <w:sz w:val="21"/>
          <w:szCs w:val="21"/>
        </w:rPr>
        <w:t xml:space="preserve">용존수 수송방정식(dissolved water transport): 막 내부의 함수율(λ) 분포와 전기삼투항력(electro-osmotic drag), 역확산(back-diffusion)</w:t>
      </w:r>
    </w:p>
    <w:p>
      <w:pPr>
        <w:pStyle w:val="ListParagraph"/>
        <w:numPr>
          <w:ilvl w:val="0"/>
          <w:numId w:val="2"/>
        </w:numPr>
        <w:spacing w:after="90" w:line="280"/>
      </w:pPr>
      <w:r>
        <w:rPr>
          <w:rFonts w:ascii="맑은 고딕" w:cs="맑은 고딕" w:eastAsia="맑은 고딕" w:hAnsi="맑은 고딕"/>
          <w:sz w:val="21"/>
          <w:szCs w:val="21"/>
        </w:rPr>
        <w:t xml:space="preserve">양성자/전자 전달방정식(charge transport): 막·촉매층에서의 이온전도, 분리판·GDL·촉매층에서의 전자전도 (Ohm의 법칙의 국소적 형태)</w:t>
      </w:r>
    </w:p>
    <w:p>
      <w:pPr>
        <w:spacing w:after="160" w:line="300"/>
        <w:jc w:val="both"/>
      </w:pPr>
      <w:r>
        <w:rPr>
          <w:rFonts w:ascii="맑은 고딕" w:cs="맑은 고딕" w:eastAsia="맑은 고딕" w:hAnsi="맑은 고딕"/>
          <w:i w:val="false"/>
          <w:iCs w:val="false"/>
          <w:sz w:val="21"/>
          <w:szCs w:val="21"/>
        </w:rPr>
        <w:t xml:space="preserve">이 방정식들은 촉매층에서의 Butler-Volmer 반응속도론(식 6)을 국소 소스항(source term)으로 포함하여 서로 강하게 연성(coupled)되어 있으며, 유한체적법(Finite Volume Method)과 SIMPLE 알고리즘을 이용해 압력-속도 연성을 처리하고 2차 upwind 이산화 기법으로 수치해를 구한다. 이러한 고차원·비선형·강연성 시스템의 특성상 단일 운전조건에 대한 정상상태 해석에도 상당한 계산량이 요구되며, 이것이 본 연구가 CFD를 대체할 저비용 대리모델을 필요로 하는 근본적 이유이다.</w:t>
      </w:r>
    </w:p>
    <w:p>
      <w:pPr>
        <w:spacing w:after="160" w:line="300"/>
        <w:jc w:val="both"/>
      </w:pPr>
      <w:r>
        <w:rPr>
          <w:rFonts w:ascii="맑은 고딕" w:cs="맑은 고딕" w:eastAsia="맑은 고딕" w:hAnsi="맑은 고딕"/>
          <w:i w:val="false"/>
          <w:iCs w:val="false"/>
          <w:sz w:val="21"/>
          <w:szCs w:val="21"/>
        </w:rPr>
        <w:t xml:space="preserve">본 연구에서 사용한 PINN(4.3절)은 CFD의 3차원 국소 지배방정식을 직접 재현하는 대신, 셀 전체를 대표하는 2.2절의 0차원 반경험적 분극곡선 방정식을 물리적 제약으로 채택하였다. 이는 확보 가능한 CFD 데이터가 국소 분포장이 아닌 셀 단위의 집계값(전류, 전력밀도, 효율, 산소분포 표준편차)이라는 데이터의 실질적 제약에 부합하는 선택이며, 4.3절에서 상세히 논의한다.</w:t>
      </w:r>
    </w:p>
    <w:p>
      <w:pPr>
        <w:pStyle w:val="Heading2"/>
        <w:spacing w:after="150" w:before="300"/>
      </w:pPr>
      <w:r>
        <w:rPr>
          <w:rFonts w:ascii="맑은 고딕" w:cs="맑은 고딕" w:eastAsia="맑은 고딕" w:hAnsi="맑은 고딕"/>
          <w:b/>
          <w:bCs/>
          <w:color w:val="2E5395"/>
          <w:sz w:val="26"/>
          <w:szCs w:val="26"/>
        </w:rPr>
        <w:t xml:space="preserve">2.4 머신러닝 대리모델(Surrogate Model)</w:t>
      </w:r>
    </w:p>
    <w:p>
      <w:pPr>
        <w:spacing w:after="160" w:line="300"/>
        <w:jc w:val="both"/>
      </w:pPr>
      <w:r>
        <w:rPr>
          <w:rFonts w:ascii="맑은 고딕" w:cs="맑은 고딕" w:eastAsia="맑은 고딕" w:hAnsi="맑은 고딕"/>
          <w:i w:val="false"/>
          <w:iCs w:val="false"/>
          <w:sz w:val="21"/>
          <w:szCs w:val="21"/>
        </w:rPr>
        <w:t xml:space="preserve">대리모델은 고비용 시뮬레이션(CFD)이나 실험을 통해 확보한 유한한 수의 입출력 데이터로부터, 임의의 새로운 입력에 대한 출력을 근사적으로 예측하는 통계적/기계학습적 모델을 의미한다. 설계 최적화나 민감도 분석과 같이 반복적으로 다수의 조건을 평가해야 하는 응용에서, 매번 원본 시뮬레이션을 수행하는 대신 학습된 대리모델로 대체하면 계산 비용을 수 자릿수 절감할 수 있다. 본 연구 및 선행 연구(Ngo et al., 2025)에서 비교한 다섯 가지 대리모델의 이론적 특성은 다음과 같다.</w:t>
      </w:r>
    </w:p>
    <w:p>
      <w:pPr>
        <w:pStyle w:val="Heading3"/>
        <w:spacing w:after="120" w:before="220"/>
      </w:pPr>
      <w:r>
        <w:rPr>
          <w:rFonts w:ascii="맑은 고딕" w:cs="맑은 고딕" w:eastAsia="맑은 고딕" w:hAnsi="맑은 고딕"/>
          <w:b/>
          <w:bCs/>
          <w:color w:val="44546A"/>
          <w:sz w:val="23"/>
          <w:szCs w:val="23"/>
        </w:rPr>
        <w:t xml:space="preserve">2.4.1 트리 기반 앙상블 모델 (Random Forest, Gradient Boosting, XGBoost)</w:t>
      </w:r>
    </w:p>
    <w:p>
      <w:pPr>
        <w:spacing w:after="160" w:line="300"/>
        <w:jc w:val="both"/>
      </w:pPr>
      <w:r>
        <w:rPr>
          <w:rFonts w:ascii="맑은 고딕" w:cs="맑은 고딕" w:eastAsia="맑은 고딕" w:hAnsi="맑은 고딕"/>
          <w:i w:val="false"/>
          <w:iCs w:val="false"/>
          <w:sz w:val="21"/>
          <w:szCs w:val="21"/>
        </w:rPr>
        <w:t xml:space="preserve">결정트리(decision tree)는 입력 공간을 재귀적으로 분할하여 각 분할 영역(leaf)에 대표값을 할당하는 비모수적 모델이다. Random Forest는 다수의 결정트리를 부트스트랩 샘플링과 특성의 무작위 부분집합으로 독립적으로 학습시킨 뒤 평균을 취하는 배깅(bagging) 방식이며, 분산을 줄여 과적합에 강인하다. Gradient Boosting과 XGBoost는 이전 트리들의 잔차(residual)를 순차적으로 학습하는 부스팅(boosting) 방식으로, 편향(bias)을 줄이는 데 효과적이며 일반적으로 정형(tabular) 데이터에서 신경망보다 우수한 성능을 보이는 것으로 널리 보고되어 있다(Grinsztajn et al., 2022). 특히 XGBoost는 정규화 항과 효율적인 트리 가지치기를 도입하여 일반화 성능을 개선한 구현체로, 본 연구 및 선행 연구 모두에서 다섯 모델 중 최고 성능을 보였다.</w:t>
      </w:r>
    </w:p>
    <w:p>
      <w:pPr>
        <w:spacing w:after="160" w:line="300"/>
        <w:jc w:val="both"/>
      </w:pPr>
      <w:r>
        <w:rPr>
          <w:rFonts w:ascii="맑은 고딕" w:cs="맑은 고딕" w:eastAsia="맑은 고딕" w:hAnsi="맑은 고딕"/>
          <w:i w:val="false"/>
          <w:iCs w:val="false"/>
          <w:sz w:val="21"/>
          <w:szCs w:val="21"/>
        </w:rPr>
        <w:t xml:space="preserve">트리 기반 모델의 중요한 한계는 외삽(extrapolation) 성능이다. 트리는 학습 데이터 범위 내에서 입력 공간을 분할하므로, 학습 시 관측된 특성값의 범위를 벗어난 입력이 주어져도 가장 가까운 leaf의 값을 그대로 반환할 뿐 그 바깥의 추세를 추정하지 못한다. 이는 본 연구 5.5절의 외삽 실험에서 XGBoost의 성능이 급격히 저하되는 현상의 이론적 근거가 된다.</w:t>
      </w:r>
    </w:p>
    <w:p>
      <w:pPr>
        <w:pStyle w:val="Heading3"/>
        <w:spacing w:after="120" w:before="220"/>
      </w:pPr>
      <w:r>
        <w:rPr>
          <w:rFonts w:ascii="맑은 고딕" w:cs="맑은 고딕" w:eastAsia="맑은 고딕" w:hAnsi="맑은 고딕"/>
          <w:b/>
          <w:bCs/>
          <w:color w:val="44546A"/>
          <w:sz w:val="23"/>
          <w:szCs w:val="23"/>
        </w:rPr>
        <w:t xml:space="preserve">2.4.2 서포트벡터머신(SVM)과 인공신경망(ANN)</w:t>
      </w:r>
    </w:p>
    <w:p>
      <w:pPr>
        <w:spacing w:after="160" w:line="300"/>
        <w:jc w:val="both"/>
      </w:pPr>
      <w:r>
        <w:rPr>
          <w:rFonts w:ascii="맑은 고딕" w:cs="맑은 고딕" w:eastAsia="맑은 고딕" w:hAnsi="맑은 고딕"/>
          <w:i w:val="false"/>
          <w:iCs w:val="false"/>
          <w:sz w:val="21"/>
          <w:szCs w:val="21"/>
        </w:rPr>
        <w:t xml:space="preserve">SVM(정확히는 회귀에 적용된 Support Vector Regression, SVR)은 커널 함수를 통해 입력을 고차원 특징공간으로 사상한 뒤 마진(margin) 내에서 오차를 허용하는 선형 회귀를 수행하는 기법으로, 커널 함수와 그 하이퍼파라미터 선택에 성능이 민감하다. ANN(다층 퍼셉트론, MLP)은 다수의 은닉층을 통해 입력-출력 간의 임의의 비선형 함수를 근사할 수 있는 보편근사기(universal approximator)이나, 파라미터 수가 많아 소규모 정형 데이터에서는 트리 기반 모델보다 더 많은 데이터와 세심한 정규화·하이퍼파라미터 튜닝을 필요로 한다. 본 연구의 baseline 재현(5.1절)에서도 Optuna 기반 하이퍼파라미터 탐색을 생략했을 때 ANN의 성능 저하가 가장 두드러졌다.</w:t>
      </w:r>
    </w:p>
    <w:p>
      <w:pPr>
        <w:pStyle w:val="Heading2"/>
        <w:spacing w:after="150" w:before="300"/>
      </w:pPr>
      <w:r>
        <w:rPr>
          <w:rFonts w:ascii="맑은 고딕" w:cs="맑은 고딕" w:eastAsia="맑은 고딕" w:hAnsi="맑은 고딕"/>
          <w:b/>
          <w:bCs/>
          <w:color w:val="2E5395"/>
          <w:sz w:val="26"/>
          <w:szCs w:val="26"/>
        </w:rPr>
        <w:t xml:space="preserve">2.5 물리 정보 신경망(Physics-Informed Neural Network, PINN)</w:t>
      </w:r>
    </w:p>
    <w:p>
      <w:pPr>
        <w:pStyle w:val="Heading3"/>
        <w:spacing w:after="120" w:before="220"/>
      </w:pPr>
      <w:r>
        <w:rPr>
          <w:rFonts w:ascii="맑은 고딕" w:cs="맑은 고딕" w:eastAsia="맑은 고딕" w:hAnsi="맑은 고딕"/>
          <w:b/>
          <w:bCs/>
          <w:color w:val="44546A"/>
          <w:sz w:val="23"/>
          <w:szCs w:val="23"/>
        </w:rPr>
        <w:t xml:space="preserve">2.5.1 개념 및 배경</w:t>
      </w:r>
    </w:p>
    <w:p>
      <w:pPr>
        <w:spacing w:after="160" w:line="300"/>
        <w:jc w:val="both"/>
      </w:pPr>
      <w:r>
        <w:rPr>
          <w:rFonts w:ascii="맑은 고딕" w:cs="맑은 고딕" w:eastAsia="맑은 고딕" w:hAnsi="맑은 고딕"/>
          <w:i w:val="false"/>
          <w:iCs w:val="false"/>
          <w:sz w:val="21"/>
          <w:szCs w:val="21"/>
        </w:rPr>
        <w:t xml:space="preserve">PINN은 Raissi, Perdikaris, Karniadakis(2019)가 제안한 개념으로, 신경망의 손실함수에 데이터 적합 오차뿐 아니라 지배 물리방정식의 잔차(residual)를 함께 포함시켜, 신경망이 관측 데이터를 재현하는 동시에 알려진 물리 법칙을 만족하도록 제약하는 학습 방법론이다. 일반적인 PINN의 손실함수는 다음과 같은 형태를 갖는다.</w:t>
      </w:r>
    </w:p>
    <w:p>
      <w:pPr>
        <w:tabs>
          <w:tab w:val="right" w:pos="9350"/>
        </w:tabs>
        <w:spacing w:after="120" w:before="120"/>
        <w:jc w:val="center"/>
      </w:pPr>
      <w:r>
        <w:rPr>
          <w:rFonts w:ascii="Cambria Math" w:cs="Cambria Math" w:eastAsia="Cambria Math" w:hAnsi="Cambria Math"/>
          <w:i/>
          <w:iCs/>
          <w:sz w:val="24"/>
          <w:szCs w:val="24"/>
        </w:rPr>
        <w:t xml:space="preserve">L = L_data + λ · L_physics</w:t>
      </w:r>
      <w:r>
        <w:rPr>
          <w:rFonts w:ascii="맑은 고딕" w:cs="맑은 고딕" w:eastAsia="맑은 고딕" w:hAnsi="맑은 고딕"/>
          <w:sz w:val="20"/>
          <w:szCs w:val="20"/>
        </w:rPr>
        <w:t xml:space="preserve">	(11)</w:t>
      </w:r>
    </w:p>
    <w:p>
      <w:pPr>
        <w:spacing w:after="160" w:line="300"/>
        <w:jc w:val="both"/>
      </w:pPr>
      <w:r>
        <w:rPr>
          <w:rFonts w:ascii="맑은 고딕" w:cs="맑은 고딕" w:eastAsia="맑은 고딕" w:hAnsi="맑은 고딕"/>
          <w:i w:val="false"/>
          <w:iCs w:val="false"/>
          <w:sz w:val="21"/>
          <w:szCs w:val="21"/>
        </w:rPr>
        <w:t xml:space="preserve">여기서 L_data는 관측 데이터와 모델 예측 간의 오차(예: 평균제곱오차), L_physics는 모델 예측이 지배방정식(미분방정식, 대수방정식 등)을 얼마나 위반하는지를 정량화한 잔차 오차, λ는 두 항의 상대적 중요도를 조절하는 가중치이다. 편미분방정식(PDE)을 다루는 원 논문의 PINN은 자동미분(automatic differentiation)을 이용해 신경망 출력의 공간·시간 미분을 정확히 계산하고 이를 PDE의 잔차에 대입하는 방식(collocation 방법)을 사용한다.</w:t>
      </w:r>
    </w:p>
    <w:p>
      <w:pPr>
        <w:spacing w:after="160" w:line="300"/>
        <w:jc w:val="both"/>
      </w:pPr>
      <w:r>
        <w:rPr>
          <w:rFonts w:ascii="맑은 고딕" w:cs="맑은 고딕" w:eastAsia="맑은 고딕" w:hAnsi="맑은 고딕"/>
          <w:i w:val="false"/>
          <w:iCs w:val="false"/>
          <w:sz w:val="21"/>
          <w:szCs w:val="21"/>
        </w:rPr>
        <w:t xml:space="preserve">PINN의 핵심적 장점은 관측 데이터가 희소(sparse)하거나 잡음이 있는 영역에서도, 물리 법칙이라는 추가적 정보원이 해(solution)의 형태를 강하게 제약하기 때문에 데이터만으로 학습하는 순수 데이터 기반 모델보다 적은 데이터로도 물리적으로 타당한 예측이 가능하다는 데 있다. 이는 특히 학습 데이터 범위를 벗어난 조건에 대한 외삽에서 두드러지는데, 데이터가 없는 영역에서도 물리 방정식이 예측값의 형태를 계속 구속하기 때문이다. 이러한 특성으로 PINN은 유체역학, 재료과학, 에너지 시스템 등 실험/시뮬레이션 데이터 확보 비용이 큰 다양한 공학 분야로 빠르게 확산되고 있다.</w:t>
      </w:r>
    </w:p>
    <w:p>
      <w:pPr>
        <w:pStyle w:val="Heading3"/>
        <w:spacing w:after="120" w:before="220"/>
      </w:pPr>
      <w:r>
        <w:rPr>
          <w:rFonts w:ascii="맑은 고딕" w:cs="맑은 고딕" w:eastAsia="맑은 고딕" w:hAnsi="맑은 고딕"/>
          <w:b/>
          <w:bCs/>
          <w:color w:val="44546A"/>
          <w:sz w:val="23"/>
          <w:szCs w:val="23"/>
        </w:rPr>
        <w:t xml:space="preserve">2.5.2 본 연구에서의 PINN 설계: 대수적 물리 제약</w:t>
      </w:r>
    </w:p>
    <w:p>
      <w:pPr>
        <w:spacing w:after="160" w:line="300"/>
        <w:jc w:val="both"/>
      </w:pPr>
      <w:r>
        <w:rPr>
          <w:rFonts w:ascii="맑은 고딕" w:cs="맑은 고딕" w:eastAsia="맑은 고딕" w:hAnsi="맑은 고딕"/>
          <w:i w:val="false"/>
          <w:iCs w:val="false"/>
          <w:sz w:val="21"/>
          <w:szCs w:val="21"/>
        </w:rPr>
        <w:t xml:space="preserve">표준 PINN이 흔히 편미분방정식의 공간·시간 미분 잔차를 다루는 것과 달리, 본 연구에서는 2.2절에서 정리한 0차원 반경험적 분극곡선 방정식(식 4)을 대수적(algebraic) 물리 제약으로 사용하였다. 이는 확보한 CFD 데이터가 셀 내부의 공간분포장이 아닌 운전조건별 집계 성능지표(전류, 전력밀도 등)로 구성되어 있어, 3차원 지배방정식(2.3절)의 미분 잔차를 직접 평가할 대상(공간분포 데이터)이 없기 때문이다. 즉, 학습 가능한 함수는 운전조건과 전압을 입력으로 받아 전류밀도를 예측하는 신경망 i_hat = f_θ(P, T_a, T_c, RH_a, RH_c, S_a, S_c, V)이며, 물리 손실은 이 예측된 전류밀도를 식 (4)에 대입했을 때 재구성되는 전압이 실제 입력 전압과 일치하는지를 평가한다.</w:t>
      </w:r>
    </w:p>
    <w:p>
      <w:pPr>
        <w:tabs>
          <w:tab w:val="right" w:pos="9350"/>
        </w:tabs>
        <w:spacing w:after="120" w:before="120"/>
        <w:jc w:val="center"/>
      </w:pPr>
      <w:r>
        <w:rPr>
          <w:rFonts w:ascii="Cambria Math" w:cs="Cambria Math" w:eastAsia="Cambria Math" w:hAnsi="Cambria Math"/>
          <w:i/>
          <w:iCs/>
          <w:sz w:val="24"/>
          <w:szCs w:val="24"/>
        </w:rPr>
        <w:t xml:space="preserve">L_physics = 𝔼[(V_physics(i_hat) − V_input)²]</w:t>
      </w:r>
      <w:r>
        <w:rPr>
          <w:rFonts w:ascii="맑은 고딕" w:cs="맑은 고딕" w:eastAsia="맑은 고딕" w:hAnsi="맑은 고딕"/>
          <w:sz w:val="20"/>
          <w:szCs w:val="20"/>
        </w:rPr>
        <w:t xml:space="preserve">	(12)</w:t>
      </w:r>
    </w:p>
    <w:p>
      <w:pPr>
        <w:spacing w:after="160" w:line="300"/>
        <w:jc w:val="both"/>
      </w:pPr>
      <w:r>
        <w:rPr>
          <w:rFonts w:ascii="맑은 고딕" w:cs="맑은 고딕" w:eastAsia="맑은 고딕" w:hAnsi="맑은 고딕"/>
          <w:i w:val="false"/>
          <w:iCs w:val="false"/>
          <w:sz w:val="21"/>
          <w:szCs w:val="21"/>
        </w:rPr>
        <w:t xml:space="preserve">여기서 V_physics(·)는 식 (4)~(10)의 4항 분극곡선 방정식이다. 이 정식화는 CFD 데이터가 존재하는 조건에서는 데이터 손실이 전류밀도를 직접 구속하고, CFD 데이터가 없는 조건(운전조건 공간의 빈틈이나 범위 밖)에서는 물리 손실만이 예측값의 형태를 구속하게 되므로, 원 PINN 개념의 핵심 아이디어(데이터 희소 영역에서 물리 법칙에 의한 정칙화)를 대수적 형태로 구현한 것이라 할 수 있다.</w:t>
      </w:r>
    </w:p>
    <w:p>
      <w:pPr>
        <w:pStyle w:val="Heading3"/>
        <w:spacing w:after="120" w:before="220"/>
      </w:pPr>
      <w:r>
        <w:rPr>
          <w:rFonts w:ascii="맑은 고딕" w:cs="맑은 고딕" w:eastAsia="맑은 고딕" w:hAnsi="맑은 고딕"/>
          <w:b/>
          <w:bCs/>
          <w:color w:val="44546A"/>
          <w:sz w:val="23"/>
          <w:szCs w:val="23"/>
        </w:rPr>
        <w:t xml:space="preserve">2.5.3 물리 계수의 파라미터화와 식별성(identifiability) 문제</w:t>
      </w:r>
    </w:p>
    <w:p>
      <w:pPr>
        <w:spacing w:after="160" w:line="300"/>
        <w:jc w:val="both"/>
      </w:pPr>
      <w:r>
        <w:rPr>
          <w:rFonts w:ascii="맑은 고딕" w:cs="맑은 고딕" w:eastAsia="맑은 고딕" w:hAnsi="맑은 고딕"/>
          <w:i w:val="false"/>
          <w:iCs w:val="false"/>
          <w:sz w:val="21"/>
          <w:szCs w:val="21"/>
        </w:rPr>
        <w:t xml:space="preserve">식 (4)의 물리 계수(i₀, α, R_ohm, B, i_lim)는 상수가 아니라 온도·압력·습도·화학양론비에 따라 변화하는 함수이다. 이 계수 함수를 어떻게 파라미터화할 것인가는 PINN 설계에서 중요한 선택이며, 본 연구에서는 두 가지 접근을 모두 시도하고 비교하였다(4.3.2절, 6장에서 상세 논의).</w:t>
      </w:r>
    </w:p>
    <w:p>
      <w:pPr>
        <w:pStyle w:val="ListParagraph"/>
        <w:numPr>
          <w:ilvl w:val="0"/>
          <w:numId w:val="2"/>
        </w:numPr>
        <w:spacing w:after="90" w:line="280"/>
      </w:pPr>
      <w:r>
        <w:rPr>
          <w:rFonts w:ascii="맑은 고딕" w:cs="맑은 고딕" w:eastAsia="맑은 고딕" w:hAnsi="맑은 고딕"/>
          <w:sz w:val="21"/>
          <w:szCs w:val="21"/>
        </w:rPr>
        <w:t xml:space="preserve">범용 신경망(MLP) 파라미터화: 각 계수를 다층 퍼셉트론으로 표현. 표현력은 높으나 파라미터 수가 많아(수백 개 이상) 데이터가 적을 때 오히려 불안정하게 학습되어, 물리 제약을 두는 본래 취지(적은 데이터로도 안정적 학습)와 상충하는 문제가 발견되었다.</w:t>
      </w:r>
    </w:p>
    <w:p>
      <w:pPr>
        <w:pStyle w:val="ListParagraph"/>
        <w:numPr>
          <w:ilvl w:val="0"/>
          <w:numId w:val="2"/>
        </w:numPr>
        <w:spacing w:after="90" w:line="280"/>
      </w:pPr>
      <w:r>
        <w:rPr>
          <w:rFonts w:ascii="맑은 고딕" w:cs="맑은 고딕" w:eastAsia="맑은 고딕" w:hAnsi="맑은 고딕"/>
          <w:sz w:val="21"/>
          <w:szCs w:val="21"/>
        </w:rPr>
        <w:t xml:space="preserve">저차원 물리적 함수형 파라미터화: 문헌에서 통용되는 함수형(예: 교환전류밀도의 Arrhenius 온도의존성)에 소수의 스칼라 계수만을 학습 대상으로 하는 방식. 총 파라미터 수를 약 11개로 대폭 축소하고, 그 중 신뢰도 높게 식별 가능한 계수(α, R_ohm, B, i_lim)는 실험 데이터로 사전에 고정된 값 근처로 앵커링(anchoring)하였다.</w:t>
      </w:r>
    </w:p>
    <w:p>
      <w:pPr>
        <w:spacing w:after="160" w:line="300"/>
        <w:jc w:val="both"/>
      </w:pPr>
      <w:r>
        <w:rPr>
          <w:rFonts w:ascii="맑은 고딕" w:cs="맑은 고딕" w:eastAsia="맑은 고딕" w:hAnsi="맑은 고딕"/>
          <w:i w:val="false"/>
          <w:iCs w:val="false"/>
          <w:sz w:val="21"/>
          <w:szCs w:val="21"/>
        </w:rPr>
        <w:t xml:space="preserve">한편 실험 데이터를 이용한 독립적 회귀 분석(4.2절)에서, 단일 운전조건에서 측정된 분극곡선만으로는 교환전류밀도 i₀와 전달계수 α가 서로 상쇄(trade-off)되어 개별적으로 식별되지 않는다는 사실을 확인하였다. 이는 활성화 손실 항(식 7)이 ln(i/i₀)/α의 형태로, i₀와 α의 비(정확히는 α와 ln i₀의 조합, 이른바 Tafel 절편)만이 곡선의 형태에 영향을 미치기 때문으로, 전기화학 반응속도론 문헌에서도 잘 알려진 고전적인 식별성 문제이다(Tafel 분석의 근본적 한계). 이에 따라 본 연구에서는 i₀를 실험값으로 앵커링하지 않고, 여러 온도 조건을 포괄하는 CFD 데이터셋으로부터 그 온도 의존성을 학습하도록 설계하였다.</w:t>
      </w:r>
    </w:p>
    <w:p>
      <w:pPr>
        <w:pStyle w:val="Heading2"/>
        <w:spacing w:after="150" w:before="300"/>
      </w:pPr>
      <w:r>
        <w:rPr>
          <w:rFonts w:ascii="맑은 고딕" w:cs="맑은 고딕" w:eastAsia="맑은 고딕" w:hAnsi="맑은 고딕"/>
          <w:b/>
          <w:bCs/>
          <w:color w:val="2E5395"/>
          <w:sz w:val="26"/>
          <w:szCs w:val="26"/>
        </w:rPr>
        <w:t xml:space="preserve">2.6 오퍼레이터 러닝과 DeepONet</w:t>
      </w:r>
    </w:p>
    <w:p>
      <w:pPr>
        <w:spacing w:after="160" w:line="300"/>
        <w:jc w:val="both"/>
      </w:pPr>
      <w:r>
        <w:rPr>
          <w:rFonts w:ascii="맑은 고딕" w:cs="맑은 고딕" w:eastAsia="맑은 고딕" w:hAnsi="맑은 고딕"/>
          <w:i w:val="false"/>
          <w:iCs w:val="false"/>
          <w:sz w:val="21"/>
          <w:szCs w:val="21"/>
        </w:rPr>
        <w:t xml:space="preserve">본 보고서가 다루는 PINN 단계 이후, 후속 연구(Phase 2)에서는 DeepONet(Deep Operator Network, Lu et al., 2021)을 도입할 계획이다. 일반적인 신경망이 유한차원의 입력 벡터에서 유한차원의 출력 벡터로의 사상(mapping)을 학습하는 것과 달리, 오퍼레이터 러닝(operator learning)은 함수에서 함수로의 사상, 즉 연산자(operator) 자체를 학습하는 것을 목표로 한다. DeepONet은 보편근사정리의 연산자 버전(Chen &amp; Chen, 1995)에 기반하여, 입력 함수를 인코딩하는 branch 신경망과 출력이 평가되는 위치(좌표)를 인코딩하는 trunk 신경망의 두 갈래 구조로 구성된다.</w:t>
      </w:r>
    </w:p>
    <w:p>
      <w:pPr>
        <w:spacing w:after="160" w:line="300"/>
        <w:jc w:val="both"/>
      </w:pPr>
      <w:r>
        <w:rPr>
          <w:rFonts w:ascii="맑은 고딕" w:cs="맑은 고딕" w:eastAsia="맑은 고딕" w:hAnsi="맑은 고딕"/>
          <w:i w:val="false"/>
          <w:iCs w:val="false"/>
          <w:sz w:val="21"/>
          <w:szCs w:val="21"/>
        </w:rPr>
        <w:t xml:space="preserve">본 연구의 맥락에서는, 검증된 PINN이 물리적으로 신뢰할 수 있는 합성 데이터를 CFD 대비 매우 낮은 비용으로 대량 생성할 수 있게 되면, 이 데이터를 이용해 임의의 운전조건 조합에 대해 전체 I-V 곡선을 즉시(밀리초 단위) 예측하는 DeepONet을 학습하는 것이 가능해진다. 이는 PINN 단독으로는 각 예측에 여전히 순전파 연산이 필요한 것과 달리, 실시간 상호작용이 필요한 Unity 시각화 응용(Phase 3)에 적합한 추론 속도를 제공하기 위한 설계이다. DeepONet의 구체적 설계는 본 보고서의 범위를 벗어나며, PINN 검증이 충분히 완료된 이후 별도 보고서로 다룰 예정이다.</w:t>
      </w:r>
    </w:p>
    <w:p>
      <w:r>
        <w:br w:type="page"/>
      </w:r>
    </w:p>
    <w:p>
      <w:pPr>
        <w:pStyle w:val="Heading1"/>
        <w:spacing w:after="200" w:before="400"/>
      </w:pPr>
      <w:r>
        <w:rPr>
          <w:rFonts w:ascii="맑은 고딕" w:cs="맑은 고딕" w:eastAsia="맑은 고딕" w:hAnsi="맑은 고딕"/>
          <w:b/>
          <w:bCs/>
          <w:color w:val="1F3864"/>
          <w:sz w:val="32"/>
          <w:szCs w:val="32"/>
        </w:rPr>
        <w:t xml:space="preserve">3. 데이터</w:t>
      </w:r>
    </w:p>
    <w:p>
      <w:pPr>
        <w:pStyle w:val="Heading2"/>
        <w:spacing w:after="150" w:before="300"/>
      </w:pPr>
      <w:r>
        <w:rPr>
          <w:rFonts w:ascii="맑은 고딕" w:cs="맑은 고딕" w:eastAsia="맑은 고딕" w:hAnsi="맑은 고딕"/>
          <w:b/>
          <w:bCs/>
          <w:color w:val="2E5395"/>
          <w:sz w:val="26"/>
          <w:szCs w:val="26"/>
        </w:rPr>
        <w:t xml:space="preserve">3.1 CFD 해석 데이터셋</w:t>
      </w:r>
    </w:p>
    <w:p>
      <w:pPr>
        <w:spacing w:after="160" w:line="300"/>
        <w:jc w:val="both"/>
      </w:pPr>
      <w:r>
        <w:rPr>
          <w:rFonts w:ascii="맑은 고딕" w:cs="맑은 고딕" w:eastAsia="맑은 고딕" w:hAnsi="맑은 고딕"/>
          <w:i w:val="false"/>
          <w:iCs w:val="false"/>
          <w:sz w:val="21"/>
          <w:szCs w:val="21"/>
        </w:rPr>
        <w:t xml:space="preserve">본 연구에서 사용한 CFD 데이터셋(dataset_formodel_paper2-3.xlsx)은 ANSYS Fluent PEMFC 모듈을 이용해 25 cm² 단위 셀에 대해 다양한 운전조건 조합으로 해석을 수행한 결과이다. 총 306행으로, 51개의 서로 다른 운전조건 조합에 대해 각각 6단계의 전압(0.4~0.9 V, 0.1 V 간격)으로 해석한 결과가 기록되어 있다. 입력 변수 8개와 출력 변수 4개의 범위는 표 1과 같다.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rPr>
          <w:tblHeader/>
        </w:trPr>
        <w:tc>
          <w:tcPr>
            <w:tcW w:type="dxa" w:w="16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구분</w:t>
            </w:r>
          </w:p>
        </w:tc>
        <w:tc>
          <w:tcPr>
            <w:tcW w:type="dxa" w:w="38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변수</w:t>
            </w:r>
          </w:p>
        </w:tc>
        <w:tc>
          <w:tcPr>
            <w:tcW w:type="dxa" w:w="39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범위/수준</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입력</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압력 (Pressure)</w:t>
            </w:r>
          </w:p>
        </w:tc>
        <w:tc>
          <w:tcPr>
            <w:tcW w:type="dxa" w:w="39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1, 2, 3 atm</w:t>
            </w:r>
          </w:p>
        </w:tc>
      </w:tr>
      <w:tr>
        <w:tc>
          <w:tcPr>
            <w:tcW w:type="dxa" w:w="16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입력</w:t>
            </w:r>
          </w:p>
        </w:tc>
        <w:tc>
          <w:tcPr>
            <w:tcW w:type="dxa" w:w="38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애노드/캐소드 온도</w:t>
            </w:r>
          </w:p>
        </w:tc>
        <w:tc>
          <w:tcPr>
            <w:tcW w:type="dxa" w:w="39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50, 70, 80, 90, 100 °C</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입력</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애노드/캐소드 상대습도</w:t>
            </w:r>
          </w:p>
        </w:tc>
        <w:tc>
          <w:tcPr>
            <w:tcW w:type="dxa" w:w="39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20, 60, 80, 100 %</w:t>
            </w:r>
          </w:p>
        </w:tc>
      </w:tr>
      <w:tr>
        <w:tc>
          <w:tcPr>
            <w:tcW w:type="dxa" w:w="16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입력</w:t>
            </w:r>
          </w:p>
        </w:tc>
        <w:tc>
          <w:tcPr>
            <w:tcW w:type="dxa" w:w="38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애노드 화학양론비</w:t>
            </w:r>
          </w:p>
        </w:tc>
        <w:tc>
          <w:tcPr>
            <w:tcW w:type="dxa" w:w="39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1, 3, 5</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입력</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캐소드 화학양론비</w:t>
            </w:r>
          </w:p>
        </w:tc>
        <w:tc>
          <w:tcPr>
            <w:tcW w:type="dxa" w:w="39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1.5, 3.5, 5.5</w:t>
            </w:r>
          </w:p>
        </w:tc>
      </w:tr>
      <w:tr>
        <w:tc>
          <w:tcPr>
            <w:tcW w:type="dxa" w:w="16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입력</w:t>
            </w:r>
          </w:p>
        </w:tc>
        <w:tc>
          <w:tcPr>
            <w:tcW w:type="dxa" w:w="38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전압 (Voltage)</w:t>
            </w:r>
          </w:p>
        </w:tc>
        <w:tc>
          <w:tcPr>
            <w:tcW w:type="dxa" w:w="39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0.4 ~ 0.9 V (0.1 V 간격)</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출력</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전류밀도 (current)</w:t>
            </w:r>
          </w:p>
        </w:tc>
        <w:tc>
          <w:tcPr>
            <w:tcW w:type="dxa" w:w="39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A/cm²</w:t>
            </w:r>
          </w:p>
        </w:tc>
      </w:tr>
      <w:tr>
        <w:tc>
          <w:tcPr>
            <w:tcW w:type="dxa" w:w="16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출력</w:t>
            </w:r>
          </w:p>
        </w:tc>
        <w:tc>
          <w:tcPr>
            <w:tcW w:type="dxa" w:w="38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전력밀도 (power density)</w:t>
            </w:r>
          </w:p>
        </w:tc>
        <w:tc>
          <w:tcPr>
            <w:tcW w:type="dxa" w:w="39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W/cm² (= 전류×전압)</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출력</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시스템효율 (System efficiency)</w:t>
            </w:r>
          </w:p>
        </w:tc>
        <w:tc>
          <w:tcPr>
            <w:tcW w:type="dxa" w:w="39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무차원</w:t>
            </w:r>
          </w:p>
        </w:tc>
      </w:tr>
      <w:tr>
        <w:tc>
          <w:tcPr>
            <w:tcW w:type="dxa" w:w="16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출력</w:t>
            </w:r>
          </w:p>
        </w:tc>
        <w:tc>
          <w:tcPr>
            <w:tcW w:type="dxa" w:w="38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산소분포 표준편차 (ODU)</w:t>
            </w:r>
          </w:p>
        </w:tc>
        <w:tc>
          <w:tcPr>
            <w:tcW w:type="dxa" w:w="39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촉매층 계면 O₂ 몰농도의 표준편차, 낮을수록 균일</w:t>
            </w:r>
          </w:p>
        </w:tc>
      </w:tr>
    </w:tbl>
    <w:p>
      <w:pPr>
        <w:spacing w:after="240" w:before="80"/>
        <w:jc w:val="center"/>
      </w:pPr>
      <w:r>
        <w:rPr>
          <w:rFonts w:ascii="맑은 고딕" w:cs="맑은 고딕" w:eastAsia="맑은 고딕" w:hAnsi="맑은 고딕"/>
          <w:i/>
          <w:iCs/>
          <w:color w:val="595959"/>
          <w:sz w:val="19"/>
          <w:szCs w:val="19"/>
        </w:rPr>
        <w:t xml:space="preserve">표 1. CFD 데이터셋의 입출력 변수 및 범위</w:t>
      </w:r>
    </w:p>
    <w:p>
      <w:pPr>
        <w:spacing w:after="160" w:line="300"/>
        <w:jc w:val="both"/>
      </w:pPr>
      <w:r>
        <w:rPr>
          <w:rFonts w:ascii="맑은 고딕" w:cs="맑은 고딕" w:eastAsia="맑은 고딕" w:hAnsi="맑은 고딕"/>
          <w:i w:val="false"/>
          <w:iCs w:val="false"/>
          <w:sz w:val="21"/>
          <w:szCs w:val="21"/>
        </w:rPr>
        <w:t xml:space="preserve">참고로, 3.3절에서 소개하는 선행 논문의 Table 4는 압력 조건을 "1, 3, 5 atm"으로 기술하고 있어 본 데이터셋(1, 2, 3 atm)과 정확히 일치하지 않는다. 파일명에 포함된 "paper2-3"라는 표기를 볼 때, 본 데이터셋은 선행 논문 이후 후속 연구를 위해 조건을 일부 확장·변경하여 재생성된 데이터셋으로 추정되며, 변수 구성과 전반적 구조는 선행 논문과 동일하다.</w:t>
      </w:r>
    </w:p>
    <w:p>
      <w:pPr>
        <w:pStyle w:val="Heading2"/>
        <w:spacing w:after="150" w:before="300"/>
      </w:pPr>
      <w:r>
        <w:rPr>
          <w:rFonts w:ascii="맑은 고딕" w:cs="맑은 고딕" w:eastAsia="맑은 고딕" w:hAnsi="맑은 고딕"/>
          <w:b/>
          <w:bCs/>
          <w:color w:val="2E5395"/>
          <w:sz w:val="26"/>
          <w:szCs w:val="26"/>
        </w:rPr>
        <w:t xml:space="preserve">3.2 실험 분극곡선 데이터셋</w:t>
      </w:r>
    </w:p>
    <w:p>
      <w:pPr>
        <w:spacing w:after="160" w:line="300"/>
        <w:jc w:val="both"/>
      </w:pPr>
      <w:r>
        <w:rPr>
          <w:rFonts w:ascii="맑은 고딕" w:cs="맑은 고딕" w:eastAsia="맑은 고딕" w:hAnsi="맑은 고딕"/>
          <w:i w:val="false"/>
          <w:iCs w:val="false"/>
          <w:sz w:val="21"/>
          <w:szCs w:val="21"/>
        </w:rPr>
        <w:t xml:space="preserve">CFD 모델의 신뢰성 검증 및 PINN 물리 계수의 앵커링을 위해, 연구실에서 실제 25 cm² 단위 셀급 실험 장치를 이용해 측정한 분극곡선 데이터(0kpa_I-V_curve.xlsx)를 활용하였다. 측정 조건은 다음과 같다.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항목</w:t>
            </w:r>
          </w:p>
        </w:tc>
        <w:tc>
          <w:tcPr>
            <w:tcW w:type="dxa" w:w="63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값</w:t>
            </w:r>
          </w:p>
        </w:tc>
      </w:tr>
      <w:tr>
        <w:tc>
          <w:tcPr>
            <w:tcW w:type="dxa" w:w="3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압력 (게이지압)</w:t>
            </w:r>
          </w:p>
        </w:tc>
        <w:tc>
          <w:tcPr>
            <w:tcW w:type="dxa" w:w="6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 kPa (≈ 대기압, 1 atm)</w:t>
            </w:r>
          </w:p>
        </w:tc>
      </w:tr>
      <w:tr>
        <w:tc>
          <w:tcPr>
            <w:tcW w:type="dxa" w:w="30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온도</w:t>
            </w:r>
          </w:p>
        </w:tc>
        <w:tc>
          <w:tcPr>
            <w:tcW w:type="dxa" w:w="6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70 °C</w:t>
            </w:r>
          </w:p>
        </w:tc>
      </w:tr>
      <w:tr>
        <w:tc>
          <w:tcPr>
            <w:tcW w:type="dxa" w:w="3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활성면적</w:t>
            </w:r>
          </w:p>
        </w:tc>
        <w:tc>
          <w:tcPr>
            <w:tcW w:type="dxa" w:w="6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5 cm²</w:t>
            </w:r>
          </w:p>
        </w:tc>
      </w:tr>
      <w:tr>
        <w:tc>
          <w:tcPr>
            <w:tcW w:type="dxa" w:w="30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상대습도</w:t>
            </w:r>
          </w:p>
        </w:tc>
        <w:tc>
          <w:tcPr>
            <w:tcW w:type="dxa" w:w="6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100 %</w:t>
            </w:r>
          </w:p>
        </w:tc>
      </w:tr>
      <w:tr>
        <w:tc>
          <w:tcPr>
            <w:tcW w:type="dxa" w:w="3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화학양론비</w:t>
            </w:r>
          </w:p>
        </w:tc>
        <w:tc>
          <w:tcPr>
            <w:tcW w:type="dxa" w:w="6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3.5</w:t>
            </w:r>
          </w:p>
        </w:tc>
      </w:tr>
      <w:tr>
        <w:tc>
          <w:tcPr>
            <w:tcW w:type="dxa" w:w="30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체결 토크</w:t>
            </w:r>
          </w:p>
        </w:tc>
        <w:tc>
          <w:tcPr>
            <w:tcW w:type="dxa" w:w="6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3 N·m</w:t>
            </w:r>
          </w:p>
        </w:tc>
      </w:tr>
      <w:tr>
        <w:tc>
          <w:tcPr>
            <w:tcW w:type="dxa" w:w="3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측정 방식</w:t>
            </w:r>
          </w:p>
        </w:tc>
        <w:tc>
          <w:tcPr>
            <w:tcW w:type="dxa" w:w="6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전압 0.95→0.35 V 스윕, 각 전압에서 최소 5분 안정화 후 측정, 2회 반복</w:t>
            </w:r>
          </w:p>
        </w:tc>
      </w:tr>
    </w:tbl>
    <w:p>
      <w:pPr>
        <w:spacing w:after="240" w:before="80"/>
        <w:jc w:val="center"/>
      </w:pPr>
      <w:r>
        <w:rPr>
          <w:rFonts w:ascii="맑은 고딕" w:cs="맑은 고딕" w:eastAsia="맑은 고딕" w:hAnsi="맑은 고딕"/>
          <w:i/>
          <w:iCs/>
          <w:color w:val="595959"/>
          <w:sz w:val="19"/>
          <w:szCs w:val="19"/>
        </w:rPr>
        <w:t xml:space="preserve">표 2. 실험 분극곡선 측정 조건</w:t>
      </w:r>
    </w:p>
    <w:p>
      <w:pPr>
        <w:spacing w:after="160" w:line="300"/>
        <w:jc w:val="both"/>
      </w:pPr>
      <w:r>
        <w:rPr>
          <w:rFonts w:ascii="맑은 고딕" w:cs="맑은 고딕" w:eastAsia="맑은 고딕" w:hAnsi="맑은 고딕"/>
          <w:i w:val="false"/>
          <w:iCs w:val="false"/>
          <w:sz w:val="21"/>
          <w:szCs w:val="21"/>
        </w:rPr>
        <w:t xml:space="preserve">두 차례 반복 측정(1st, 2nd) 결과는 서로 높은 재현성을 보였으며(예: V=0.5V에서 전류밀도 1.195 및 1.184 A/cm²), 개회로전압 부근(0.95V, 0.90V)의 2개 지점을 제외한 22개의 유효 측정점(전류-전압 쌍)을 물리 방정식 검증에 사용하였다(4.2절).</w:t>
      </w:r>
    </w:p>
    <w:p>
      <w:pPr>
        <w:pStyle w:val="Heading2"/>
        <w:spacing w:after="150" w:before="300"/>
      </w:pPr>
      <w:r>
        <w:rPr>
          <w:rFonts w:ascii="맑은 고딕" w:cs="맑은 고딕" w:eastAsia="맑은 고딕" w:hAnsi="맑은 고딕"/>
          <w:b/>
          <w:bCs/>
          <w:color w:val="2E5395"/>
          <w:sz w:val="26"/>
          <w:szCs w:val="26"/>
        </w:rPr>
        <w:t xml:space="preserve">3.3 참고 논문 개요</w:t>
      </w:r>
    </w:p>
    <w:p>
      <w:pPr>
        <w:spacing w:after="160" w:line="300"/>
        <w:jc w:val="both"/>
      </w:pPr>
      <w:r>
        <w:rPr>
          <w:rFonts w:ascii="맑은 고딕" w:cs="맑은 고딕" w:eastAsia="맑은 고딕" w:hAnsi="맑은 고딕"/>
          <w:i w:val="false"/>
          <w:iCs w:val="false"/>
          <w:sz w:val="21"/>
          <w:szCs w:val="21"/>
        </w:rPr>
        <w:t xml:space="preserve">본 연구는 연구실에서 선행 발표한 다음 논문의 방법론과 결과를 출발점으로 삼는다.</w:t>
      </w:r>
    </w:p>
    <w:p>
      <w:pPr>
        <w:spacing w:after="160" w:line="300"/>
        <w:jc w:val="both"/>
      </w:pPr>
      <w:r>
        <w:rPr>
          <w:rFonts w:ascii="맑은 고딕" w:cs="맑은 고딕" w:eastAsia="맑은 고딕" w:hAnsi="맑은 고딕"/>
          <w:b/>
          <w:bCs/>
          <w:sz w:val="21"/>
          <w:szCs w:val="21"/>
        </w:rPr>
        <w:t xml:space="preserve">Ngo, C.T., Nguyen, B.H., Lee, W.T., Kim, H.C. (2025). </w:t>
      </w:r>
      <w:r>
        <w:rPr>
          <w:rFonts w:ascii="맑은 고딕" w:cs="맑은 고딕" w:eastAsia="맑은 고딕" w:hAnsi="맑은 고딕"/>
          <w:sz w:val="21"/>
          <w:szCs w:val="21"/>
        </w:rPr>
        <w:t xml:space="preserve">"Comparative analysis and evaluation of PEMFC machine learning surrogates by bridging CFD and experimental data." </w:t>
      </w:r>
      <w:r>
        <w:rPr>
          <w:rFonts w:ascii="맑은 고딕" w:cs="맑은 고딕" w:eastAsia="맑은 고딕" w:hAnsi="맑은 고딕"/>
          <w:i/>
          <w:iCs/>
          <w:sz w:val="21"/>
          <w:szCs w:val="21"/>
        </w:rPr>
        <w:t xml:space="preserve">Journal of Industrial and Engineering Chemistry.</w:t>
      </w:r>
      <w:r>
        <w:rPr>
          <w:rFonts w:ascii="맑은 고딕" w:cs="맑은 고딕" w:eastAsia="맑은 고딕" w:hAnsi="맑은 고딕"/>
          <w:sz w:val="21"/>
          <w:szCs w:val="21"/>
        </w:rPr>
        <w:t xml:space="preserve"> https://doi.org/10.1016/j.jiec.2025.10.027</w:t>
      </w:r>
    </w:p>
    <w:p>
      <w:pPr>
        <w:spacing w:after="160" w:line="300"/>
        <w:jc w:val="both"/>
      </w:pPr>
      <w:r>
        <w:rPr>
          <w:rFonts w:ascii="맑은 고딕" w:cs="맑은 고딕" w:eastAsia="맑은 고딕" w:hAnsi="맑은 고딕"/>
          <w:i w:val="false"/>
          <w:iCs w:val="false"/>
          <w:sz w:val="21"/>
          <w:szCs w:val="21"/>
        </w:rPr>
        <w:t xml:space="preserve">해당 논문의 핵심 내용은 다음과 같다.</w:t>
      </w:r>
    </w:p>
    <w:p>
      <w:pPr>
        <w:pStyle w:val="ListParagraph"/>
        <w:numPr>
          <w:ilvl w:val="0"/>
          <w:numId w:val="2"/>
        </w:numPr>
        <w:spacing w:after="90" w:line="280"/>
      </w:pPr>
      <w:r>
        <w:rPr>
          <w:rFonts w:ascii="맑은 고딕" w:cs="맑은 고딕" w:eastAsia="맑은 고딕" w:hAnsi="맑은 고딕"/>
          <w:sz w:val="21"/>
          <w:szCs w:val="21"/>
        </w:rPr>
        <w:t xml:space="preserve">100 kPa, 300 kPa 두 조건에서 실측 분극곡선으로 3D CFD 모델을 검증(형상망 3.38백만 요소에서 수렴, 오차 1% 이내)</w:t>
      </w:r>
    </w:p>
    <w:p>
      <w:pPr>
        <w:pStyle w:val="ListParagraph"/>
        <w:numPr>
          <w:ilvl w:val="0"/>
          <w:numId w:val="2"/>
        </w:numPr>
        <w:spacing w:after="90" w:line="280"/>
      </w:pPr>
      <w:r>
        <w:rPr>
          <w:rFonts w:ascii="맑은 고딕" w:cs="맑은 고딕" w:eastAsia="맑은 고딕" w:hAnsi="맑은 고딕"/>
          <w:sz w:val="21"/>
          <w:szCs w:val="21"/>
        </w:rPr>
        <w:t xml:space="preserve">8개 운전조건(애노드/캐소드 화학양론비·온도·습도, 압력, 전압) → 3개 성능지표(PD, SE, ODU)의 295개 데이터 확보</w:t>
      </w:r>
    </w:p>
    <w:p>
      <w:pPr>
        <w:pStyle w:val="ListParagraph"/>
        <w:numPr>
          <w:ilvl w:val="0"/>
          <w:numId w:val="2"/>
        </w:numPr>
        <w:spacing w:after="90" w:line="280"/>
      </w:pPr>
      <w:r>
        <w:rPr>
          <w:rFonts w:ascii="맑은 고딕" w:cs="맑은 고딕" w:eastAsia="맑은 고딕" w:hAnsi="맑은 고딕"/>
          <w:sz w:val="21"/>
          <w:szCs w:val="21"/>
        </w:rPr>
        <w:t xml:space="preserve">분산분석(ANOVA)을 통한 변수 중요도 분석: 전력밀도(PD) 분산의 88.47%가 전압(OV)에서, 시스템효율(SE) 분산의 76.28%가 애노드 화학양론비(AS)에서, 산소균일도(ODU) 분산의 56.10%가 전압에서 기인</w:t>
      </w:r>
    </w:p>
    <w:p>
      <w:pPr>
        <w:pStyle w:val="ListParagraph"/>
        <w:numPr>
          <w:ilvl w:val="0"/>
          <w:numId w:val="2"/>
        </w:numPr>
        <w:spacing w:after="90" w:line="280"/>
      </w:pPr>
      <w:r>
        <w:rPr>
          <w:rFonts w:ascii="맑은 고딕" w:cs="맑은 고딕" w:eastAsia="맑은 고딕" w:hAnsi="맑은 고딕"/>
          <w:sz w:val="21"/>
          <w:szCs w:val="21"/>
        </w:rPr>
        <w:t xml:space="preserve">RF/GB/SVM/ANN/XGBoost 5개 대리모델을 Optuna(20회 시행, TPE 샘플러) 하이퍼파라미터 최적화 후 비교 → XGBoost 최고 성능(PD R²=0.9891, SE R²=0.9989, ODU R²=0.9355)</w:t>
      </w:r>
    </w:p>
    <w:p>
      <w:pPr>
        <w:pStyle w:val="ListParagraph"/>
        <w:numPr>
          <w:ilvl w:val="0"/>
          <w:numId w:val="2"/>
        </w:numPr>
        <w:spacing w:after="90" w:line="280"/>
      </w:pPr>
      <w:r>
        <w:rPr>
          <w:rFonts w:ascii="맑은 고딕" w:cs="맑은 고딕" w:eastAsia="맑은 고딕" w:hAnsi="맑은 고딕"/>
          <w:sz w:val="21"/>
          <w:szCs w:val="21"/>
        </w:rPr>
        <w:t xml:space="preserve">한계로 명시: 295개 데이터는 넓은 운전영역 대비 제한적이며, 특히 ANN·SVM 성능은 추가 데이터 확보 시 개선 여지가 있음</w:t>
      </w:r>
    </w:p>
    <w:p>
      <w:r>
        <w:br w:type="page"/>
      </w:r>
    </w:p>
    <w:p>
      <w:pPr>
        <w:pStyle w:val="Heading1"/>
        <w:spacing w:after="200" w:before="400"/>
      </w:pPr>
      <w:r>
        <w:rPr>
          <w:rFonts w:ascii="맑은 고딕" w:cs="맑은 고딕" w:eastAsia="맑은 고딕" w:hAnsi="맑은 고딕"/>
          <w:b/>
          <w:bCs/>
          <w:color w:val="1F3864"/>
          <w:sz w:val="32"/>
          <w:szCs w:val="32"/>
        </w:rPr>
        <w:t xml:space="preserve">4. 연구 방법</w:t>
      </w:r>
    </w:p>
    <w:p>
      <w:pPr>
        <w:pStyle w:val="Heading2"/>
        <w:spacing w:after="150" w:before="300"/>
      </w:pPr>
      <w:r>
        <w:rPr>
          <w:rFonts w:ascii="맑은 고딕" w:cs="맑은 고딕" w:eastAsia="맑은 고딕" w:hAnsi="맑은 고딕"/>
          <w:b/>
          <w:bCs/>
          <w:color w:val="2E5395"/>
          <w:sz w:val="26"/>
          <w:szCs w:val="26"/>
        </w:rPr>
        <w:t xml:space="preserve">4.1 Baseline 대리모델 재현</w:t>
      </w:r>
    </w:p>
    <w:p>
      <w:pPr>
        <w:spacing w:after="160" w:line="300"/>
        <w:jc w:val="both"/>
      </w:pPr>
      <w:r>
        <w:rPr>
          <w:rFonts w:ascii="맑은 고딕" w:cs="맑은 고딕" w:eastAsia="맑은 고딕" w:hAnsi="맑은 고딕"/>
          <w:i w:val="false"/>
          <w:iCs w:val="false"/>
          <w:sz w:val="21"/>
          <w:szCs w:val="21"/>
        </w:rPr>
        <w:t xml:space="preserve">PINN 개발에 앞서, 3.1절의 CFD 데이터셋으로 3.3절 논문의 대리모델 비교 실험을 동일한 입출력 구성(입력 8개, 출력 3개)으로 재현하여 데이터 파이프라인의 정합성을 검증하였다. 논문과 달리 Optuna 하이퍼파라미터 탐색은 수행하지 않고 각 모델의 일반적인 기본 설정을 사용하였으며, 80/20 학습/테스트 분할과 random_state=62를 논문과 동일하게 적용하였다. 이 baseline은 이후 PINN 성능과 직접 비교하는 기준점으로 사용된다.</w:t>
      </w:r>
    </w:p>
    <w:p>
      <w:pPr>
        <w:pStyle w:val="Heading2"/>
        <w:spacing w:after="150" w:before="300"/>
      </w:pPr>
      <w:r>
        <w:rPr>
          <w:rFonts w:ascii="맑은 고딕" w:cs="맑은 고딕" w:eastAsia="맑은 고딕" w:hAnsi="맑은 고딕"/>
          <w:b/>
          <w:bCs/>
          <w:color w:val="2E5395"/>
          <w:sz w:val="26"/>
          <w:szCs w:val="26"/>
        </w:rPr>
        <w:t xml:space="preserve">4.2 실험 데이터 기반 물리 방정식 검증</w:t>
      </w:r>
    </w:p>
    <w:p>
      <w:pPr>
        <w:spacing w:after="160" w:line="300"/>
        <w:jc w:val="both"/>
      </w:pPr>
      <w:r>
        <w:rPr>
          <w:rFonts w:ascii="맑은 고딕" w:cs="맑은 고딕" w:eastAsia="맑은 고딕" w:hAnsi="맑은 고딕"/>
          <w:i w:val="false"/>
          <w:iCs w:val="false"/>
          <w:sz w:val="21"/>
          <w:szCs w:val="21"/>
        </w:rPr>
        <w:t xml:space="preserve">PINN에 물리 제약을 도입하기에 앞서, 채택한 4항 분극곡선 방정식(식 4~10)이 실제 측정 데이터를 얼마나 잘 설명하는지를 독립적으로 검증하였다. 3.2절의 실험 데이터(70°C, ~1atm, RH100%, 화학양론비 3.5)에 대해, Nernst 전위(식 5)는 이론값(E⁰=1.229V, k_E=0.85×10⁻³V/K)으로 고정하고, 나머지 5개 계수(α, i₀, R_ohm, B, i_lim)를 비선형 최소제곱법(scipy.optimize.curve_fit, Levenberg-Marquardt 계열 알고리즘)으로 실측 전류-전압 쌍 22개에 피팅하였다. 이 과정에서 4.3.2절에서 설명하는 i₀-α 간 식별성 문제가 발견되어, i₀는 이후 PINN 설계에서 앵커링 대상에서 제외하였다.</w:t>
      </w:r>
    </w:p>
    <w:p>
      <w:pPr>
        <w:pStyle w:val="Heading2"/>
        <w:spacing w:after="150" w:before="300"/>
      </w:pPr>
      <w:r>
        <w:rPr>
          <w:rFonts w:ascii="맑은 고딕" w:cs="맑은 고딕" w:eastAsia="맑은 고딕" w:hAnsi="맑은 고딕"/>
          <w:b/>
          <w:bCs/>
          <w:color w:val="2E5395"/>
          <w:sz w:val="26"/>
          <w:szCs w:val="26"/>
        </w:rPr>
        <w:t xml:space="preserve">4.3 PINN 모델 설계</w:t>
      </w:r>
    </w:p>
    <w:p>
      <w:pPr>
        <w:pStyle w:val="Heading3"/>
        <w:spacing w:after="120" w:before="220"/>
      </w:pPr>
      <w:r>
        <w:rPr>
          <w:rFonts w:ascii="맑은 고딕" w:cs="맑은 고딕" w:eastAsia="맑은 고딕" w:hAnsi="맑은 고딕"/>
          <w:b/>
          <w:bCs/>
          <w:color w:val="44546A"/>
          <w:sz w:val="23"/>
          <w:szCs w:val="23"/>
        </w:rPr>
        <w:t xml:space="preserve">4.3.1 전체 구조</w:t>
      </w:r>
    </w:p>
    <w:p>
      <w:pPr>
        <w:spacing w:after="160" w:line="300"/>
        <w:jc w:val="both"/>
      </w:pPr>
      <w:r>
        <w:rPr>
          <w:rFonts w:ascii="맑은 고딕" w:cs="맑은 고딕" w:eastAsia="맑은 고딕" w:hAnsi="맑은 고딕"/>
          <w:i w:val="false"/>
          <w:iCs w:val="false"/>
          <w:sz w:val="21"/>
          <w:szCs w:val="21"/>
        </w:rPr>
        <w:t xml:space="preserve">PINN은 두 개의 하위 모듈로 구성된다. 첫째, CurrentNet은 8개 운전조건(정규화된 입력)을 받아 전류밀도 i_hat을 예측하는 3개 은닉층(각 64 유닛, Tanh 활성화) MLP이다. 둘째, PolarizationPhysics 모듈은 4.2절의 방정식 형태를 그대로 구현하되, 계수(i₀, α, R_ohm, B, i_lim)를 4.3.2절에서 설명하는 저차원 함수로 표현하며, CurrentNet이 예측한 i_hat과 운전조건을 받아 방정식이 함의하는 전압 V_physics를 계산한다. 전력밀도는 i_hat×V로 정확히 계산되므로(식 1, Ngo et al., 2025) 별도 학습이 불필요하며, 시스템효율(SE)과 산소균일도(ODU)는 닫힌 형태의 물리식이 마땅치 않아 물리적으로 일관된 i_hat을 입력 특징으로 받는 소형 데이터 기반 MLP 헤드로 예측한다. 전체 학습 손실은 다음과 같다.</w:t>
      </w:r>
    </w:p>
    <w:p>
      <w:pPr>
        <w:tabs>
          <w:tab w:val="right" w:pos="9350"/>
        </w:tabs>
        <w:spacing w:after="120" w:before="120"/>
        <w:jc w:val="center"/>
      </w:pPr>
      <w:r>
        <w:rPr>
          <w:rFonts w:ascii="Cambria Math" w:cs="Cambria Math" w:eastAsia="Cambria Math" w:hAnsi="Cambria Math"/>
          <w:i/>
          <w:iCs/>
          <w:sz w:val="24"/>
          <w:szCs w:val="24"/>
        </w:rPr>
        <w:t xml:space="preserve">L = L_current + λ_phys·L_physics + λ_SE·L_SE + λ_ODU·L_ODU + λ_anchor·L_anchor</w:t>
      </w:r>
      <w:r>
        <w:rPr>
          <w:rFonts w:ascii="맑은 고딕" w:cs="맑은 고딕" w:eastAsia="맑은 고딕" w:hAnsi="맑은 고딕"/>
          <w:sz w:val="20"/>
          <w:szCs w:val="20"/>
        </w:rPr>
        <w:t xml:space="preserve">	(13)</w:t>
      </w:r>
    </w:p>
    <w:p>
      <w:pPr>
        <w:spacing w:after="160" w:line="300"/>
        <w:jc w:val="both"/>
      </w:pPr>
      <w:r>
        <w:rPr>
          <w:rFonts w:ascii="맑은 고딕" w:cs="맑은 고딕" w:eastAsia="맑은 고딕" w:hAnsi="맑은 고딕"/>
          <w:i w:val="false"/>
          <w:iCs w:val="false"/>
          <w:sz w:val="21"/>
          <w:szCs w:val="21"/>
        </w:rPr>
        <w:t xml:space="preserve">L_current은 예측 전류와 CFD 전류 간 평균제곱오차, L_physics는 식 (12)의 물리 잔차, L_SE·L_ODU는 각 헤드의 데이터 적합 오차, L_anchor는 아래 4.3.2절에서 설명하는 실험 앵커링 손실이다.</w:t>
      </w:r>
    </w:p>
    <w:p>
      <w:pPr>
        <w:pStyle w:val="Heading3"/>
        <w:spacing w:after="120" w:before="220"/>
      </w:pPr>
      <w:r>
        <w:rPr>
          <w:rFonts w:ascii="맑은 고딕" w:cs="맑은 고딕" w:eastAsia="맑은 고딕" w:hAnsi="맑은 고딕"/>
          <w:b/>
          <w:bCs/>
          <w:color w:val="44546A"/>
          <w:sz w:val="23"/>
          <w:szCs w:val="23"/>
        </w:rPr>
        <w:t xml:space="preserve">4.3.2 물리 계수의 파라미터화: MLP에서 저차원 물리식으로</w:t>
      </w:r>
    </w:p>
    <w:p>
      <w:pPr>
        <w:spacing w:after="160" w:line="300"/>
        <w:jc w:val="both"/>
      </w:pPr>
      <w:r>
        <w:rPr>
          <w:rFonts w:ascii="맑은 고딕" w:cs="맑은 고딕" w:eastAsia="맑은 고딕" w:hAnsi="맑은 고딕"/>
          <w:i w:val="false"/>
          <w:iCs w:val="false"/>
          <w:sz w:val="21"/>
          <w:szCs w:val="21"/>
        </w:rPr>
        <w:t xml:space="preserve">초기 설계에서는 i₀(T), R_ohm(T,RH), i_lim(P,S_a,S_c,RH)를 각각 16유닛 은닉층 2개로 구성된 MLP로 표현하였다(계수 3개 함수 합산 파라미터 약 900개 이상). 그러나 이 구성은 학습 데이터가 적은 경우(4.4절의 데이터 효율성 실험) 계수 자체가 불안정하게 학습되어, 물리 제약을 통해 얻고자 했던 데이터 효율성 향상 효과를 얻지 못하는 것으로 나타났다. 이에 다음과 같이 파라미터 수를 대폭 축소한 물리적 함수형으로 재설계하였다(총 스칼라 파라미터 11개).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200"/>
        <w:gridCol w:w="1750"/>
      </w:tblGrid>
      <w:tr>
        <w:trPr>
          <w:tblHeader/>
        </w:trPr>
        <w:tc>
          <w:tcPr>
            <w:tcW w:type="dxa" w:w="22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계수</w:t>
            </w:r>
          </w:p>
        </w:tc>
        <w:tc>
          <w:tcPr>
            <w:tcW w:type="dxa" w:w="42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함수형</w:t>
            </w:r>
          </w:p>
        </w:tc>
        <w:tc>
          <w:tcPr>
            <w:tcW w:type="dxa" w:w="12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파라미터 수</w:t>
            </w:r>
          </w:p>
        </w:tc>
        <w:tc>
          <w:tcPr>
            <w:tcW w:type="dxa" w:w="17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실험값 앵커링</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i₀ (교환전류밀도)</w:t>
            </w:r>
          </w:p>
        </w:tc>
        <w:tc>
          <w:tcPr>
            <w:tcW w:type="dxa" w:w="4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Arrhenius형: exp(ln i₀,ref − (Ea/R)(1/T−1/T_ref))</w:t>
            </w:r>
          </w:p>
        </w:tc>
        <w:tc>
          <w:tcPr>
            <w:tcW w:type="dxa" w:w="1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2</w:t>
            </w:r>
          </w:p>
        </w:tc>
        <w:tc>
          <w:tcPr>
            <w:tcW w:type="dxa" w:w="17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미적용 (식별 불가, CFD로 학습)</w:t>
            </w:r>
          </w:p>
        </w:tc>
      </w:tr>
      <w:tr>
        <w:tc>
          <w:tcPr>
            <w:tcW w:type="dxa" w:w="22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α (전달계수)</w:t>
            </w:r>
          </w:p>
        </w:tc>
        <w:tc>
          <w:tcPr>
            <w:tcW w:type="dxa" w:w="42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스칼라 상수</w:t>
            </w:r>
          </w:p>
        </w:tc>
        <w:tc>
          <w:tcPr>
            <w:tcW w:type="dxa" w:w="12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1</w:t>
            </w:r>
          </w:p>
        </w:tc>
        <w:tc>
          <w:tcPr>
            <w:tcW w:type="dxa" w:w="17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적용 (1.2085)</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R_ohm (면적저항)</w:t>
            </w:r>
          </w:p>
        </w:tc>
        <w:tc>
          <w:tcPr>
            <w:tcW w:type="dxa" w:w="4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R₀ + a·(T−T_ref) + b·(RH−RH_ref), softplus</w:t>
            </w:r>
          </w:p>
        </w:tc>
        <w:tc>
          <w:tcPr>
            <w:tcW w:type="dxa" w:w="1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3</w:t>
            </w:r>
          </w:p>
        </w:tc>
        <w:tc>
          <w:tcPr>
            <w:tcW w:type="dxa" w:w="17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적용 (R₀=0.0235 Ω·cm²)</w:t>
            </w:r>
          </w:p>
        </w:tc>
      </w:tr>
      <w:tr>
        <w:tc>
          <w:tcPr>
            <w:tcW w:type="dxa" w:w="22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B (농도손실계수)</w:t>
            </w:r>
          </w:p>
        </w:tc>
        <w:tc>
          <w:tcPr>
            <w:tcW w:type="dxa" w:w="42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스칼라 상수</w:t>
            </w:r>
          </w:p>
        </w:tc>
        <w:tc>
          <w:tcPr>
            <w:tcW w:type="dxa" w:w="12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1</w:t>
            </w:r>
          </w:p>
        </w:tc>
        <w:tc>
          <w:tcPr>
            <w:tcW w:type="dxa" w:w="17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적용 (0.1911 V)</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i_lim (한계전류밀도)</w:t>
            </w:r>
          </w:p>
        </w:tc>
        <w:tc>
          <w:tcPr>
            <w:tcW w:type="dxa" w:w="4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i₀ + a·(P−P_ref) + b·(RH−RH_ref) + c·(S_c−S_ref), softplus</w:t>
            </w:r>
          </w:p>
        </w:tc>
        <w:tc>
          <w:tcPr>
            <w:tcW w:type="dxa" w:w="1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4</w:t>
            </w:r>
          </w:p>
        </w:tc>
        <w:tc>
          <w:tcPr>
            <w:tcW w:type="dxa" w:w="17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적용 (1.7419 A/cm²)</w:t>
            </w:r>
          </w:p>
        </w:tc>
      </w:tr>
    </w:tbl>
    <w:p>
      <w:pPr>
        <w:spacing w:after="240" w:before="80"/>
        <w:jc w:val="center"/>
      </w:pPr>
      <w:r>
        <w:rPr>
          <w:rFonts w:ascii="맑은 고딕" w:cs="맑은 고딕" w:eastAsia="맑은 고딕" w:hAnsi="맑은 고딕"/>
          <w:i/>
          <w:iCs/>
          <w:color w:val="595959"/>
          <w:sz w:val="19"/>
          <w:szCs w:val="19"/>
        </w:rPr>
        <w:t xml:space="preserve">표 3. PINN 물리 계수의 저차원 파라미터화</w:t>
      </w:r>
    </w:p>
    <w:p>
      <w:pPr>
        <w:spacing w:after="160" w:line="300"/>
        <w:jc w:val="both"/>
      </w:pPr>
      <w:r>
        <w:rPr>
          <w:rFonts w:ascii="맑은 고딕" w:cs="맑은 고딕" w:eastAsia="맑은 고딕" w:hAnsi="맑은 고딕"/>
          <w:i w:val="false"/>
          <w:iCs w:val="false"/>
          <w:sz w:val="21"/>
          <w:szCs w:val="21"/>
        </w:rPr>
        <w:t xml:space="preserve">실험값으로 앵커링된 계수는 각각의 기준값(위 표의 괄호 안 값)으로 초기화되며, 학습 중 그 실험 조건(T=343.15K, P=1atm, RH=100%, S=3.5)에서 예측된 계수값이 기준값에서 크게 벗어나지 않도록 정규화 손실(L_anchor, 식 13)을 부여하되, CFD 데이터가 뒷받침하는 범위 내에서는 조정이 허용되도록 하였다. i₀는 4.2절에서 확인된 식별성 문제로 인해 앵커링에서 제외하고, CFD 데이터셋이 포괄하는 5개 온도 조건(50~100°C)으로부터 온도 의존성을 학습하도록 하였다.</w:t>
      </w:r>
    </w:p>
    <w:p>
      <w:pPr>
        <w:pStyle w:val="Heading2"/>
        <w:spacing w:after="150" w:before="300"/>
      </w:pPr>
      <w:r>
        <w:rPr>
          <w:rFonts w:ascii="맑은 고딕" w:cs="맑은 고딕" w:eastAsia="맑은 고딕" w:hAnsi="맑은 고딕"/>
          <w:b/>
          <w:bCs/>
          <w:color w:val="2E5395"/>
          <w:sz w:val="26"/>
          <w:szCs w:val="26"/>
        </w:rPr>
        <w:t xml:space="preserve">4.4 평가 방법론: 보간과 외삽</w:t>
      </w:r>
    </w:p>
    <w:p>
      <w:pPr>
        <w:spacing w:after="160" w:line="300"/>
        <w:jc w:val="both"/>
      </w:pPr>
      <w:r>
        <w:rPr>
          <w:rFonts w:ascii="맑은 고딕" w:cs="맑은 고딕" w:eastAsia="맑은 고딕" w:hAnsi="맑은 고딕"/>
          <w:i w:val="false"/>
          <w:iCs w:val="false"/>
          <w:sz w:val="21"/>
          <w:szCs w:val="21"/>
        </w:rPr>
        <w:t xml:space="preserve">PINN의 성능은 두 가지 상이한 관점에서 평가하였으며, 이는 본 연구의 핵심적 방법론적 기여이다.</w:t>
      </w:r>
    </w:p>
    <w:p>
      <w:pPr>
        <w:pStyle w:val="Heading3"/>
        <w:spacing w:after="120" w:before="220"/>
      </w:pPr>
      <w:r>
        <w:rPr>
          <w:rFonts w:ascii="맑은 고딕" w:cs="맑은 고딕" w:eastAsia="맑은 고딕" w:hAnsi="맑은 고딕"/>
          <w:b/>
          <w:bCs/>
          <w:color w:val="44546A"/>
          <w:sz w:val="23"/>
          <w:szCs w:val="23"/>
        </w:rPr>
        <w:t xml:space="preserve">4.4.1 보간(Interpolation) 평가</w:t>
      </w:r>
    </w:p>
    <w:p>
      <w:pPr>
        <w:spacing w:after="160" w:line="300"/>
        <w:jc w:val="both"/>
      </w:pPr>
      <w:r>
        <w:rPr>
          <w:rFonts w:ascii="맑은 고딕" w:cs="맑은 고딕" w:eastAsia="맑은 고딕" w:hAnsi="맑은 고딕"/>
          <w:i w:val="false"/>
          <w:iCs w:val="false"/>
          <w:sz w:val="21"/>
          <w:szCs w:val="21"/>
        </w:rPr>
        <w:t xml:space="preserve">전체 306개 데이터 중 무작위로 20%를 테스트셋으로 고정(random_state=62)하고, 나머지 80% 중 일부만을 학습에 사용하며 그 비율을 10%~100%로 변화시켜 학습 데이터양에 따른 성능 변화를 관찰하였다. 테스트셋은 항상 학습에 사용된 조건들과 동일한 CFD 격자(운전조건 범위) 내에 위치하므로, 이는 엄밀히 말해 보간 문제에 해당한다.</w:t>
      </w:r>
    </w:p>
    <w:p>
      <w:pPr>
        <w:pStyle w:val="Heading3"/>
        <w:spacing w:after="120" w:before="220"/>
      </w:pPr>
      <w:r>
        <w:rPr>
          <w:rFonts w:ascii="맑은 고딕" w:cs="맑은 고딕" w:eastAsia="맑은 고딕" w:hAnsi="맑은 고딕"/>
          <w:b/>
          <w:bCs/>
          <w:color w:val="44546A"/>
          <w:sz w:val="23"/>
          <w:szCs w:val="23"/>
        </w:rPr>
        <w:t xml:space="preserve">4.4.2 외삽(Extrapolation) 평가</w:t>
      </w:r>
    </w:p>
    <w:p>
      <w:pPr>
        <w:spacing w:after="160" w:line="300"/>
        <w:jc w:val="both"/>
      </w:pPr>
      <w:r>
        <w:rPr>
          <w:rFonts w:ascii="맑은 고딕" w:cs="맑은 고딕" w:eastAsia="맑은 고딕" w:hAnsi="맑은 고딕"/>
          <w:i w:val="false"/>
          <w:iCs w:val="false"/>
          <w:sz w:val="21"/>
          <w:szCs w:val="21"/>
        </w:rPr>
        <w:t xml:space="preserve">전압, 압력, 애노드 습도, 애노드/캐소드 화학양론비, 애노드 온도의 6개 운전조건 축 각각에 대해, 그 축의 극단값(대개 최솟값, 물리적으로 가장 열악한 조건에 해당) 하나를 전체 데이터에서 통째로 제외하여 학습하고, 제외된 값에 해당하는 데이터에서만 성능을 평가하였다. 이는 테스트 조건이 학습 데이터 범위 밖에 위치하는 진정한 외삽 문제이며, CFD를 수행하지 않은 조건에서도 신뢰성 있게 예측하고자 하는 본 연구의 원래 동기(1.1절)에 직접적으로 대응하는 평가 방식이다.</w:t>
      </w:r>
    </w:p>
    <w:p>
      <w:r>
        <w:br w:type="page"/>
      </w:r>
    </w:p>
    <w:p>
      <w:pPr>
        <w:pStyle w:val="Heading1"/>
        <w:spacing w:after="200" w:before="400"/>
      </w:pPr>
      <w:r>
        <w:rPr>
          <w:rFonts w:ascii="맑은 고딕" w:cs="맑은 고딕" w:eastAsia="맑은 고딕" w:hAnsi="맑은 고딕"/>
          <w:b/>
          <w:bCs/>
          <w:color w:val="1F3864"/>
          <w:sz w:val="32"/>
          <w:szCs w:val="32"/>
        </w:rPr>
        <w:t xml:space="preserve">5. 결과</w:t>
      </w:r>
    </w:p>
    <w:p>
      <w:pPr>
        <w:pStyle w:val="Heading2"/>
        <w:spacing w:after="150" w:before="300"/>
      </w:pPr>
      <w:r>
        <w:rPr>
          <w:rFonts w:ascii="맑은 고딕" w:cs="맑은 고딕" w:eastAsia="맑은 고딕" w:hAnsi="맑은 고딕"/>
          <w:b/>
          <w:bCs/>
          <w:color w:val="2E5395"/>
          <w:sz w:val="26"/>
          <w:szCs w:val="26"/>
        </w:rPr>
        <w:t xml:space="preserve">5.1 Baseline 재현 결과</w:t>
      </w:r>
    </w:p>
    <w:p>
      <w:pPr>
        <w:spacing w:after="160" w:line="300"/>
        <w:jc w:val="both"/>
      </w:pPr>
      <w:r>
        <w:rPr>
          <w:rFonts w:ascii="맑은 고딕" w:cs="맑은 고딕" w:eastAsia="맑은 고딕" w:hAnsi="맑은 고딕"/>
          <w:i w:val="false"/>
          <w:iCs w:val="false"/>
          <w:sz w:val="21"/>
          <w:szCs w:val="21"/>
        </w:rPr>
        <w:t xml:space="preserve">Optuna 하이퍼파라미터 탐색 없이 기본 설정으로 학습하였음에도, XGBoost·Gradient Boosting·Random Forest는 선행 논문의 수치와 상당히 근접하였다. 반면 ANN은 하이퍼파라미터 탐색의 부재로 논문 대비 뚜렷한 성능 저하를 보여, 해당 논문에서 Optuna 튜닝이 실질적으로 중요했음을 방증한다.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rPr>
          <w:tblHeader/>
        </w:trPr>
        <w:tc>
          <w:tcPr>
            <w:tcW w:type="dxa" w:w="23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모델</w:t>
            </w:r>
          </w:p>
        </w:tc>
        <w:tc>
          <w:tcPr>
            <w:tcW w:type="dxa" w:w="23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PD R² (재현/논문)</w:t>
            </w:r>
          </w:p>
        </w:tc>
        <w:tc>
          <w:tcPr>
            <w:tcW w:type="dxa" w:w="23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SE R² (재현/논문)</w:t>
            </w:r>
          </w:p>
        </w:tc>
        <w:tc>
          <w:tcPr>
            <w:tcW w:type="dxa" w:w="23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ODU R² (재현/논문)</w:t>
            </w:r>
          </w:p>
        </w:tc>
      </w:tr>
      <w:tr>
        <w:tc>
          <w:tcPr>
            <w:tcW w:type="dxa" w:w="2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XGBoost</w:t>
            </w:r>
          </w:p>
        </w:tc>
        <w:tc>
          <w:tcPr>
            <w:tcW w:type="dxa" w:w="2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0.9881 / 0.9891</w:t>
            </w:r>
          </w:p>
        </w:tc>
        <w:tc>
          <w:tcPr>
            <w:tcW w:type="dxa" w:w="2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0.9986 / 0.9989</w:t>
            </w:r>
          </w:p>
        </w:tc>
        <w:tc>
          <w:tcPr>
            <w:tcW w:type="dxa" w:w="23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0.9209 / 0.9355</w:t>
            </w:r>
          </w:p>
        </w:tc>
      </w:tr>
      <w:tr>
        <w:tc>
          <w:tcPr>
            <w:tcW w:type="dxa" w:w="2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Gradient Boosting</w:t>
            </w:r>
          </w:p>
        </w:tc>
        <w:tc>
          <w:tcPr>
            <w:tcW w:type="dxa" w:w="2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0.9864 / 0.9846</w:t>
            </w:r>
          </w:p>
        </w:tc>
        <w:tc>
          <w:tcPr>
            <w:tcW w:type="dxa" w:w="2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0.9994 / 0.9989</w:t>
            </w:r>
          </w:p>
        </w:tc>
        <w:tc>
          <w:tcPr>
            <w:tcW w:type="dxa" w:w="23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0.9142 / 0.9259</w:t>
            </w:r>
          </w:p>
        </w:tc>
      </w:tr>
      <w:tr>
        <w:tc>
          <w:tcPr>
            <w:tcW w:type="dxa" w:w="2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Random Forest</w:t>
            </w:r>
          </w:p>
        </w:tc>
        <w:tc>
          <w:tcPr>
            <w:tcW w:type="dxa" w:w="2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0.9808 / 0.9699</w:t>
            </w:r>
          </w:p>
        </w:tc>
        <w:tc>
          <w:tcPr>
            <w:tcW w:type="dxa" w:w="2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0.9959 / 0.9968</w:t>
            </w:r>
          </w:p>
        </w:tc>
        <w:tc>
          <w:tcPr>
            <w:tcW w:type="dxa" w:w="23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0.8547 / 0.8512</w:t>
            </w:r>
          </w:p>
        </w:tc>
      </w:tr>
      <w:tr>
        <w:tc>
          <w:tcPr>
            <w:tcW w:type="dxa" w:w="2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SVR / SVM</w:t>
            </w:r>
          </w:p>
        </w:tc>
        <w:tc>
          <w:tcPr>
            <w:tcW w:type="dxa" w:w="2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0.9631 / 0.9505</w:t>
            </w:r>
          </w:p>
        </w:tc>
        <w:tc>
          <w:tcPr>
            <w:tcW w:type="dxa" w:w="2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0.9479 / 0.9850</w:t>
            </w:r>
          </w:p>
        </w:tc>
        <w:tc>
          <w:tcPr>
            <w:tcW w:type="dxa" w:w="23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0.8291 / 0.8421</w:t>
            </w:r>
          </w:p>
        </w:tc>
      </w:tr>
      <w:tr>
        <w:tc>
          <w:tcPr>
            <w:tcW w:type="dxa" w:w="2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ANN</w:t>
            </w:r>
          </w:p>
        </w:tc>
        <w:tc>
          <w:tcPr>
            <w:tcW w:type="dxa" w:w="2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0.8365 / 0.9742</w:t>
            </w:r>
          </w:p>
        </w:tc>
        <w:tc>
          <w:tcPr>
            <w:tcW w:type="dxa" w:w="2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0.9306 / 0.9980</w:t>
            </w:r>
          </w:p>
        </w:tc>
        <w:tc>
          <w:tcPr>
            <w:tcW w:type="dxa" w:w="23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0.7416 / 0.9136</w:t>
            </w:r>
          </w:p>
        </w:tc>
      </w:tr>
    </w:tbl>
    <w:p>
      <w:pPr>
        <w:spacing w:after="240" w:before="80"/>
        <w:jc w:val="center"/>
      </w:pPr>
      <w:r>
        <w:rPr>
          <w:rFonts w:ascii="맑은 고딕" w:cs="맑은 고딕" w:eastAsia="맑은 고딕" w:hAnsi="맑은 고딕"/>
          <w:i/>
          <w:iCs/>
          <w:color w:val="595959"/>
          <w:sz w:val="19"/>
          <w:szCs w:val="19"/>
        </w:rPr>
        <w:t xml:space="preserve">표 4. Baseline 대리모델 재현 결과 (PD=전력밀도, SE=시스템효율, ODU=산소분포균일도)</w:t>
      </w:r>
    </w:p>
    <w:p>
      <w:pPr>
        <w:pStyle w:val="Heading2"/>
        <w:spacing w:after="150" w:before="300"/>
      </w:pPr>
      <w:r>
        <w:rPr>
          <w:rFonts w:ascii="맑은 고딕" w:cs="맑은 고딕" w:eastAsia="맑은 고딕" w:hAnsi="맑은 고딕"/>
          <w:b/>
          <w:bCs/>
          <w:color w:val="2E5395"/>
          <w:sz w:val="26"/>
          <w:szCs w:val="26"/>
        </w:rPr>
        <w:t xml:space="preserve">5.2 물리 방정식 검증 결과</w:t>
      </w:r>
    </w:p>
    <w:p>
      <w:pPr>
        <w:spacing w:after="160" w:line="300"/>
        <w:jc w:val="both"/>
      </w:pPr>
      <w:r>
        <w:rPr>
          <w:rFonts w:ascii="맑은 고딕" w:cs="맑은 고딕" w:eastAsia="맑은 고딕" w:hAnsi="맑은 고딕"/>
          <w:i w:val="false"/>
          <w:iCs w:val="false"/>
          <w:sz w:val="21"/>
          <w:szCs w:val="21"/>
        </w:rPr>
        <w:t xml:space="preserve">실험 분극곡선 22개 포인트(3.2절)에 대해 식 (4)~(10)을 피팅한 결과, 결정계수 R²=0.99962, RMSE=3.07mV의 매우 높은 적합도를 확인하였다. 이는 채택한 4항 반경험적 물리 모델이 실제 셀 거동을 정확히 표현함을 강하게 뒷받침한다.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50"/>
      </w:tblGrid>
      <w:tr>
        <w:trPr>
          <w:tblHeader/>
        </w:trPr>
        <w:tc>
          <w:tcPr>
            <w:tcW w:type="dxa" w:w="26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계수</w:t>
            </w:r>
          </w:p>
        </w:tc>
        <w:tc>
          <w:tcPr>
            <w:tcW w:type="dxa" w:w="27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피팅값</w:t>
            </w:r>
          </w:p>
        </w:tc>
        <w:tc>
          <w:tcPr>
            <w:tcW w:type="dxa" w:w="40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비고</w:t>
            </w:r>
          </w:p>
        </w:tc>
      </w:tr>
      <w:tr>
        <w:tc>
          <w:tcPr>
            <w:tcW w:type="dxa" w:w="2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α (전달계수)</w:t>
            </w:r>
          </w:p>
        </w:tc>
        <w:tc>
          <w:tcPr>
            <w:tcW w:type="dxa" w:w="2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1.2085</w:t>
            </w:r>
          </w:p>
        </w:tc>
        <w:tc>
          <w:tcPr>
            <w:tcW w:type="dxa" w:w="40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독립적인 두 차례 피팅에서 일관되게 재현, 신뢰도 높음</w:t>
            </w:r>
          </w:p>
        </w:tc>
      </w:tr>
      <w:tr>
        <w:tc>
          <w:tcPr>
            <w:tcW w:type="dxa" w:w="26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R_ohm (면적저항)</w:t>
            </w:r>
          </w:p>
        </w:tc>
        <w:tc>
          <w:tcPr>
            <w:tcW w:type="dxa" w:w="27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0.0235 Ω·cm²</w:t>
            </w:r>
          </w:p>
        </w:tc>
        <w:tc>
          <w:tcPr>
            <w:tcW w:type="dxa" w:w="40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Nafion막 통상 범위 내, 신뢰도 높음</w:t>
            </w:r>
          </w:p>
        </w:tc>
      </w:tr>
      <w:tr>
        <w:tc>
          <w:tcPr>
            <w:tcW w:type="dxa" w:w="2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B (농도손실계수)</w:t>
            </w:r>
          </w:p>
        </w:tc>
        <w:tc>
          <w:tcPr>
            <w:tcW w:type="dxa" w:w="2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0.1911 V</w:t>
            </w:r>
          </w:p>
        </w:tc>
        <w:tc>
          <w:tcPr>
            <w:tcW w:type="dxa" w:w="40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신뢰도 높음</w:t>
            </w:r>
          </w:p>
        </w:tc>
      </w:tr>
      <w:tr>
        <w:tc>
          <w:tcPr>
            <w:tcW w:type="dxa" w:w="26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i_lim (한계전류밀도)</w:t>
            </w:r>
          </w:p>
        </w:tc>
        <w:tc>
          <w:tcPr>
            <w:tcW w:type="dxa" w:w="27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1.7419 A/cm²</w:t>
            </w:r>
          </w:p>
        </w:tc>
        <w:tc>
          <w:tcPr>
            <w:tcW w:type="dxa" w:w="40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측정 최대전류(1.48 A/cm²)보다 크며 물리적으로 타당, 신뢰도 높음</w:t>
            </w:r>
          </w:p>
        </w:tc>
      </w:tr>
      <w:tr>
        <w:tc>
          <w:tcPr>
            <w:tcW w:type="dxa" w:w="2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i₀ (교환전류밀도)</w:t>
            </w:r>
          </w:p>
        </w:tc>
        <w:tc>
          <w:tcPr>
            <w:tcW w:type="dxa" w:w="2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식별 불가 (경계로 발산)</w:t>
            </w:r>
          </w:p>
        </w:tc>
        <w:tc>
          <w:tcPr>
            <w:tcW w:type="dxa" w:w="40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E_Nernst 고정 시 α와 트레이드오프되어 단일 조건으로 식별 불가</w:t>
            </w:r>
          </w:p>
        </w:tc>
      </w:tr>
    </w:tbl>
    <w:p>
      <w:pPr>
        <w:spacing w:after="240" w:before="80"/>
        <w:jc w:val="center"/>
      </w:pPr>
      <w:r>
        <w:rPr>
          <w:rFonts w:ascii="맑은 고딕" w:cs="맑은 고딕" w:eastAsia="맑은 고딕" w:hAnsi="맑은 고딕"/>
          <w:i/>
          <w:iCs/>
          <w:color w:val="595959"/>
          <w:sz w:val="19"/>
          <w:szCs w:val="19"/>
        </w:rPr>
        <w:t xml:space="preserve">표 5. 실험 데이터 피팅으로 얻은 물리 계수 (T=70°C, ~1atm, RH=100%, stoi=3.5)</w:t>
      </w:r>
    </w:p>
    <w:p>
      <w:pPr>
        <w:pStyle w:val="Heading2"/>
        <w:spacing w:after="150" w:before="300"/>
      </w:pPr>
      <w:r>
        <w:rPr>
          <w:rFonts w:ascii="맑은 고딕" w:cs="맑은 고딕" w:eastAsia="맑은 고딕" w:hAnsi="맑은 고딕"/>
          <w:b/>
          <w:bCs/>
          <w:color w:val="2E5395"/>
          <w:sz w:val="26"/>
          <w:szCs w:val="26"/>
        </w:rPr>
        <w:t xml:space="preserve">5.3 PINN 전체 데이터 학습 결과</w:t>
      </w:r>
    </w:p>
    <w:p>
      <w:pPr>
        <w:spacing w:after="160" w:line="300"/>
        <w:jc w:val="both"/>
      </w:pPr>
      <w:r>
        <w:rPr>
          <w:rFonts w:ascii="맑은 고딕" w:cs="맑은 고딕" w:eastAsia="맑은 고딕" w:hAnsi="맑은 고딕"/>
          <w:i w:val="false"/>
          <w:iCs w:val="false"/>
          <w:sz w:val="21"/>
          <w:szCs w:val="21"/>
        </w:rPr>
        <w:t xml:space="preserve">전체 306개 데이터를 baseline과 동일한 80/20 분할로 학습한 결과, PINN은 XGBoost와 대등한 수준의 성능을 보였다.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100"/>
        <w:gridCol w:w="2450"/>
      </w:tblGrid>
      <w:tr>
        <w:trPr>
          <w:tblHeader/>
        </w:trPr>
        <w:tc>
          <w:tcPr>
            <w:tcW w:type="dxa" w:w="29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출력</w:t>
            </w:r>
          </w:p>
        </w:tc>
        <w:tc>
          <w:tcPr>
            <w:tcW w:type="dxa" w:w="19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PINN R²</w:t>
            </w:r>
          </w:p>
        </w:tc>
        <w:tc>
          <w:tcPr>
            <w:tcW w:type="dxa" w:w="21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PINN RMSE</w:t>
            </w:r>
          </w:p>
        </w:tc>
        <w:tc>
          <w:tcPr>
            <w:tcW w:type="dxa" w:w="24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(참고) XGBoost R² / RMSE</w:t>
            </w:r>
          </w:p>
        </w:tc>
      </w:tr>
      <w:tr>
        <w:tc>
          <w:tcPr>
            <w:tcW w:type="dxa" w:w="2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전류밀도 (current)</w:t>
            </w:r>
          </w:p>
        </w:tc>
        <w:tc>
          <w:tcPr>
            <w:tcW w:type="dxa" w:w="1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0.9919</w:t>
            </w:r>
          </w:p>
        </w:tc>
        <w:tc>
          <w:tcPr>
            <w:tcW w:type="dxa" w:w="2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0.0603</w:t>
            </w:r>
          </w:p>
        </w:tc>
        <w:tc>
          <w:tcPr>
            <w:tcW w:type="dxa" w:w="2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 (baseline은 PD/SE/ODU만 직접 예측)</w:t>
            </w:r>
          </w:p>
        </w:tc>
      </w:tr>
      <w:tr>
        <w:tc>
          <w:tcPr>
            <w:tcW w:type="dxa" w:w="29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전력밀도 (power density)</w:t>
            </w:r>
          </w:p>
        </w:tc>
        <w:tc>
          <w:tcPr>
            <w:tcW w:type="dxa" w:w="19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0.9864</w:t>
            </w:r>
          </w:p>
        </w:tc>
        <w:tc>
          <w:tcPr>
            <w:tcW w:type="dxa" w:w="21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0.0355</w:t>
            </w:r>
          </w:p>
        </w:tc>
        <w:tc>
          <w:tcPr>
            <w:tcW w:type="dxa" w:w="2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0.9881 / 0.0332</w:t>
            </w:r>
          </w:p>
        </w:tc>
      </w:tr>
      <w:tr>
        <w:tc>
          <w:tcPr>
            <w:tcW w:type="dxa" w:w="2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시스템효율 (SE)</w:t>
            </w:r>
          </w:p>
        </w:tc>
        <w:tc>
          <w:tcPr>
            <w:tcW w:type="dxa" w:w="1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0.9991</w:t>
            </w:r>
          </w:p>
        </w:tc>
        <w:tc>
          <w:tcPr>
            <w:tcW w:type="dxa" w:w="2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0.0057</w:t>
            </w:r>
          </w:p>
        </w:tc>
        <w:tc>
          <w:tcPr>
            <w:tcW w:type="dxa" w:w="2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0.9986 / 0.0072</w:t>
            </w:r>
          </w:p>
        </w:tc>
      </w:tr>
      <w:tr>
        <w:tc>
          <w:tcPr>
            <w:tcW w:type="dxa" w:w="29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산소분포균일도 (ODU)</w:t>
            </w:r>
          </w:p>
        </w:tc>
        <w:tc>
          <w:tcPr>
            <w:tcW w:type="dxa" w:w="19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0.8978</w:t>
            </w:r>
          </w:p>
        </w:tc>
        <w:tc>
          <w:tcPr>
            <w:tcW w:type="dxa" w:w="21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0.3178</w:t>
            </w:r>
          </w:p>
        </w:tc>
        <w:tc>
          <w:tcPr>
            <w:tcW w:type="dxa" w:w="2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0.9209 / 0.2795</w:t>
            </w:r>
          </w:p>
        </w:tc>
      </w:tr>
    </w:tbl>
    <w:p>
      <w:pPr>
        <w:spacing w:after="240" w:before="80"/>
        <w:jc w:val="center"/>
      </w:pPr>
      <w:r>
        <w:rPr>
          <w:rFonts w:ascii="맑은 고딕" w:cs="맑은 고딕" w:eastAsia="맑은 고딕" w:hAnsi="맑은 고딕"/>
          <w:i/>
          <w:iCs/>
          <w:color w:val="595959"/>
          <w:sz w:val="19"/>
          <w:szCs w:val="19"/>
        </w:rPr>
        <w:t xml:space="preserve">표 6. PINN 전체 데이터 학습 결과</w:t>
      </w:r>
    </w:p>
    <w:p>
      <w:pPr>
        <w:spacing w:after="160" w:line="300"/>
        <w:jc w:val="both"/>
      </w:pPr>
      <w:r>
        <w:rPr>
          <w:rFonts w:ascii="맑은 고딕" w:cs="맑은 고딕" w:eastAsia="맑은 고딕" w:hAnsi="맑은 고딕"/>
          <w:i w:val="false"/>
          <w:iCs w:val="false"/>
          <w:sz w:val="21"/>
          <w:szCs w:val="21"/>
        </w:rPr>
        <w:t xml:space="preserve">학습 완료 후 앵커 조건(T=70°C, P=1atm, RH=100%, S=3.5)에서 확인한 물리 계수는 α=1.2078, B=0.1927, i_lim=1.7403으로 실험 피팅값(표 5)과 거의 동일하게 유지되었으나, R_ohm은 0.1434로 실험값(0.0235) 대비 약 6배 증가하였다. 이는 CFD 데이터가 R_ohm에 대해 실험 조건과 다른 값을 강하게 요구하고 있음을 시사하며, 두 데이터 소스(CFD, 실험) 간 조건 불일치 가능성(3.1절에서 언급한 압력 범위 불일치 등)에 대한 추가 조사가 필요함을 뒷받침하는 결과이다.</w:t>
      </w:r>
    </w:p>
    <w:p>
      <w:pPr>
        <w:pStyle w:val="Heading2"/>
        <w:spacing w:after="150" w:before="300"/>
      </w:pPr>
      <w:r>
        <w:rPr>
          <w:rFonts w:ascii="맑은 고딕" w:cs="맑은 고딕" w:eastAsia="맑은 고딕" w:hAnsi="맑은 고딕"/>
          <w:b/>
          <w:bCs/>
          <w:color w:val="2E5395"/>
          <w:sz w:val="26"/>
          <w:szCs w:val="26"/>
        </w:rPr>
        <w:t xml:space="preserve">5.4 데이터 효율성(보간) 비교</w:t>
      </w:r>
    </w:p>
    <w:p>
      <w:pPr>
        <w:spacing w:after="160" w:line="300"/>
        <w:jc w:val="both"/>
      </w:pPr>
      <w:r>
        <w:rPr>
          <w:rFonts w:ascii="맑은 고딕" w:cs="맑은 고딕" w:eastAsia="맑은 고딕" w:hAnsi="맑은 고딕"/>
          <w:i w:val="false"/>
          <w:iCs w:val="false"/>
          <w:sz w:val="21"/>
          <w:szCs w:val="21"/>
        </w:rPr>
        <w:t xml:space="preserve">고정된 테스트셋(전체의 20%)에 대해, 학습에 사용하는 데이터 비율을 10%에서 100%까지 변화시키며 전력밀도 예측 R²를 비교하였다. 보간 문제에서는 학습 데이터양과 무관하게 XGBoost가 전 구간에서 PINN을 앞섰다.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학습 샘플 수 (비율)</w:t>
            </w:r>
          </w:p>
        </w:tc>
        <w:tc>
          <w:tcPr>
            <w:tcW w:type="dxa" w:w="30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XGBoost R²</w:t>
            </w:r>
          </w:p>
        </w:tc>
        <w:tc>
          <w:tcPr>
            <w:tcW w:type="dxa" w:w="30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PINN R²</w:t>
            </w:r>
          </w:p>
        </w:tc>
      </w:tr>
      <w:tr>
        <w:tc>
          <w:tcPr>
            <w:tcW w:type="dxa" w:w="3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24 (10%)</w:t>
            </w:r>
          </w:p>
        </w:tc>
        <w:tc>
          <w:tcPr>
            <w:tcW w:type="dxa" w:w="3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0.8789</w:t>
            </w:r>
          </w:p>
        </w:tc>
        <w:tc>
          <w:tcPr>
            <w:tcW w:type="dxa" w:w="3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0.8159</w:t>
            </w:r>
          </w:p>
        </w:tc>
      </w:tr>
      <w:tr>
        <w:tc>
          <w:tcPr>
            <w:tcW w:type="dxa" w:w="3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48 (20%)</w:t>
            </w:r>
          </w:p>
        </w:tc>
        <w:tc>
          <w:tcPr>
            <w:tcW w:type="dxa" w:w="30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0.9111</w:t>
            </w:r>
          </w:p>
        </w:tc>
        <w:tc>
          <w:tcPr>
            <w:tcW w:type="dxa" w:w="30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0.8933</w:t>
            </w:r>
          </w:p>
        </w:tc>
      </w:tr>
      <w:tr>
        <w:tc>
          <w:tcPr>
            <w:tcW w:type="dxa" w:w="3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97 (40%)</w:t>
            </w:r>
          </w:p>
        </w:tc>
        <w:tc>
          <w:tcPr>
            <w:tcW w:type="dxa" w:w="3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0.9608</w:t>
            </w:r>
          </w:p>
        </w:tc>
        <w:tc>
          <w:tcPr>
            <w:tcW w:type="dxa" w:w="3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0.9514</w:t>
            </w:r>
          </w:p>
        </w:tc>
      </w:tr>
      <w:tr>
        <w:tc>
          <w:tcPr>
            <w:tcW w:type="dxa" w:w="3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146 (60%)</w:t>
            </w:r>
          </w:p>
        </w:tc>
        <w:tc>
          <w:tcPr>
            <w:tcW w:type="dxa" w:w="30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0.9796</w:t>
            </w:r>
          </w:p>
        </w:tc>
        <w:tc>
          <w:tcPr>
            <w:tcW w:type="dxa" w:w="30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0.9587</w:t>
            </w:r>
          </w:p>
        </w:tc>
      </w:tr>
      <w:tr>
        <w:tc>
          <w:tcPr>
            <w:tcW w:type="dxa" w:w="3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195 (80%)</w:t>
            </w:r>
          </w:p>
        </w:tc>
        <w:tc>
          <w:tcPr>
            <w:tcW w:type="dxa" w:w="3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0.9852</w:t>
            </w:r>
          </w:p>
        </w:tc>
        <w:tc>
          <w:tcPr>
            <w:tcW w:type="dxa" w:w="3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0.9725</w:t>
            </w:r>
          </w:p>
        </w:tc>
      </w:tr>
      <w:tr>
        <w:tc>
          <w:tcPr>
            <w:tcW w:type="dxa" w:w="33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244 (100%)</w:t>
            </w:r>
          </w:p>
        </w:tc>
        <w:tc>
          <w:tcPr>
            <w:tcW w:type="dxa" w:w="30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0.9883</w:t>
            </w:r>
          </w:p>
        </w:tc>
        <w:tc>
          <w:tcPr>
            <w:tcW w:type="dxa" w:w="30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0.9795</w:t>
            </w:r>
          </w:p>
        </w:tc>
      </w:tr>
    </w:tbl>
    <w:p>
      <w:pPr>
        <w:spacing w:after="240" w:before="80"/>
        <w:jc w:val="center"/>
      </w:pPr>
      <w:r>
        <w:rPr>
          <w:rFonts w:ascii="맑은 고딕" w:cs="맑은 고딕" w:eastAsia="맑은 고딕" w:hAnsi="맑은 고딕"/>
          <w:i/>
          <w:iCs/>
          <w:color w:val="595959"/>
          <w:sz w:val="19"/>
          <w:szCs w:val="19"/>
        </w:rPr>
        <w:t xml:space="preserve">표 7. 학습 데이터 비율에 따른 전력밀도 예측 성능 (보간, 무작위 홀드아웃)</w:t>
      </w:r>
    </w:p>
    <w:p>
      <w:pPr>
        <w:pStyle w:val="Heading2"/>
        <w:spacing w:after="150" w:before="300"/>
      </w:pPr>
      <w:r>
        <w:rPr>
          <w:rFonts w:ascii="맑은 고딕" w:cs="맑은 고딕" w:eastAsia="맑은 고딕" w:hAnsi="맑은 고딕"/>
          <w:b/>
          <w:bCs/>
          <w:color w:val="2E5395"/>
          <w:sz w:val="26"/>
          <w:szCs w:val="26"/>
        </w:rPr>
        <w:t xml:space="preserve">5.5 외삽 성능 비교</w:t>
      </w:r>
    </w:p>
    <w:p>
      <w:pPr>
        <w:spacing w:after="160" w:line="300"/>
        <w:jc w:val="both"/>
      </w:pPr>
      <w:r>
        <w:rPr>
          <w:rFonts w:ascii="맑은 고딕" w:cs="맑은 고딕" w:eastAsia="맑은 고딕" w:hAnsi="맑은 고딕"/>
          <w:i w:val="false"/>
          <w:iCs w:val="false"/>
          <w:sz w:val="21"/>
          <w:szCs w:val="21"/>
        </w:rPr>
        <w:t xml:space="preserve">6개 운전조건 축 각각에서 극단값 하나를 통째로 학습에서 제외하고, 그 조건에 대해서만 전력밀도를 예측하여 비교하였다(4.4.2절). 이는 본 연구의 핵심 가설을 직접 검증하는 실험이다.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450"/>
        <w:gridCol w:w="1450"/>
        <w:gridCol w:w="1450"/>
      </w:tblGrid>
      <w:tr>
        <w:trPr>
          <w:tblHeader/>
        </w:trPr>
        <w:tc>
          <w:tcPr>
            <w:tcW w:type="dxa" w:w="34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외삽 축 (제외 조건)</w:t>
            </w:r>
          </w:p>
        </w:tc>
        <w:tc>
          <w:tcPr>
            <w:tcW w:type="dxa" w:w="160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학습/테스트 수</w:t>
            </w:r>
          </w:p>
        </w:tc>
        <w:tc>
          <w:tcPr>
            <w:tcW w:type="dxa" w:w="14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XGBoost R²</w:t>
            </w:r>
          </w:p>
        </w:tc>
        <w:tc>
          <w:tcPr>
            <w:tcW w:type="dxa" w:w="14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PINN R²</w:t>
            </w:r>
          </w:p>
        </w:tc>
        <w:tc>
          <w:tcPr>
            <w:tcW w:type="dxa" w:w="1450"/>
            <w:shd w:fill="1F3864"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우세 모델</w:t>
            </w:r>
          </w:p>
        </w:tc>
      </w:tr>
      <w:tr>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전압 0.4V (최저, 농도손실 지배 구간)</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255 / 51</w:t>
            </w:r>
          </w:p>
        </w:tc>
        <w:tc>
          <w:tcPr>
            <w:tcW w:type="dxa" w:w="1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0.6645</w:t>
            </w:r>
          </w:p>
        </w:tc>
        <w:tc>
          <w:tcPr>
            <w:tcW w:type="dxa" w:w="1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0.7733</w:t>
            </w:r>
          </w:p>
        </w:tc>
        <w:tc>
          <w:tcPr>
            <w:tcW w:type="dxa" w:w="1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PINN</w:t>
            </w:r>
          </w:p>
        </w:tc>
      </w:tr>
      <w:tr>
        <w:tc>
          <w:tcPr>
            <w:tcW w:type="dxa" w:w="34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압력 3atm (최고)</w:t>
            </w:r>
          </w:p>
        </w:tc>
        <w:tc>
          <w:tcPr>
            <w:tcW w:type="dxa" w:w="16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198 / 108</w:t>
            </w:r>
          </w:p>
        </w:tc>
        <w:tc>
          <w:tcPr>
            <w:tcW w:type="dxa" w:w="1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0.8825</w:t>
            </w:r>
          </w:p>
        </w:tc>
        <w:tc>
          <w:tcPr>
            <w:tcW w:type="dxa" w:w="1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0.8253</w:t>
            </w:r>
          </w:p>
        </w:tc>
        <w:tc>
          <w:tcPr>
            <w:tcW w:type="dxa" w:w="1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XGBoost</w:t>
            </w:r>
          </w:p>
        </w:tc>
      </w:tr>
      <w:tr>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애노드 습도 20% (최저, 건조/고저항 구간)</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252 / 54</w:t>
            </w:r>
          </w:p>
        </w:tc>
        <w:tc>
          <w:tcPr>
            <w:tcW w:type="dxa" w:w="1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0.9469</w:t>
            </w:r>
          </w:p>
        </w:tc>
        <w:tc>
          <w:tcPr>
            <w:tcW w:type="dxa" w:w="1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0.6527</w:t>
            </w:r>
          </w:p>
        </w:tc>
        <w:tc>
          <w:tcPr>
            <w:tcW w:type="dxa" w:w="1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XGBoost</w:t>
            </w:r>
          </w:p>
        </w:tc>
      </w:tr>
      <w:tr>
        <w:tc>
          <w:tcPr>
            <w:tcW w:type="dxa" w:w="34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애노드 화학양론비 1 (최저, 연료부족 구간)</w:t>
            </w:r>
          </w:p>
        </w:tc>
        <w:tc>
          <w:tcPr>
            <w:tcW w:type="dxa" w:w="16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204 / 102</w:t>
            </w:r>
          </w:p>
        </w:tc>
        <w:tc>
          <w:tcPr>
            <w:tcW w:type="dxa" w:w="1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0.7364</w:t>
            </w:r>
          </w:p>
        </w:tc>
        <w:tc>
          <w:tcPr>
            <w:tcW w:type="dxa" w:w="1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0.6104</w:t>
            </w:r>
          </w:p>
        </w:tc>
        <w:tc>
          <w:tcPr>
            <w:tcW w:type="dxa" w:w="1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XGBoost</w:t>
            </w:r>
          </w:p>
        </w:tc>
      </w:tr>
      <w:tr>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캐소드 화학양론비 1.5 (최저, 산소부족 구간)</w:t>
            </w:r>
          </w:p>
        </w:tc>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204 / 102</w:t>
            </w:r>
          </w:p>
        </w:tc>
        <w:tc>
          <w:tcPr>
            <w:tcW w:type="dxa" w:w="1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0.9157</w:t>
            </w:r>
          </w:p>
        </w:tc>
        <w:tc>
          <w:tcPr>
            <w:tcW w:type="dxa" w:w="1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0.8952</w:t>
            </w:r>
          </w:p>
        </w:tc>
        <w:tc>
          <w:tcPr>
            <w:tcW w:type="dxa" w:w="145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XGBoost</w:t>
            </w:r>
          </w:p>
        </w:tc>
      </w:tr>
      <w:tr>
        <w:tc>
          <w:tcPr>
            <w:tcW w:type="dxa" w:w="34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1F3864"/>
                <w:sz w:val="19"/>
                <w:szCs w:val="19"/>
              </w:rPr>
              <w:t xml:space="preserve">애노드 온도 100°C (최고)</w:t>
            </w:r>
          </w:p>
        </w:tc>
        <w:tc>
          <w:tcPr>
            <w:tcW w:type="dxa" w:w="160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258 / 48</w:t>
            </w:r>
          </w:p>
        </w:tc>
        <w:tc>
          <w:tcPr>
            <w:tcW w:type="dxa" w:w="1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0.9733</w:t>
            </w:r>
          </w:p>
        </w:tc>
        <w:tc>
          <w:tcPr>
            <w:tcW w:type="dxa" w:w="1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0.9272</w:t>
            </w:r>
          </w:p>
        </w:tc>
        <w:tc>
          <w:tcPr>
            <w:tcW w:type="dxa" w:w="1450"/>
            <w:shd w:fill="F2F2F2" w:val="clear"/>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000000"/>
                <w:sz w:val="19"/>
                <w:szCs w:val="19"/>
              </w:rPr>
              <w:t xml:space="preserve">XGBoost</w:t>
            </w:r>
          </w:p>
        </w:tc>
      </w:tr>
    </w:tbl>
    <w:p>
      <w:pPr>
        <w:spacing w:after="240" w:before="80"/>
        <w:jc w:val="center"/>
      </w:pPr>
      <w:r>
        <w:rPr>
          <w:rFonts w:ascii="맑은 고딕" w:cs="맑은 고딕" w:eastAsia="맑은 고딕" w:hAnsi="맑은 고딕"/>
          <w:i/>
          <w:iCs/>
          <w:color w:val="595959"/>
          <w:sz w:val="19"/>
          <w:szCs w:val="19"/>
        </w:rPr>
        <w:t xml:space="preserve">표 8. 운전조건 축별 외삽(extrapolation) 성능 비교 (전력밀도 예측 R²)</w:t>
      </w:r>
    </w:p>
    <w:p>
      <w:pPr>
        <w:spacing w:after="160" w:line="300"/>
        <w:jc w:val="both"/>
      </w:pPr>
      <w:r>
        <w:rPr>
          <w:rFonts w:ascii="맑은 고딕" w:cs="맑은 고딕" w:eastAsia="맑은 고딕" w:hAnsi="맑은 고딕"/>
          <w:i w:val="false"/>
          <w:iCs w:val="false"/>
          <w:sz w:val="21"/>
          <w:szCs w:val="21"/>
        </w:rPr>
        <w:t xml:space="preserve">전압 축을 벗어난 외삽에서 XGBoost는 보간 시 0.988이던 R²가 0.664로 급격히 저하되는 반면(2.4.1절에서 논의한 트리 모델의 전형적 외삽 취약성), PINN은 0.980에서 0.773으로 상대적으로 완만하게 저하되어 두 모델 간 격차가 뚜렷하게 역전되었다. 그러나 나머지 5개 축(압력, 습도, 화학양론비, 온도)에서는 여전히 XGBoost가 우세하였다. 이 대조적인 결과의 해석은 6장에서 상세히 논의한다.</w:t>
      </w:r>
    </w:p>
    <w:p>
      <w:r>
        <w:br w:type="page"/>
      </w:r>
    </w:p>
    <w:p>
      <w:pPr>
        <w:pStyle w:val="Heading1"/>
        <w:spacing w:after="200" w:before="400"/>
      </w:pPr>
      <w:r>
        <w:rPr>
          <w:rFonts w:ascii="맑은 고딕" w:cs="맑은 고딕" w:eastAsia="맑은 고딕" w:hAnsi="맑은 고딕"/>
          <w:b/>
          <w:bCs/>
          <w:color w:val="1F3864"/>
          <w:sz w:val="32"/>
          <w:szCs w:val="32"/>
        </w:rPr>
        <w:t xml:space="preserve">6. 논의</w:t>
      </w:r>
    </w:p>
    <w:p>
      <w:pPr>
        <w:pStyle w:val="Heading2"/>
        <w:spacing w:after="150" w:before="300"/>
      </w:pPr>
      <w:r>
        <w:rPr>
          <w:rFonts w:ascii="맑은 고딕" w:cs="맑은 고딕" w:eastAsia="맑은 고딕" w:hAnsi="맑은 고딕"/>
          <w:b/>
          <w:bCs/>
          <w:color w:val="2E5395"/>
          <w:sz w:val="26"/>
          <w:szCs w:val="26"/>
        </w:rPr>
        <w:t xml:space="preserve">6.1 보간과 외삽에서의 상반된 결과 해석</w:t>
      </w:r>
    </w:p>
    <w:p>
      <w:pPr>
        <w:spacing w:after="160" w:line="300"/>
        <w:jc w:val="both"/>
      </w:pPr>
      <w:r>
        <w:rPr>
          <w:rFonts w:ascii="맑은 고딕" w:cs="맑은 고딕" w:eastAsia="맑은 고딕" w:hAnsi="맑은 고딕"/>
          <w:i w:val="false"/>
          <w:iCs w:val="false"/>
          <w:sz w:val="21"/>
          <w:szCs w:val="21"/>
        </w:rPr>
        <w:t xml:space="preserve">5.4절과 5.5절의 결과는 얼핏 상충되어 보이지만, 2.4.1절과 2.5.1절에서 정리한 이론적 배경에 비추어 보면 일관되게 설명된다. 보간 문제(5.4절)에서는 테스트 조건이 항상 학습 데이터의 분포 범위 내부에 위치하므로, 국소적으로 유연하게 대응할 수 있는 트리 기반 모델(XGBoost)이 유리하다. 트리 앙상블이 정형(tabular) 데이터의 보간 문제에서 신경망보다 일반적으로 높은 표본 효율성을 보인다는 것은 Grinsztajn et al.(2022) 등 다수의 문헌에서 보고된 바이다. 본 연구의 물리 제약은 소프트한 정규화 항(식 12)으로 작용할 뿐 예측을 물리식 자체로 강제하지 않으므로, 데이터가 존재하는 한 신경망은 물리를 다소 무시하고서라도 데이터에 맞추는 방향으로 학습될 여지가 남아 있다.</w:t>
      </w:r>
    </w:p>
    <w:p>
      <w:pPr>
        <w:spacing w:after="160" w:line="300"/>
        <w:jc w:val="both"/>
      </w:pPr>
      <w:r>
        <w:rPr>
          <w:rFonts w:ascii="맑은 고딕" w:cs="맑은 고딕" w:eastAsia="맑은 고딕" w:hAnsi="맑은 고딕"/>
          <w:i w:val="false"/>
          <w:iCs w:val="false"/>
          <w:sz w:val="21"/>
          <w:szCs w:val="21"/>
        </w:rPr>
        <w:t xml:space="preserve">반면 외삽 문제(5.5절)에서는 테스트 조건이 학습 데이터의 분포 범위 밖에 위치한다. 트리 모델은 구조적으로 학습 시 관측된 특성값의 범위를 넘어서면 가장 인접한 leaf의 상수값을 그대로 반환하므로, 원리적으로 범위 밖에서 어떠한 형태의 추세 외삽도 수행할 수 없다. 반면 물리 제약을 받는 신경망은 데이터가 없는 영역에서도 물리 방정식이 예측값의 형태를 계속 구속하므로, 원리적으로 더 안정적인 외삽이 가능하다. 5.5절에서 전압 축 외삽 시 XGBoost의 성능이 급격히 붕괴(0.988→0.664)한 반면 PINN은 상대적으로 완만하게 저하(0.980→0.773)된 것은 바로 이 이론적 기대와 정확히 부합하는 결과이다.</w:t>
      </w:r>
    </w:p>
    <w:p>
      <w:pPr>
        <w:pStyle w:val="Heading2"/>
        <w:spacing w:after="150" w:before="300"/>
      </w:pPr>
      <w:r>
        <w:rPr>
          <w:rFonts w:ascii="맑은 고딕" w:cs="맑은 고딕" w:eastAsia="맑은 고딕" w:hAnsi="맑은 고딕"/>
          <w:b/>
          <w:bCs/>
          <w:color w:val="2E5395"/>
          <w:sz w:val="26"/>
          <w:szCs w:val="26"/>
        </w:rPr>
        <w:t xml:space="preserve">6.2 전압 축 외삽에서 PINN이 우세한 물리적 근거</w:t>
      </w:r>
    </w:p>
    <w:p>
      <w:pPr>
        <w:spacing w:after="160" w:line="300"/>
        <w:jc w:val="both"/>
      </w:pPr>
      <w:r>
        <w:rPr>
          <w:rFonts w:ascii="맑은 고딕" w:cs="맑은 고딕" w:eastAsia="맑은 고딕" w:hAnsi="맑은 고딕"/>
          <w:i w:val="false"/>
          <w:iCs w:val="false"/>
          <w:sz w:val="21"/>
          <w:szCs w:val="21"/>
        </w:rPr>
        <w:t xml:space="preserve">6개 외삽 축 중 유독 전압 축에서만 PINN이 명확한 우위를 보인 것은 우연이 아니라 본 연구의 PINN 설계(4.3.1절)의 구조적 특성에서 기인한다고 해석된다. 식 (4)의 분극곡선 방정식은 전류밀도 i와 전압 V의 관계를 로그함수(활성화 손실, 식 7)와 로그함수(농도손실, 식 10)의 조합으로 정확하고 명시적으로 기술하며, 이 관계는 4.2절에서 실측 데이터로 이미 R²=0.9996 수준으로 검증되었다. 즉 전압이라는 축에 대해서는 물리 방정식 자체가 매우 신뢰도 높은 사전지식으로 기능하며, 그 방정식이 다루는 정확한 축(V)을 벗어난 외삽에서 가장 직접적인 효과를 발휘하는 것은 자연스러운 결과이다.</w:t>
      </w:r>
    </w:p>
    <w:p>
      <w:pPr>
        <w:spacing w:after="160" w:line="300"/>
        <w:jc w:val="both"/>
      </w:pPr>
      <w:r>
        <w:rPr>
          <w:rFonts w:ascii="맑은 고딕" w:cs="맑은 고딕" w:eastAsia="맑은 고딕" w:hAnsi="맑은 고딕"/>
          <w:i w:val="false"/>
          <w:iCs w:val="false"/>
          <w:sz w:val="21"/>
          <w:szCs w:val="21"/>
        </w:rPr>
        <w:t xml:space="preserve">반면 온도, 압력, 습도, 화학양론비는 식 (4)에 직접 나타나는 변수가 아니라, 그 물리 계수(i₀, R_ohm, i_lim)를 통해 간접적으로 반영된다(4.3.2절, 표 3). 본 연구에서 채택한 이들 계수의 함수형(온도에 대한 Arrhenius형, 나머지에 대한 선형 보정)은 저차원으로 단순화된 근사이며, 특히 다음 절에서 논의하는 바와 같이 실제 물리 현상의 비선형성을 온전히 포착하지 못했을 가능성이 있다.</w:t>
      </w:r>
    </w:p>
    <w:p>
      <w:pPr>
        <w:pStyle w:val="Heading2"/>
        <w:spacing w:after="150" w:before="300"/>
      </w:pPr>
      <w:r>
        <w:rPr>
          <w:rFonts w:ascii="맑은 고딕" w:cs="맑은 고딕" w:eastAsia="맑은 고딕" w:hAnsi="맑은 고딕"/>
          <w:b/>
          <w:bCs/>
          <w:color w:val="2E5395"/>
          <w:sz w:val="26"/>
          <w:szCs w:val="26"/>
        </w:rPr>
        <w:t xml:space="preserve">6.3 다른 운전조건 축에서의 한계와 개선 방향</w:t>
      </w:r>
    </w:p>
    <w:p>
      <w:pPr>
        <w:pStyle w:val="Heading3"/>
        <w:spacing w:after="120" w:before="220"/>
      </w:pPr>
      <w:r>
        <w:rPr>
          <w:rFonts w:ascii="맑은 고딕" w:cs="맑은 고딕" w:eastAsia="맑은 고딕" w:hAnsi="맑은 고딕"/>
          <w:b/>
          <w:bCs/>
          <w:color w:val="44546A"/>
          <w:sz w:val="23"/>
          <w:szCs w:val="23"/>
        </w:rPr>
        <w:t xml:space="preserve">6.3.1 습도 의존성: Springer 상관식의 필요성</w:t>
      </w:r>
    </w:p>
    <w:p>
      <w:pPr>
        <w:spacing w:after="160" w:line="300"/>
        <w:jc w:val="both"/>
      </w:pPr>
      <w:r>
        <w:rPr>
          <w:rFonts w:ascii="맑은 고딕" w:cs="맑은 고딕" w:eastAsia="맑은 고딕" w:hAnsi="맑은 고딕"/>
          <w:i w:val="false"/>
          <w:iCs w:val="false"/>
          <w:sz w:val="21"/>
          <w:szCs w:val="21"/>
        </w:rPr>
        <w:t xml:space="preserve">애노드 습도 축 외삽에서 PINN의 성능 저하가 가장 두드러졌다(R²=0.653, 6개 축 중 최저). 2.2.3절에서 논의한 바와 같이, 전해질막의 이온전도도(따라서 R_ohm)는 막의 함수율(λ)에 강한 비선형 관계를 가지며(식 9, Springer et al., 1991), λ 자체도 상대습도에 대해 완만한 저습도 구간과 급격한 고습도 구간이 뚜렷이 구분되는 비선형 함수로 알려져 있다. 본 연구에서 R_ohm(T, RH)에 채택한 선형 보정 함수형(표 3)은 이러한 비선형성, 특히 저습도(RH=20%) 조건에서의 급격한 저항 증가를 충분히 표현하지 못했을 가능성이 높다. 향후 연구에서는 Springer 상관식 또는 이에 준하는 비선형 함수형을 R_ohm(T, RH)에 직접 도입하는 것이 유력한 개선 방향이다.</w:t>
      </w:r>
    </w:p>
    <w:p>
      <w:pPr>
        <w:pStyle w:val="Heading3"/>
        <w:spacing w:after="120" w:before="220"/>
      </w:pPr>
      <w:r>
        <w:rPr>
          <w:rFonts w:ascii="맑은 고딕" w:cs="맑은 고딕" w:eastAsia="맑은 고딕" w:hAnsi="맑은 고딕"/>
          <w:b/>
          <w:bCs/>
          <w:color w:val="44546A"/>
          <w:sz w:val="23"/>
          <w:szCs w:val="23"/>
        </w:rPr>
        <w:t xml:space="preserve">6.3.2 화학양론비 의존성: 물질전달 한계전류 모델의 정교화</w:t>
      </w:r>
    </w:p>
    <w:p>
      <w:pPr>
        <w:spacing w:after="160" w:line="300"/>
        <w:jc w:val="both"/>
      </w:pPr>
      <w:r>
        <w:rPr>
          <w:rFonts w:ascii="맑은 고딕" w:cs="맑은 고딕" w:eastAsia="맑은 고딕" w:hAnsi="맑은 고딕"/>
          <w:i w:val="false"/>
          <w:iCs w:val="false"/>
          <w:sz w:val="21"/>
          <w:szCs w:val="21"/>
        </w:rPr>
        <w:t xml:space="preserve">애노드·캐소드 화학양론비의 최저값(연료/산소 부족 조건) 외삽에서도 PINN은 XGBoost 대비 열세를 보였다(R²=0.610, 0.895). 화학양론비가 한계전류밀도 i_lim에 미치는 영향은 본질적으로 반응가스 공급 유량과 소모 속도 간의 물질수지 관계로, 단순 선형 보정보다는 확산-대류 물질전달 이론에 기반한 명시적 함수형(예: Fick 확산 기반 i_lim 표현식)을 도입할 경우 더 정확한 외삽이 가능할 것으로 판단된다.</w:t>
      </w:r>
    </w:p>
    <w:p>
      <w:pPr>
        <w:pStyle w:val="Heading3"/>
        <w:spacing w:after="120" w:before="220"/>
      </w:pPr>
      <w:r>
        <w:rPr>
          <w:rFonts w:ascii="맑은 고딕" w:cs="맑은 고딕" w:eastAsia="맑은 고딕" w:hAnsi="맑은 고딕"/>
          <w:b/>
          <w:bCs/>
          <w:color w:val="44546A"/>
          <w:sz w:val="23"/>
          <w:szCs w:val="23"/>
        </w:rPr>
        <w:t xml:space="preserve">6.3.3 온도·압력 의존성</w:t>
      </w:r>
    </w:p>
    <w:p>
      <w:pPr>
        <w:spacing w:after="160" w:line="300"/>
        <w:jc w:val="both"/>
      </w:pPr>
      <w:r>
        <w:rPr>
          <w:rFonts w:ascii="맑은 고딕" w:cs="맑은 고딕" w:eastAsia="맑은 고딕" w:hAnsi="맑은 고딕"/>
          <w:i w:val="false"/>
          <w:iCs w:val="false"/>
          <w:sz w:val="21"/>
          <w:szCs w:val="21"/>
        </w:rPr>
        <w:t xml:space="preserve">온도(R²=0.927)와 압력(R²=0.825) 축에서는 상대적으로 격차가 크지 않았으나 여전히 XGBoost가 우세하였다. 온도는 i₀(Arrhenius형)와 R_ohm(선형 보정)에 함께 반영되어 있어, i₀의 Arrhenius 파라미터(활성화에너지)가 CFD 데이터만으로 정확히 추정되기에는 온도 조건의 수(5개 수준)가 충분치 않았을 가능성이 있다. 압력은 Nernst 전위(식 5)에 이론적으로 정확히 반영되어 있으나 i_lim에 대한 압력의 영향(선형 보정)이 단순화되어 있어, 개선의 여지가 있다.</w:t>
      </w:r>
    </w:p>
    <w:p>
      <w:pPr>
        <w:pStyle w:val="Heading2"/>
        <w:spacing w:after="150" w:before="300"/>
      </w:pPr>
      <w:r>
        <w:rPr>
          <w:rFonts w:ascii="맑은 고딕" w:cs="맑은 고딕" w:eastAsia="맑은 고딕" w:hAnsi="맑은 고딕"/>
          <w:b/>
          <w:bCs/>
          <w:color w:val="2E5395"/>
          <w:sz w:val="26"/>
          <w:szCs w:val="26"/>
        </w:rPr>
        <w:t xml:space="preserve">6.4 CFD-실험 데이터 간 조건 불일치 가능성</w:t>
      </w:r>
    </w:p>
    <w:p>
      <w:pPr>
        <w:spacing w:after="160" w:line="300"/>
        <w:jc w:val="both"/>
      </w:pPr>
      <w:r>
        <w:rPr>
          <w:rFonts w:ascii="맑은 고딕" w:cs="맑은 고딕" w:eastAsia="맑은 고딕" w:hAnsi="맑은 고딕"/>
          <w:i w:val="false"/>
          <w:iCs w:val="false"/>
          <w:sz w:val="21"/>
          <w:szCs w:val="21"/>
        </w:rPr>
        <w:t xml:space="preserve">5.3절에서 확인된 R_ohm의 큰 폭의 변화(실험 앵커값 0.0235 Ω·cm² → CFD 학습 후 0.1434 Ω·cm²)는 두 가지 가능성으로 해석할 수 있다. 첫째, 실험은 5cm² 면적의 소형 셀에서, CFD는 25cm² 셀 모델로 수행되어 접촉저항 등 면적에 비선형적으로 의존하는 저항 성분의 차이가 있을 수 있다. 둘째, 3.1절에서 언급한 바와 같이 CFD 데이터셋의 압력 조건(1,2,3 atm)이 선행 논문(1,3,5 atm)과 달라, 본 실험 데이터의 측정 조건(0kPa 게이지압)과 CFD 데이터의 압력 기준점 간 정합성에 대한 추가 확인이 필요하다. 이 불일치의 원인 규명은 후속 연구의 중요한 선결 과제이다.</w:t>
      </w:r>
    </w:p>
    <w:p>
      <w:r>
        <w:br w:type="page"/>
      </w:r>
    </w:p>
    <w:p>
      <w:pPr>
        <w:pStyle w:val="Heading1"/>
        <w:spacing w:after="200" w:before="400"/>
      </w:pPr>
      <w:r>
        <w:rPr>
          <w:rFonts w:ascii="맑은 고딕" w:cs="맑은 고딕" w:eastAsia="맑은 고딕" w:hAnsi="맑은 고딕"/>
          <w:b/>
          <w:bCs/>
          <w:color w:val="1F3864"/>
          <w:sz w:val="32"/>
          <w:szCs w:val="32"/>
        </w:rPr>
        <w:t xml:space="preserve">7. 결론 및 향후 계획</w:t>
      </w:r>
    </w:p>
    <w:p>
      <w:pPr>
        <w:spacing w:after="160" w:line="300"/>
        <w:jc w:val="both"/>
      </w:pPr>
      <w:r>
        <w:rPr>
          <w:rFonts w:ascii="맑은 고딕" w:cs="맑은 고딕" w:eastAsia="맑은 고딕" w:hAnsi="맑은 고딕"/>
          <w:i w:val="false"/>
          <w:iCs w:val="false"/>
          <w:sz w:val="21"/>
          <w:szCs w:val="21"/>
        </w:rPr>
        <w:t xml:space="preserve">본 연구는 25 cm² PEMFC의 성능 예측을 위해, CFD 해석 데이터와 전기화학 물리 법칙을 결합한 물리 정보 신경망(PINN)을 설계하고, 이를 연구실 자체 실측 분극곡선 데이터로 검증하였다. 주요 결론은 다음과 같다.</w:t>
      </w:r>
    </w:p>
    <w:p>
      <w:pPr>
        <w:pStyle w:val="ListParagraph"/>
        <w:numPr>
          <w:ilvl w:val="0"/>
          <w:numId w:val="2"/>
        </w:numPr>
        <w:spacing w:after="90" w:line="280"/>
      </w:pPr>
      <w:r>
        <w:rPr>
          <w:rFonts w:ascii="맑은 고딕" w:cs="맑은 고딕" w:eastAsia="맑은 고딕" w:hAnsi="맑은 고딕"/>
          <w:sz w:val="21"/>
          <w:szCs w:val="21"/>
        </w:rPr>
        <w:t xml:space="preserve">PEMFC 분극곡선의 4항 반경험적 물리 모델(Nernst 전위, 활성화·옴·농도 손실)은 실측 데이터를 R²=0.9996 수준으로 매우 정확히 재현하며, 이는 본 연구의 물리 모델 선택이 타당함을 강하게 뒷받침한다.</w:t>
      </w:r>
    </w:p>
    <w:p>
      <w:pPr>
        <w:pStyle w:val="ListParagraph"/>
        <w:numPr>
          <w:ilvl w:val="0"/>
          <w:numId w:val="2"/>
        </w:numPr>
        <w:spacing w:after="90" w:line="280"/>
      </w:pPr>
      <w:r>
        <w:rPr>
          <w:rFonts w:ascii="맑은 고딕" w:cs="맑은 고딕" w:eastAsia="맑은 고딕" w:hAnsi="맑은 고딕"/>
          <w:sz w:val="21"/>
          <w:szCs w:val="21"/>
        </w:rPr>
        <w:t xml:space="preserve">물리 계수를 고차원 신경망이 아닌 저차원 물리적 함수형으로 파라미터화하고 실험값으로 앵커링하는 접근이, 소량 데이터에서의 안정적 학습에 효과적이다.</w:t>
      </w:r>
    </w:p>
    <w:p>
      <w:pPr>
        <w:pStyle w:val="ListParagraph"/>
        <w:numPr>
          <w:ilvl w:val="0"/>
          <w:numId w:val="2"/>
        </w:numPr>
        <w:spacing w:after="90" w:line="280"/>
      </w:pPr>
      <w:r>
        <w:rPr>
          <w:rFonts w:ascii="맑은 고딕" w:cs="맑은 고딕" w:eastAsia="맑은 고딕" w:hAnsi="맑은 고딕"/>
          <w:sz w:val="21"/>
          <w:szCs w:val="21"/>
        </w:rPr>
        <w:t xml:space="preserve">무작위 홀드아웃(보간) 평가에서는 트리 기반 앙상블(XGBoost)이 신경망 기반 PINN보다 표본 효율적이나, 이는 정형 데이터에서 일반적으로 알려진 현상으로 본 연구의 핵심 가설과 무관하다.</w:t>
      </w:r>
    </w:p>
    <w:p>
      <w:pPr>
        <w:pStyle w:val="ListParagraph"/>
        <w:numPr>
          <w:ilvl w:val="0"/>
          <w:numId w:val="2"/>
        </w:numPr>
        <w:spacing w:after="90" w:line="280"/>
      </w:pPr>
      <w:r>
        <w:rPr>
          <w:rFonts w:ascii="맑은 고딕" w:cs="맑은 고딕" w:eastAsia="맑은 고딕" w:hAnsi="맑은 고딕"/>
          <w:sz w:val="21"/>
          <w:szCs w:val="21"/>
        </w:rPr>
        <w:t xml:space="preserve">학습 범위를 벗어난 조건에 대한 외삽 평가(본 연구의 핵심 검증)에서, 전압 축을 벗어난 외삽에 대해 PINN이 XGBoost 대비 명확한 우위(R²=0.773 대 0.664)를 보여, 물리 제약이 CFD 미수행 조건에서의 예측 신뢰성 확보에 실질적으로 기여함을 확인하였다.</w:t>
      </w:r>
    </w:p>
    <w:p>
      <w:pPr>
        <w:pStyle w:val="ListParagraph"/>
        <w:numPr>
          <w:ilvl w:val="0"/>
          <w:numId w:val="2"/>
        </w:numPr>
        <w:spacing w:after="90" w:line="280"/>
      </w:pPr>
      <w:r>
        <w:rPr>
          <w:rFonts w:ascii="맑은 고딕" w:cs="맑은 고딕" w:eastAsia="맑은 고딕" w:hAnsi="맑은 고딕"/>
          <w:sz w:val="21"/>
          <w:szCs w:val="21"/>
        </w:rPr>
        <w:t xml:space="preserve">다만 온도·압력·습도·화학양론비 축의 외삽에서는 아직 개선이 필요하며, 그 원인은 해당 축에 대응하는 물리 계수 함수형(현재 Arrhenius/선형 근사)이 실제 비선형 물리(막 전도도의 습도 의존성 등)를 충분히 반영하지 못한 데 있는 것으로 분석된다.</w:t>
      </w:r>
    </w:p>
    <w:p>
      <w:pPr>
        <w:pStyle w:val="Heading2"/>
        <w:spacing w:after="150" w:before="300"/>
      </w:pPr>
      <w:r>
        <w:rPr>
          <w:rFonts w:ascii="맑은 고딕" w:cs="맑은 고딕" w:eastAsia="맑은 고딕" w:hAnsi="맑은 고딕"/>
          <w:b/>
          <w:bCs/>
          <w:color w:val="2E5395"/>
          <w:sz w:val="26"/>
          <w:szCs w:val="26"/>
        </w:rPr>
        <w:t xml:space="preserve">7.1 향후 계획</w:t>
      </w:r>
    </w:p>
    <w:p>
      <w:pPr>
        <w:pStyle w:val="ListParagraph"/>
        <w:numPr>
          <w:ilvl w:val="0"/>
          <w:numId w:val="2"/>
        </w:numPr>
        <w:spacing w:after="90" w:line="280"/>
      </w:pPr>
      <w:r>
        <w:rPr>
          <w:rFonts w:ascii="맑은 고딕" w:cs="맑은 고딕" w:eastAsia="맑은 고딕" w:hAnsi="맑은 고딕"/>
          <w:sz w:val="21"/>
          <w:szCs w:val="21"/>
        </w:rPr>
        <w:t xml:space="preserve">물리 계수 함수형 정교화: Springer 상관식 등 문헌 기반의 비선형 함수형을 R_ohm(T,RH), i_lim(P,S,RH)에 도입하여 6.3절에서 지적한 축별 외삽 성능 개선</w:t>
      </w:r>
    </w:p>
    <w:p>
      <w:pPr>
        <w:pStyle w:val="ListParagraph"/>
        <w:numPr>
          <w:ilvl w:val="0"/>
          <w:numId w:val="2"/>
        </w:numPr>
        <w:spacing w:after="90" w:line="280"/>
      </w:pPr>
      <w:r>
        <w:rPr>
          <w:rFonts w:ascii="맑은 고딕" w:cs="맑은 고딕" w:eastAsia="맑은 고딕" w:hAnsi="맑은 고딕"/>
          <w:sz w:val="21"/>
          <w:szCs w:val="21"/>
        </w:rPr>
        <w:t xml:space="preserve">CFD-실험 데이터 조건 정합성 재확인: 6.4절의 R_ohm 불일치 원인 규명</w:t>
      </w:r>
    </w:p>
    <w:p>
      <w:pPr>
        <w:pStyle w:val="ListParagraph"/>
        <w:numPr>
          <w:ilvl w:val="0"/>
          <w:numId w:val="2"/>
        </w:numPr>
        <w:spacing w:after="90" w:line="280"/>
      </w:pPr>
      <w:r>
        <w:rPr>
          <w:rFonts w:ascii="맑은 고딕" w:cs="맑은 고딕" w:eastAsia="맑은 고딕" w:hAnsi="맑은 고딕"/>
          <w:sz w:val="21"/>
          <w:szCs w:val="21"/>
        </w:rPr>
        <w:t xml:space="preserve">Phase 2 — DeepONet: 검증된 PINN으로 생성한 합성 데이터를 이용한 실시간 오퍼레이터 신경망 학습</w:t>
      </w:r>
    </w:p>
    <w:p>
      <w:pPr>
        <w:pStyle w:val="ListParagraph"/>
        <w:numPr>
          <w:ilvl w:val="0"/>
          <w:numId w:val="2"/>
        </w:numPr>
        <w:spacing w:after="90" w:line="280"/>
      </w:pPr>
      <w:r>
        <w:rPr>
          <w:rFonts w:ascii="맑은 고딕" w:cs="맑은 고딕" w:eastAsia="맑은 고딕" w:hAnsi="맑은 고딕"/>
          <w:sz w:val="21"/>
          <w:szCs w:val="21"/>
        </w:rPr>
        <w:t xml:space="preserve">Phase 3 — Unity 연동: Python 서빙 서버와 Unity 클라이언트를 통한 실시간 시각화</w:t>
      </w:r>
    </w:p>
    <w:p>
      <w:pPr>
        <w:pStyle w:val="ListParagraph"/>
        <w:numPr>
          <w:ilvl w:val="0"/>
          <w:numId w:val="2"/>
        </w:numPr>
        <w:spacing w:after="90" w:line="280"/>
      </w:pPr>
      <w:r>
        <w:rPr>
          <w:rFonts w:ascii="맑은 고딕" w:cs="맑은 고딕" w:eastAsia="맑은 고딕" w:hAnsi="맑은 고딕"/>
          <w:sz w:val="21"/>
          <w:szCs w:val="21"/>
        </w:rPr>
        <w:t xml:space="preserve">Phase 4 — 논문 작성 및 투고</w:t>
      </w:r>
    </w:p>
    <w:p>
      <w:r>
        <w:br w:type="page"/>
      </w:r>
    </w:p>
    <w:p>
      <w:pPr>
        <w:pStyle w:val="Heading1"/>
        <w:spacing w:after="200" w:before="400"/>
      </w:pPr>
      <w:r>
        <w:rPr>
          <w:rFonts w:ascii="맑은 고딕" w:cs="맑은 고딕" w:eastAsia="맑은 고딕" w:hAnsi="맑은 고딕"/>
          <w:b/>
          <w:bCs/>
          <w:color w:val="1F3864"/>
          <w:sz w:val="32"/>
          <w:szCs w:val="32"/>
        </w:rPr>
        <w:t xml:space="preserve">참고문헌</w:t>
      </w:r>
    </w:p>
    <w:p>
      <w:pPr>
        <w:spacing w:after="140" w:line="280"/>
        <w:ind w:left="400" w:hanging="400"/>
      </w:pPr>
      <w:r>
        <w:rPr>
          <w:rFonts w:ascii="맑은 고딕" w:cs="맑은 고딕" w:eastAsia="맑은 고딕" w:hAnsi="맑은 고딕"/>
          <w:sz w:val="20"/>
          <w:szCs w:val="20"/>
        </w:rPr>
        <w:t xml:space="preserve">[1] Amphlett, J.C., Baumert, R.M., Mann, R.F., Peppley, B.A., Roberge, P.R., Harris, T.J. (1995). Performance modeling of the Ballard Mark IV solid polymer electrolyte fuel cell. Journal of the Electrochemical Society, 142(1), 1-8.</w:t>
      </w:r>
    </w:p>
    <w:p>
      <w:pPr>
        <w:spacing w:after="140" w:line="280"/>
        <w:ind w:left="400" w:hanging="400"/>
      </w:pPr>
      <w:r>
        <w:rPr>
          <w:rFonts w:ascii="맑은 고딕" w:cs="맑은 고딕" w:eastAsia="맑은 고딕" w:hAnsi="맑은 고딕"/>
          <w:sz w:val="20"/>
          <w:szCs w:val="20"/>
        </w:rPr>
        <w:t xml:space="preserve">[2] Chen, T., Chen, H. (1995). Universal approximation to nonlinear operators by neural networks with arbitrary activation functions and its application to dynamical systems. IEEE Transactions on Neural Networks, 6(4), 911-917.</w:t>
      </w:r>
    </w:p>
    <w:p>
      <w:pPr>
        <w:spacing w:after="140" w:line="280"/>
        <w:ind w:left="400" w:hanging="400"/>
      </w:pPr>
      <w:r>
        <w:rPr>
          <w:rFonts w:ascii="맑은 고딕" w:cs="맑은 고딕" w:eastAsia="맑은 고딕" w:hAnsi="맑은 고딕"/>
          <w:sz w:val="20"/>
          <w:szCs w:val="20"/>
        </w:rPr>
        <w:t xml:space="preserve">[3] Grinsztajn, L., Oyallon, E., Varoquaux, G. (2022). Why do tree-based models still outperform deep learning on typical tabular data? Advances in Neural Information Processing Systems, 35.</w:t>
      </w:r>
    </w:p>
    <w:p>
      <w:pPr>
        <w:spacing w:after="140" w:line="280"/>
        <w:ind w:left="400" w:hanging="400"/>
      </w:pPr>
      <w:r>
        <w:rPr>
          <w:rFonts w:ascii="맑은 고딕" w:cs="맑은 고딕" w:eastAsia="맑은 고딕" w:hAnsi="맑은 고딕"/>
          <w:sz w:val="20"/>
          <w:szCs w:val="20"/>
        </w:rPr>
        <w:t xml:space="preserve">[4] Kim, J., Lee, S.M., Srinivasan, S., Chamberlin, C.E. (1995). Modeling of proton exchange membrane fuel cell performance with an empirical equation. Journal of the Electrochemical Society, 142(8), 2670-2674.</w:t>
      </w:r>
    </w:p>
    <w:p>
      <w:pPr>
        <w:spacing w:after="140" w:line="280"/>
        <w:ind w:left="400" w:hanging="400"/>
      </w:pPr>
      <w:r>
        <w:rPr>
          <w:rFonts w:ascii="맑은 고딕" w:cs="맑은 고딕" w:eastAsia="맑은 고딕" w:hAnsi="맑은 고딕"/>
          <w:sz w:val="20"/>
          <w:szCs w:val="20"/>
        </w:rPr>
        <w:t xml:space="preserve">[5] Larminie, J., Dicks, A. (2003). Fuel Cell Systems Explained (2nd ed.). John Wiley &amp; Sons.</w:t>
      </w:r>
    </w:p>
    <w:p>
      <w:pPr>
        <w:spacing w:after="140" w:line="280"/>
        <w:ind w:left="400" w:hanging="400"/>
      </w:pPr>
      <w:r>
        <w:rPr>
          <w:rFonts w:ascii="맑은 고딕" w:cs="맑은 고딕" w:eastAsia="맑은 고딕" w:hAnsi="맑은 고딕"/>
          <w:sz w:val="20"/>
          <w:szCs w:val="20"/>
        </w:rPr>
        <w:t xml:space="preserve">[6] Lu, L., Jin, P., Pang, G., Zhang, Z., Karniadakis, G.E. (2021). Learning nonlinear operators via DeepONet based on the universal approximation theorem of operators. Nature Machine Intelligence, 3(3), 218-229.</w:t>
      </w:r>
    </w:p>
    <w:p>
      <w:pPr>
        <w:spacing w:after="140" w:line="280"/>
        <w:ind w:left="400" w:hanging="400"/>
      </w:pPr>
      <w:r>
        <w:rPr>
          <w:rFonts w:ascii="맑은 고딕" w:cs="맑은 고딕" w:eastAsia="맑은 고딕" w:hAnsi="맑은 고딕"/>
          <w:sz w:val="20"/>
          <w:szCs w:val="20"/>
        </w:rPr>
        <w:t xml:space="preserve">[7] Ngo, C.T., Nguyen, B.H., Lee, W.T., Kim, H.C. (2025). Comparative analysis and evaluation of PEMFC machine learning surrogates by bridging CFD and experimental data. Journal of Industrial and Engineering Chemistry. https://doi.org/10.1016/j.jiec.2025.10.027</w:t>
      </w:r>
    </w:p>
    <w:p>
      <w:pPr>
        <w:spacing w:after="140" w:line="280"/>
        <w:ind w:left="400" w:hanging="400"/>
      </w:pPr>
      <w:r>
        <w:rPr>
          <w:rFonts w:ascii="맑은 고딕" w:cs="맑은 고딕" w:eastAsia="맑은 고딕" w:hAnsi="맑은 고딕"/>
          <w:sz w:val="20"/>
          <w:szCs w:val="20"/>
        </w:rPr>
        <w:t xml:space="preserve">[8] Raissi, M., Perdikaris, P., Karniadakis, G.E. (2019). Physics-informed neural networks: A deep learning framework for solving forward and inverse problems involving nonlinear partial differential equations. Journal of Computational Physics, 378, 686-707.</w:t>
      </w:r>
    </w:p>
    <w:p>
      <w:pPr>
        <w:spacing w:after="140" w:line="280"/>
        <w:ind w:left="400" w:hanging="400"/>
      </w:pPr>
      <w:r>
        <w:rPr>
          <w:rFonts w:ascii="맑은 고딕" w:cs="맑은 고딕" w:eastAsia="맑은 고딕" w:hAnsi="맑은 고딕"/>
          <w:sz w:val="20"/>
          <w:szCs w:val="20"/>
        </w:rPr>
        <w:t xml:space="preserve">[9] Springer, T.E., Zawodzinski, T.A., Gottesfeld, S. (1991). Polymer electrolyte fuel cell model. Journal of the Electrochemical Society, 138(8), 2334-2342.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맑은 고딕" w:cs="맑은 고딕" w:eastAsia="맑은 고딕" w:hAnsi="맑은 고딕"/>
    </w:rPr>
  </w:style>
  <w:style w:type="paragraph" w:styleId="Heading2">
    <w:name w:val="Heading 2"/>
    <w:basedOn w:val="Normal"/>
    <w:next w:val="Normal"/>
    <w:qFormat/>
    <w:rPr>
      <w:rFonts w:ascii="맑은 고딕" w:cs="맑은 고딕" w:eastAsia="맑은 고딕" w:hAnsi="맑은 고딕"/>
    </w:rPr>
  </w:style>
  <w:style w:type="paragraph" w:styleId="Heading3">
    <w:name w:val="Heading 3"/>
    <w:basedOn w:val="Normal"/>
    <w:next w:val="Normal"/>
    <w:qFormat/>
    <w:rPr>
      <w:rFonts w:ascii="맑은 고딕" w:cs="맑은 고딕" w:eastAsia="맑은 고딕" w:hAnsi="맑은 고딕"/>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cm² PEMFC 성능 예측을 위한 물리 정보 신경망(PINN) 기반 대리모델 연구</dc:title>
  <dc:creator>IMT &amp; PEMFC Lab</dc:creator>
  <cp:lastModifiedBy>Un-named</cp:lastModifiedBy>
  <cp:revision>1</cp:revision>
  <dcterms:created xsi:type="dcterms:W3CDTF">2026-07-28T10:10:17.698Z</dcterms:created>
  <dcterms:modified xsi:type="dcterms:W3CDTF">2026-07-28T10:10:17.699Z</dcterms:modified>
</cp:coreProperties>
</file>

<file path=docProps/custom.xml><?xml version="1.0" encoding="utf-8"?>
<Properties xmlns="http://schemas.openxmlformats.org/officeDocument/2006/custom-properties" xmlns:vt="http://schemas.openxmlformats.org/officeDocument/2006/docPropsVTypes"/>
</file>