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0F1" w:rsidRDefault="00871422" w:rsidP="00871422">
      <w:pPr>
        <w:pStyle w:val="FootnoteText"/>
        <w:jc w:val="center"/>
        <w:rPr>
          <w:b/>
          <w:bCs/>
          <w:sz w:val="28"/>
          <w:szCs w:val="28"/>
        </w:rPr>
      </w:pPr>
      <w:r w:rsidRPr="00871422">
        <w:rPr>
          <w:b/>
          <w:bCs/>
          <w:sz w:val="28"/>
          <w:szCs w:val="28"/>
        </w:rPr>
        <w:t xml:space="preserve">Challenges in </w:t>
      </w:r>
      <w:proofErr w:type="spellStart"/>
      <w:r w:rsidRPr="00871422">
        <w:rPr>
          <w:b/>
          <w:bCs/>
          <w:sz w:val="28"/>
          <w:szCs w:val="28"/>
        </w:rPr>
        <w:t>understanding</w:t>
      </w:r>
      <w:proofErr w:type="spellEnd"/>
      <w:r w:rsidRPr="00871422">
        <w:rPr>
          <w:b/>
          <w:bCs/>
          <w:sz w:val="28"/>
          <w:szCs w:val="28"/>
        </w:rPr>
        <w:t xml:space="preserve"> </w:t>
      </w:r>
      <w:proofErr w:type="spellStart"/>
      <w:r w:rsidRPr="00871422">
        <w:rPr>
          <w:b/>
          <w:bCs/>
          <w:sz w:val="28"/>
          <w:szCs w:val="28"/>
        </w:rPr>
        <w:t>meso-s</w:t>
      </w:r>
      <w:r>
        <w:rPr>
          <w:b/>
          <w:bCs/>
          <w:sz w:val="28"/>
          <w:szCs w:val="28"/>
        </w:rPr>
        <w:t>cale</w:t>
      </w:r>
      <w:proofErr w:type="spellEnd"/>
      <w:r>
        <w:rPr>
          <w:b/>
          <w:bCs/>
          <w:sz w:val="28"/>
          <w:szCs w:val="28"/>
        </w:rPr>
        <w:t xml:space="preserve"> </w:t>
      </w:r>
      <w:proofErr w:type="spellStart"/>
      <w:r>
        <w:rPr>
          <w:b/>
          <w:bCs/>
          <w:sz w:val="28"/>
          <w:szCs w:val="28"/>
        </w:rPr>
        <w:t>heterogeneity</w:t>
      </w:r>
      <w:proofErr w:type="spellEnd"/>
      <w:r>
        <w:rPr>
          <w:b/>
          <w:bCs/>
          <w:sz w:val="28"/>
          <w:szCs w:val="28"/>
        </w:rPr>
        <w:t xml:space="preserve"> </w:t>
      </w:r>
      <w:proofErr w:type="spellStart"/>
      <w:r>
        <w:rPr>
          <w:b/>
          <w:bCs/>
          <w:sz w:val="28"/>
          <w:szCs w:val="28"/>
        </w:rPr>
        <w:t>under</w:t>
      </w:r>
      <w:proofErr w:type="spellEnd"/>
      <w:r>
        <w:rPr>
          <w:b/>
          <w:bCs/>
          <w:sz w:val="28"/>
          <w:szCs w:val="28"/>
        </w:rPr>
        <w:t xml:space="preserve"> </w:t>
      </w:r>
      <w:proofErr w:type="spellStart"/>
      <w:r>
        <w:rPr>
          <w:b/>
          <w:bCs/>
          <w:sz w:val="28"/>
          <w:szCs w:val="28"/>
        </w:rPr>
        <w:t>shock</w:t>
      </w:r>
      <w:proofErr w:type="spellEnd"/>
      <w:r>
        <w:rPr>
          <w:b/>
          <w:bCs/>
          <w:sz w:val="28"/>
          <w:szCs w:val="28"/>
        </w:rPr>
        <w:t xml:space="preserve"> </w:t>
      </w:r>
      <w:r w:rsidRPr="00871422">
        <w:rPr>
          <w:b/>
          <w:bCs/>
          <w:sz w:val="28"/>
          <w:szCs w:val="28"/>
        </w:rPr>
        <w:t>compression</w:t>
      </w:r>
    </w:p>
    <w:p w:rsidR="007A5FEC" w:rsidRPr="007A58E1" w:rsidRDefault="007A5FEC" w:rsidP="00957A06">
      <w:pPr>
        <w:pStyle w:val="FootnoteText"/>
        <w:jc w:val="center"/>
        <w:rPr>
          <w:rFonts w:eastAsia="Times New Roman" w:cs="Times New Roman"/>
          <w:b/>
          <w:bCs/>
          <w:sz w:val="28"/>
          <w:szCs w:val="28"/>
          <w:lang w:val="en-US" w:eastAsia="fr-FR"/>
        </w:rPr>
      </w:pPr>
    </w:p>
    <w:p w:rsidR="005630F1" w:rsidRDefault="00871422" w:rsidP="00346F0F">
      <w:pPr>
        <w:jc w:val="center"/>
        <w:rPr>
          <w:rFonts w:cs="Times New Roman"/>
          <w:sz w:val="24"/>
          <w:szCs w:val="24"/>
          <w:lang w:val="fr-FR" w:eastAsia="fr-FR"/>
        </w:rPr>
      </w:pPr>
      <w:r w:rsidRPr="00871422">
        <w:rPr>
          <w:rFonts w:cs="Times New Roman"/>
          <w:sz w:val="24"/>
          <w:szCs w:val="24"/>
          <w:lang w:val="fr-FR" w:eastAsia="fr-FR"/>
        </w:rPr>
        <w:t>Manny Gonzales</w:t>
      </w:r>
    </w:p>
    <w:p w:rsidR="00871422" w:rsidRPr="005630F1" w:rsidRDefault="00871422" w:rsidP="00346F0F">
      <w:pPr>
        <w:jc w:val="center"/>
        <w:rPr>
          <w:rFonts w:cs="Times New Roman"/>
          <w:lang w:val="fr-FR"/>
        </w:rPr>
      </w:pPr>
    </w:p>
    <w:p w:rsidR="007A5FEC" w:rsidRDefault="00871422" w:rsidP="0019527D">
      <w:pPr>
        <w:rPr>
          <w:rFonts w:cs="Times New Roman"/>
        </w:rPr>
      </w:pPr>
      <w:proofErr w:type="spellStart"/>
      <w:r w:rsidRPr="00871422">
        <w:rPr>
          <w:rFonts w:cs="Times New Roman"/>
          <w:lang w:val="fr-FR" w:eastAsia="fr-FR"/>
        </w:rPr>
        <w:t>Materials</w:t>
      </w:r>
      <w:proofErr w:type="spellEnd"/>
      <w:r w:rsidRPr="00871422">
        <w:rPr>
          <w:rFonts w:cs="Times New Roman"/>
          <w:lang w:val="fr-FR" w:eastAsia="fr-FR"/>
        </w:rPr>
        <w:t xml:space="preserve"> and </w:t>
      </w:r>
      <w:proofErr w:type="spellStart"/>
      <w:r w:rsidRPr="00871422">
        <w:rPr>
          <w:rFonts w:cs="Times New Roman"/>
          <w:lang w:val="fr-FR" w:eastAsia="fr-FR"/>
        </w:rPr>
        <w:t>Manufacturing</w:t>
      </w:r>
      <w:proofErr w:type="spellEnd"/>
      <w:r w:rsidRPr="00871422">
        <w:rPr>
          <w:rFonts w:cs="Times New Roman"/>
          <w:lang w:val="fr-FR" w:eastAsia="fr-FR"/>
        </w:rPr>
        <w:t xml:space="preserve"> </w:t>
      </w:r>
      <w:proofErr w:type="spellStart"/>
      <w:r w:rsidRPr="00871422">
        <w:rPr>
          <w:rFonts w:cs="Times New Roman"/>
          <w:lang w:val="fr-FR" w:eastAsia="fr-FR"/>
        </w:rPr>
        <w:t>Directorate</w:t>
      </w:r>
      <w:proofErr w:type="spellEnd"/>
      <w:r>
        <w:rPr>
          <w:rFonts w:cs="Times New Roman"/>
          <w:lang w:val="fr-FR" w:eastAsia="fr-FR"/>
        </w:rPr>
        <w:t xml:space="preserve">, </w:t>
      </w:r>
      <w:r w:rsidRPr="00871422">
        <w:rPr>
          <w:rFonts w:cs="Times New Roman"/>
          <w:lang w:val="fr-FR" w:eastAsia="fr-FR"/>
        </w:rPr>
        <w:t xml:space="preserve"> Air Force </w:t>
      </w:r>
      <w:proofErr w:type="spellStart"/>
      <w:r w:rsidRPr="00871422">
        <w:rPr>
          <w:rFonts w:cs="Times New Roman"/>
          <w:lang w:val="fr-FR" w:eastAsia="fr-FR"/>
        </w:rPr>
        <w:t>Research</w:t>
      </w:r>
      <w:proofErr w:type="spellEnd"/>
      <w:r w:rsidRPr="00871422">
        <w:rPr>
          <w:rFonts w:cs="Times New Roman"/>
          <w:lang w:val="fr-FR" w:eastAsia="fr-FR"/>
        </w:rPr>
        <w:t xml:space="preserve"> </w:t>
      </w:r>
      <w:proofErr w:type="spellStart"/>
      <w:r w:rsidRPr="00871422">
        <w:rPr>
          <w:rFonts w:cs="Times New Roman"/>
          <w:lang w:val="fr-FR" w:eastAsia="fr-FR"/>
        </w:rPr>
        <w:t>Laboratory</w:t>
      </w:r>
      <w:proofErr w:type="spellEnd"/>
      <w:r>
        <w:rPr>
          <w:rFonts w:cs="Times New Roman"/>
          <w:lang w:val="fr-FR" w:eastAsia="fr-FR"/>
        </w:rPr>
        <w:t>, Wright Patterson,  OH, US</w:t>
      </w:r>
    </w:p>
    <w:p w:rsidR="007A5FEC" w:rsidRDefault="007A5FEC" w:rsidP="0019527D">
      <w:pPr>
        <w:rPr>
          <w:rFonts w:cs="Times New Roman"/>
        </w:rPr>
      </w:pPr>
    </w:p>
    <w:p w:rsidR="007A5FEC" w:rsidRPr="007A5FEC" w:rsidRDefault="007A5FEC" w:rsidP="0019527D">
      <w:pPr>
        <w:rPr>
          <w:rFonts w:cs="Times New Roman"/>
        </w:rPr>
      </w:pPr>
    </w:p>
    <w:p w:rsidR="00871422" w:rsidRDefault="00871422" w:rsidP="00871422">
      <w:pPr>
        <w:jc w:val="both"/>
      </w:pPr>
    </w:p>
    <w:p w:rsidR="00871422" w:rsidRDefault="00871422" w:rsidP="00871422">
      <w:pPr>
        <w:jc w:val="both"/>
      </w:pPr>
    </w:p>
    <w:p w:rsidR="00871422" w:rsidRDefault="00871422" w:rsidP="00871422">
      <w:pPr>
        <w:jc w:val="both"/>
      </w:pPr>
      <w:r>
        <w:t xml:space="preserve">The bulk response of heterogeneous materials to high-strain-rate loading conditions depends strongly on </w:t>
      </w:r>
      <w:proofErr w:type="spellStart"/>
      <w:r>
        <w:t>meso</w:t>
      </w:r>
      <w:proofErr w:type="spellEnd"/>
      <w:r>
        <w:t>-scale processes, mediated by the complexity of the microstructure. Multi-component, multi-phase reactive powder mixtures in particular can exhibit disparate size, shape, and morphology dis</w:t>
      </w:r>
      <w:bookmarkStart w:id="0" w:name="_GoBack"/>
      <w:bookmarkEnd w:id="0"/>
      <w:r>
        <w:t xml:space="preserve">tributions. These compacted mixtures are porous in nature, which further complicates the deformation phenomena. Shock compression of these mixtures can lead to localization, complex transport and mixing, and compaction phenomena which can manifest measurable signals </w:t>
      </w:r>
      <w:proofErr w:type="spellStart"/>
      <w:r>
        <w:t>capturable</w:t>
      </w:r>
      <w:proofErr w:type="spellEnd"/>
      <w:r>
        <w:t xml:space="preserve"> by conventional sensors such as PVDF stress gauges. However, these signals are di</w:t>
      </w:r>
      <w:r>
        <w:rPr>
          <w:rFonts w:ascii="Cambria Math" w:hAnsi="Cambria Math" w:cs="Cambria Math"/>
        </w:rPr>
        <w:t>ﬃ</w:t>
      </w:r>
      <w:r>
        <w:t>cult to interpret due to the combined effect of multiple physical processes a</w:t>
      </w:r>
      <w:r>
        <w:rPr>
          <w:rFonts w:ascii="Cambria Math" w:hAnsi="Cambria Math" w:cs="Cambria Math"/>
        </w:rPr>
        <w:t>ﬀ</w:t>
      </w:r>
      <w:r>
        <w:t xml:space="preserve">ecting the signal, especially if interpreting the signals to assess the shock-induced reactivity of the mixture. </w:t>
      </w:r>
    </w:p>
    <w:p w:rsidR="00871422" w:rsidRDefault="00871422" w:rsidP="00871422">
      <w:pPr>
        <w:jc w:val="both"/>
      </w:pPr>
    </w:p>
    <w:p w:rsidR="00DA3EEF" w:rsidRPr="007A58E1" w:rsidRDefault="00871422" w:rsidP="00871422">
      <w:pPr>
        <w:jc w:val="both"/>
        <w:rPr>
          <w:rFonts w:cs="Times New Roman"/>
        </w:rPr>
      </w:pPr>
      <w:r>
        <w:t xml:space="preserve">This talk provides an overview of the challenges in probing the shock response of reactive powder mixtures, and draws examples from the author’s work on </w:t>
      </w:r>
      <w:proofErr w:type="spellStart"/>
      <w:r>
        <w:t>Ti+B+Al</w:t>
      </w:r>
      <w:proofErr w:type="spellEnd"/>
      <w:r>
        <w:t xml:space="preserve"> mixtures. The compaction response of the mixture was found to be a critical variable in the shock-induced reactivity of the mixture. The e</w:t>
      </w:r>
      <w:r>
        <w:rPr>
          <w:rFonts w:ascii="Cambria Math" w:hAnsi="Cambria Math" w:cs="Cambria Math"/>
        </w:rPr>
        <w:t>ﬀ</w:t>
      </w:r>
      <w:r>
        <w:t xml:space="preserve">ect of extrinsic microstructural variables and the microstructural conﬁguration on the shock-induced reactivity will be discussed. The compaction and deformation phenomena are captured by </w:t>
      </w:r>
      <w:proofErr w:type="spellStart"/>
      <w:r>
        <w:t>meso</w:t>
      </w:r>
      <w:proofErr w:type="spellEnd"/>
      <w:r>
        <w:t xml:space="preserve">-scale simulations, and are compared with in-situ PVDF and VISAR measurements. A methodology is proposed to describe the uncertainties in the equation of state predicted from shock speed and interfacial material </w:t>
      </w:r>
      <w:proofErr w:type="spellStart"/>
      <w:r>
        <w:t>velocitiy</w:t>
      </w:r>
      <w:proofErr w:type="spellEnd"/>
      <w:r>
        <w:t xml:space="preserve"> measurements from PVDF stress gauges and VISAR probes. A review of current literature is also provided and suggestions of future experiments/simulation strategies to assess shock-induced reactivity are discussed.</w:t>
      </w: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48E" w:rsidRDefault="00BF448E" w:rsidP="00963A6A">
      <w:pPr>
        <w:spacing w:line="240" w:lineRule="auto"/>
      </w:pPr>
      <w:r>
        <w:separator/>
      </w:r>
    </w:p>
  </w:endnote>
  <w:endnote w:type="continuationSeparator" w:id="0">
    <w:p w:rsidR="00BF448E" w:rsidRDefault="00BF448E"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48E" w:rsidRDefault="00BF448E" w:rsidP="00963A6A">
      <w:pPr>
        <w:spacing w:line="240" w:lineRule="auto"/>
      </w:pPr>
      <w:r>
        <w:separator/>
      </w:r>
    </w:p>
  </w:footnote>
  <w:footnote w:type="continuationSeparator" w:id="0">
    <w:p w:rsidR="00BF448E" w:rsidRDefault="00BF448E"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9527D"/>
    <w:rsid w:val="002003B6"/>
    <w:rsid w:val="00346F0F"/>
    <w:rsid w:val="00371D95"/>
    <w:rsid w:val="003E18B4"/>
    <w:rsid w:val="00400D18"/>
    <w:rsid w:val="004057A7"/>
    <w:rsid w:val="004B49EA"/>
    <w:rsid w:val="005630F1"/>
    <w:rsid w:val="005C4A03"/>
    <w:rsid w:val="007A58E1"/>
    <w:rsid w:val="007A5FEC"/>
    <w:rsid w:val="00871422"/>
    <w:rsid w:val="008F7570"/>
    <w:rsid w:val="00957A06"/>
    <w:rsid w:val="00963A6A"/>
    <w:rsid w:val="00A84E6B"/>
    <w:rsid w:val="00AC4075"/>
    <w:rsid w:val="00BF448E"/>
    <w:rsid w:val="00C47E4D"/>
    <w:rsid w:val="00C965F0"/>
    <w:rsid w:val="00CE558C"/>
    <w:rsid w:val="00D3528E"/>
    <w:rsid w:val="00D669E4"/>
    <w:rsid w:val="00DA3EEF"/>
    <w:rsid w:val="00DC3E04"/>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1971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4</cp:revision>
  <cp:lastPrinted>2017-01-29T00:43:00Z</cp:lastPrinted>
  <dcterms:created xsi:type="dcterms:W3CDTF">2017-01-29T00:48:00Z</dcterms:created>
  <dcterms:modified xsi:type="dcterms:W3CDTF">2017-02-06T17:17:00Z</dcterms:modified>
</cp:coreProperties>
</file>