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6EA1" w:rsidRDefault="000E6EA1" w:rsidP="000E6EA1">
      <w:pPr>
        <w:pStyle w:val="Heading2"/>
        <w:spacing w:after="240"/>
        <w:jc w:val="center"/>
        <w:textAlignment w:val="baseline"/>
        <w:rPr>
          <w:sz w:val="28"/>
          <w:szCs w:val="28"/>
          <w:lang w:val="en-GB"/>
        </w:rPr>
      </w:pPr>
      <w:r w:rsidRPr="000E6EA1">
        <w:rPr>
          <w:sz w:val="28"/>
          <w:szCs w:val="28"/>
          <w:lang w:val="en-GB"/>
        </w:rPr>
        <w:t>Dynamic fragmentation under laser driven shock loading</w:t>
      </w:r>
      <w:r w:rsidRPr="00294437">
        <w:rPr>
          <w:sz w:val="28"/>
          <w:szCs w:val="28"/>
          <w:lang w:val="en-GB"/>
        </w:rPr>
        <w:t>s</w:t>
      </w:r>
    </w:p>
    <w:p w:rsidR="000E6EA1" w:rsidRDefault="000E6EA1" w:rsidP="000E6EA1">
      <w:pPr>
        <w:pStyle w:val="FootnoteText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fr-FR"/>
        </w:rPr>
      </w:pPr>
      <w:r w:rsidRPr="000E6EA1">
        <w:rPr>
          <w:rFonts w:ascii="Times New Roman" w:eastAsia="Times New Roman" w:hAnsi="Times New Roman" w:cs="Times New Roman"/>
          <w:bCs/>
          <w:sz w:val="24"/>
          <w:szCs w:val="24"/>
          <w:lang w:eastAsia="fr-FR"/>
        </w:rPr>
        <w:t>T. de Rességuier</w:t>
      </w:r>
      <w:r w:rsidRPr="000E6EA1">
        <w:rPr>
          <w:rFonts w:ascii="Times New Roman" w:eastAsia="Times New Roman" w:hAnsi="Times New Roman" w:cs="Times New Roman"/>
          <w:bCs/>
          <w:sz w:val="24"/>
          <w:szCs w:val="24"/>
          <w:vertAlign w:val="superscript"/>
          <w:lang w:eastAsia="fr-FR"/>
        </w:rPr>
        <w:t>1</w:t>
      </w:r>
      <w:r w:rsidRPr="000E6EA1">
        <w:rPr>
          <w:rFonts w:ascii="Times New Roman" w:eastAsia="Times New Roman" w:hAnsi="Times New Roman" w:cs="Times New Roman"/>
          <w:bCs/>
          <w:sz w:val="24"/>
          <w:szCs w:val="24"/>
          <w:lang w:eastAsia="fr-FR"/>
        </w:rPr>
        <w:t>, E. Lescoute</w:t>
      </w:r>
      <w:r w:rsidRPr="000E6EA1">
        <w:rPr>
          <w:rFonts w:ascii="Times New Roman" w:eastAsia="Times New Roman" w:hAnsi="Times New Roman" w:cs="Times New Roman"/>
          <w:bCs/>
          <w:sz w:val="24"/>
          <w:szCs w:val="24"/>
          <w:vertAlign w:val="superscript"/>
          <w:lang w:eastAsia="fr-FR"/>
        </w:rPr>
        <w:t>2</w:t>
      </w:r>
      <w:r w:rsidRPr="000E6EA1">
        <w:rPr>
          <w:rFonts w:ascii="Times New Roman" w:eastAsia="Times New Roman" w:hAnsi="Times New Roman" w:cs="Times New Roman"/>
          <w:bCs/>
          <w:sz w:val="24"/>
          <w:szCs w:val="24"/>
          <w:lang w:eastAsia="fr-FR"/>
        </w:rPr>
        <w:t>, D. Loison</w:t>
      </w:r>
      <w:r w:rsidRPr="000E6EA1">
        <w:rPr>
          <w:rFonts w:ascii="Times New Roman" w:eastAsia="Times New Roman" w:hAnsi="Times New Roman" w:cs="Times New Roman"/>
          <w:bCs/>
          <w:sz w:val="24"/>
          <w:szCs w:val="24"/>
          <w:vertAlign w:val="superscript"/>
          <w:lang w:eastAsia="fr-FR"/>
        </w:rPr>
        <w:t>3</w:t>
      </w:r>
      <w:r w:rsidRPr="000E6EA1">
        <w:rPr>
          <w:rFonts w:ascii="Times New Roman" w:eastAsia="Times New Roman" w:hAnsi="Times New Roman" w:cs="Times New Roman"/>
          <w:bCs/>
          <w:sz w:val="24"/>
          <w:szCs w:val="24"/>
          <w:lang w:eastAsia="fr-FR"/>
        </w:rPr>
        <w:t>, C. Roland</w:t>
      </w:r>
      <w:r w:rsidRPr="000E6EA1">
        <w:rPr>
          <w:rFonts w:ascii="Times New Roman" w:eastAsia="Times New Roman" w:hAnsi="Times New Roman" w:cs="Times New Roman"/>
          <w:bCs/>
          <w:sz w:val="24"/>
          <w:szCs w:val="24"/>
          <w:vertAlign w:val="superscript"/>
          <w:lang w:eastAsia="fr-FR"/>
        </w:rPr>
        <w:t>1</w:t>
      </w:r>
      <w:r w:rsidRPr="000E6EA1">
        <w:rPr>
          <w:rFonts w:ascii="Times New Roman" w:eastAsia="Times New Roman" w:hAnsi="Times New Roman" w:cs="Times New Roman"/>
          <w:bCs/>
          <w:sz w:val="24"/>
          <w:szCs w:val="24"/>
          <w:lang w:eastAsia="fr-FR"/>
        </w:rPr>
        <w:t>, A. Sollier</w:t>
      </w:r>
      <w:r w:rsidRPr="000E6EA1">
        <w:rPr>
          <w:rFonts w:ascii="Times New Roman" w:eastAsia="Times New Roman" w:hAnsi="Times New Roman" w:cs="Times New Roman"/>
          <w:bCs/>
          <w:sz w:val="24"/>
          <w:szCs w:val="24"/>
          <w:vertAlign w:val="superscript"/>
          <w:lang w:eastAsia="fr-FR"/>
        </w:rPr>
        <w:t>2</w:t>
      </w:r>
      <w:r w:rsidRPr="000E6EA1">
        <w:rPr>
          <w:rFonts w:ascii="Times New Roman" w:eastAsia="Times New Roman" w:hAnsi="Times New Roman" w:cs="Times New Roman"/>
          <w:bCs/>
          <w:sz w:val="24"/>
          <w:szCs w:val="24"/>
          <w:lang w:eastAsia="fr-FR"/>
        </w:rPr>
        <w:t>, L. Soulard</w:t>
      </w:r>
      <w:r w:rsidRPr="000E6EA1">
        <w:rPr>
          <w:rFonts w:ascii="Times New Roman" w:eastAsia="Times New Roman" w:hAnsi="Times New Roman" w:cs="Times New Roman"/>
          <w:bCs/>
          <w:sz w:val="24"/>
          <w:szCs w:val="24"/>
          <w:vertAlign w:val="superscript"/>
          <w:lang w:eastAsia="fr-FR"/>
        </w:rPr>
        <w:t>2</w:t>
      </w:r>
      <w:r w:rsidRPr="000E6EA1">
        <w:rPr>
          <w:rFonts w:ascii="Times New Roman" w:eastAsia="Times New Roman" w:hAnsi="Times New Roman" w:cs="Times New Roman"/>
          <w:bCs/>
          <w:sz w:val="24"/>
          <w:szCs w:val="24"/>
          <w:lang w:eastAsia="fr-FR"/>
        </w:rPr>
        <w:t>, G. Prudhomme</w:t>
      </w:r>
      <w:r w:rsidRPr="000E6EA1">
        <w:rPr>
          <w:rFonts w:ascii="Times New Roman" w:eastAsia="Times New Roman" w:hAnsi="Times New Roman" w:cs="Times New Roman"/>
          <w:bCs/>
          <w:sz w:val="24"/>
          <w:szCs w:val="24"/>
          <w:vertAlign w:val="superscript"/>
          <w:lang w:eastAsia="fr-FR"/>
        </w:rPr>
        <w:t>2</w:t>
      </w:r>
      <w:r w:rsidRPr="000E6EA1">
        <w:rPr>
          <w:rFonts w:ascii="Times New Roman" w:eastAsia="Times New Roman" w:hAnsi="Times New Roman" w:cs="Times New Roman"/>
          <w:bCs/>
          <w:sz w:val="24"/>
          <w:szCs w:val="24"/>
          <w:lang w:eastAsia="fr-FR"/>
        </w:rPr>
        <w:t>, P. Mercier</w:t>
      </w:r>
      <w:r w:rsidRPr="000E6EA1">
        <w:rPr>
          <w:rFonts w:ascii="Times New Roman" w:eastAsia="Times New Roman" w:hAnsi="Times New Roman" w:cs="Times New Roman"/>
          <w:bCs/>
          <w:sz w:val="24"/>
          <w:szCs w:val="24"/>
          <w:vertAlign w:val="superscript"/>
          <w:lang w:eastAsia="fr-FR"/>
        </w:rPr>
        <w:t>2</w:t>
      </w:r>
      <w:r w:rsidRPr="000E6EA1">
        <w:rPr>
          <w:rFonts w:ascii="Times New Roman" w:eastAsia="Times New Roman" w:hAnsi="Times New Roman" w:cs="Times New Roman"/>
          <w:bCs/>
          <w:sz w:val="24"/>
          <w:szCs w:val="24"/>
          <w:lang w:eastAsia="fr-FR"/>
        </w:rPr>
        <w:t>, L. Signor</w:t>
      </w:r>
      <w:r w:rsidRPr="000E6EA1">
        <w:rPr>
          <w:rFonts w:ascii="Times New Roman" w:eastAsia="Times New Roman" w:hAnsi="Times New Roman" w:cs="Times New Roman"/>
          <w:bCs/>
          <w:sz w:val="24"/>
          <w:szCs w:val="24"/>
          <w:vertAlign w:val="superscript"/>
          <w:lang w:eastAsia="fr-FR"/>
        </w:rPr>
        <w:t>1</w:t>
      </w:r>
      <w:r w:rsidRPr="000E6EA1">
        <w:rPr>
          <w:rFonts w:ascii="Times New Roman" w:eastAsia="Times New Roman" w:hAnsi="Times New Roman" w:cs="Times New Roman"/>
          <w:bCs/>
          <w:sz w:val="24"/>
          <w:szCs w:val="24"/>
          <w:lang w:eastAsia="fr-FR"/>
        </w:rPr>
        <w:t>, A. Dragon</w:t>
      </w:r>
      <w:r w:rsidRPr="000E6EA1">
        <w:rPr>
          <w:rFonts w:ascii="Times New Roman" w:eastAsia="Times New Roman" w:hAnsi="Times New Roman" w:cs="Times New Roman"/>
          <w:bCs/>
          <w:sz w:val="24"/>
          <w:szCs w:val="24"/>
          <w:vertAlign w:val="superscript"/>
          <w:lang w:eastAsia="fr-FR"/>
        </w:rPr>
        <w:t>1</w:t>
      </w:r>
    </w:p>
    <w:p w:rsidR="000E6EA1" w:rsidRDefault="000E6EA1" w:rsidP="00963A6A">
      <w:pPr>
        <w:pStyle w:val="FootnoteText"/>
        <w:rPr>
          <w:rFonts w:ascii="Times New Roman" w:eastAsia="Times New Roman" w:hAnsi="Times New Roman" w:cs="Times New Roman"/>
          <w:bCs/>
          <w:sz w:val="24"/>
          <w:szCs w:val="24"/>
          <w:lang w:eastAsia="fr-FR"/>
        </w:rPr>
      </w:pPr>
    </w:p>
    <w:p w:rsidR="00963A6A" w:rsidRPr="00963A6A" w:rsidRDefault="00963A6A" w:rsidP="000E6EA1">
      <w:pPr>
        <w:pStyle w:val="FootnoteText"/>
        <w:rPr>
          <w:rFonts w:ascii="Times New Roman" w:hAnsi="Times New Roman" w:cs="Times New Roman"/>
          <w:sz w:val="22"/>
          <w:szCs w:val="22"/>
        </w:rPr>
      </w:pPr>
      <w:r w:rsidRPr="00963A6A">
        <w:rPr>
          <w:rFonts w:ascii="Times New Roman" w:hAnsi="Times New Roman" w:cs="Times New Roman"/>
          <w:sz w:val="22"/>
          <w:szCs w:val="22"/>
          <w:vertAlign w:val="superscript"/>
        </w:rPr>
        <w:t>1</w:t>
      </w:r>
      <w:r>
        <w:rPr>
          <w:rFonts w:ascii="Times New Roman" w:hAnsi="Times New Roman" w:cs="Times New Roman"/>
          <w:sz w:val="22"/>
          <w:szCs w:val="22"/>
          <w:vertAlign w:val="superscript"/>
        </w:rPr>
        <w:t xml:space="preserve"> </w:t>
      </w:r>
      <w:r w:rsidR="000E6EA1" w:rsidRPr="000E6EA1">
        <w:rPr>
          <w:rFonts w:ascii="Times New Roman" w:hAnsi="Times New Roman" w:cs="Times New Roman"/>
          <w:sz w:val="22"/>
          <w:szCs w:val="22"/>
        </w:rPr>
        <w:t xml:space="preserve">Institut </w:t>
      </w:r>
      <w:proofErr w:type="spellStart"/>
      <w:r w:rsidR="000E6EA1" w:rsidRPr="000E6EA1">
        <w:rPr>
          <w:rFonts w:ascii="Times New Roman" w:hAnsi="Times New Roman" w:cs="Times New Roman"/>
          <w:sz w:val="22"/>
          <w:szCs w:val="22"/>
        </w:rPr>
        <w:t>Pprime</w:t>
      </w:r>
      <w:proofErr w:type="spellEnd"/>
      <w:r w:rsidR="000E6EA1" w:rsidRPr="000E6EA1">
        <w:rPr>
          <w:rFonts w:ascii="Times New Roman" w:hAnsi="Times New Roman" w:cs="Times New Roman"/>
          <w:sz w:val="22"/>
          <w:szCs w:val="22"/>
        </w:rPr>
        <w:t xml:space="preserve">, CNRS, ENSMA, </w:t>
      </w:r>
      <w:proofErr w:type="spellStart"/>
      <w:r w:rsidR="000E6EA1" w:rsidRPr="000E6EA1">
        <w:rPr>
          <w:rFonts w:ascii="Times New Roman" w:hAnsi="Times New Roman" w:cs="Times New Roman"/>
          <w:sz w:val="22"/>
          <w:szCs w:val="22"/>
        </w:rPr>
        <w:t>Univ</w:t>
      </w:r>
      <w:proofErr w:type="spellEnd"/>
      <w:r w:rsidR="000E6EA1" w:rsidRPr="000E6EA1">
        <w:rPr>
          <w:rFonts w:ascii="Times New Roman" w:hAnsi="Times New Roman" w:cs="Times New Roman"/>
          <w:sz w:val="22"/>
          <w:szCs w:val="22"/>
        </w:rPr>
        <w:t>. Poitiers, 1 av. Clément Ader, 86960 Futuroscope, France</w:t>
      </w:r>
    </w:p>
    <w:p w:rsidR="000E6EA1" w:rsidRPr="000E6EA1" w:rsidRDefault="00963A6A" w:rsidP="000E6EA1">
      <w:pPr>
        <w:spacing w:line="240" w:lineRule="auto"/>
        <w:rPr>
          <w:rFonts w:ascii="Times New Roman" w:hAnsi="Times New Roman" w:cs="Times New Roman"/>
        </w:rPr>
      </w:pPr>
      <w:r w:rsidRPr="00963A6A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  <w:vertAlign w:val="superscript"/>
        </w:rPr>
        <w:t xml:space="preserve"> </w:t>
      </w:r>
      <w:r w:rsidR="000E6EA1" w:rsidRPr="000E6EA1">
        <w:rPr>
          <w:rFonts w:ascii="Times New Roman" w:hAnsi="Times New Roman" w:cs="Times New Roman"/>
        </w:rPr>
        <w:t xml:space="preserve">CEA, DAM, DIF, 91297 </w:t>
      </w:r>
      <w:proofErr w:type="spellStart"/>
      <w:r w:rsidR="000E6EA1" w:rsidRPr="000E6EA1">
        <w:rPr>
          <w:rFonts w:ascii="Times New Roman" w:hAnsi="Times New Roman" w:cs="Times New Roman"/>
        </w:rPr>
        <w:t>Arpajon</w:t>
      </w:r>
      <w:proofErr w:type="spellEnd"/>
      <w:r w:rsidR="000E6EA1" w:rsidRPr="000E6EA1">
        <w:rPr>
          <w:rFonts w:ascii="Times New Roman" w:hAnsi="Times New Roman" w:cs="Times New Roman"/>
        </w:rPr>
        <w:t>, France</w:t>
      </w:r>
      <w:r w:rsidR="000E6EA1">
        <w:rPr>
          <w:rFonts w:ascii="Times New Roman" w:hAnsi="Times New Roman" w:cs="Times New Roman"/>
        </w:rPr>
        <w:br/>
      </w:r>
      <w:r w:rsidR="000E6EA1" w:rsidRPr="000E6EA1">
        <w:rPr>
          <w:rFonts w:ascii="Times New Roman" w:hAnsi="Times New Roman" w:cs="Times New Roman"/>
          <w:vertAlign w:val="superscript"/>
        </w:rPr>
        <w:t>3</w:t>
      </w:r>
      <w:r w:rsidR="000E6EA1" w:rsidRPr="000E6EA1">
        <w:rPr>
          <w:rFonts w:ascii="Times New Roman" w:hAnsi="Times New Roman" w:cs="Times New Roman"/>
          <w:lang w:val="de-DE"/>
        </w:rPr>
        <w:t>IPR, CNRS, Univ. Rennes 1, 35042 Rennes, France</w:t>
      </w:r>
    </w:p>
    <w:p w:rsidR="000E6EA1" w:rsidRDefault="000E6EA1" w:rsidP="000E6EA1">
      <w:pPr>
        <w:pStyle w:val="Heading2"/>
        <w:spacing w:after="240"/>
        <w:jc w:val="both"/>
        <w:textAlignment w:val="baseline"/>
        <w:rPr>
          <w:b w:val="0"/>
          <w:sz w:val="22"/>
          <w:szCs w:val="22"/>
          <w:lang w:val="en-GB"/>
        </w:rPr>
      </w:pPr>
      <w:bookmarkStart w:id="0" w:name="_GoBack"/>
      <w:bookmarkEnd w:id="0"/>
    </w:p>
    <w:p w:rsidR="000E6EA1" w:rsidRDefault="000E6EA1" w:rsidP="000E6EA1">
      <w:pPr>
        <w:pStyle w:val="Heading2"/>
        <w:spacing w:after="240"/>
        <w:jc w:val="both"/>
        <w:textAlignment w:val="baseline"/>
        <w:rPr>
          <w:b w:val="0"/>
          <w:sz w:val="22"/>
          <w:szCs w:val="22"/>
          <w:lang w:val="en-GB"/>
        </w:rPr>
      </w:pPr>
    </w:p>
    <w:p w:rsidR="000E6EA1" w:rsidRDefault="000E6EA1" w:rsidP="000E6EA1">
      <w:pPr>
        <w:pStyle w:val="Heading2"/>
        <w:spacing w:after="240"/>
        <w:jc w:val="both"/>
        <w:textAlignment w:val="baseline"/>
        <w:rPr>
          <w:b w:val="0"/>
          <w:sz w:val="22"/>
          <w:szCs w:val="22"/>
          <w:lang w:val="en-GB"/>
        </w:rPr>
      </w:pPr>
    </w:p>
    <w:p w:rsidR="00963A6A" w:rsidRPr="00963A6A" w:rsidRDefault="000E6EA1" w:rsidP="000E6EA1">
      <w:pPr>
        <w:pStyle w:val="Heading2"/>
        <w:spacing w:after="240"/>
        <w:jc w:val="both"/>
        <w:textAlignment w:val="baseline"/>
      </w:pPr>
      <w:r w:rsidRPr="000E6EA1">
        <w:rPr>
          <w:b w:val="0"/>
          <w:sz w:val="22"/>
          <w:szCs w:val="22"/>
          <w:lang w:val="en-GB"/>
        </w:rPr>
        <w:t xml:space="preserve">The fragments ejected from metallic shells subjected to intense laser irradiation are a major concern for the design of the experiments to be performed in large scale laser facilities such as the National Ignition Facility in the USA or the Laser </w:t>
      </w:r>
      <w:proofErr w:type="spellStart"/>
      <w:r w:rsidRPr="000E6EA1">
        <w:rPr>
          <w:b w:val="0"/>
          <w:sz w:val="22"/>
          <w:szCs w:val="22"/>
          <w:lang w:val="en-GB"/>
        </w:rPr>
        <w:t>MégaJoule</w:t>
      </w:r>
      <w:proofErr w:type="spellEnd"/>
      <w:r w:rsidRPr="000E6EA1">
        <w:rPr>
          <w:b w:val="0"/>
          <w:sz w:val="22"/>
          <w:szCs w:val="22"/>
          <w:lang w:val="en-GB"/>
        </w:rPr>
        <w:t xml:space="preserve"> in France. More generally, the ability to anticipate the debris resulting from shock-induced fragmentation and their ballistic properties is a crucial safety issue in many fields, including pyrotechnics. Depending on surface roughness, sample thickness and shock pressure, the main processes governing fragment generation are </w:t>
      </w:r>
      <w:proofErr w:type="spellStart"/>
      <w:r w:rsidRPr="000E6EA1">
        <w:rPr>
          <w:b w:val="0"/>
          <w:sz w:val="22"/>
          <w:szCs w:val="22"/>
          <w:lang w:val="en-GB"/>
        </w:rPr>
        <w:t>microjetting</w:t>
      </w:r>
      <w:proofErr w:type="spellEnd"/>
      <w:r w:rsidRPr="000E6EA1">
        <w:rPr>
          <w:b w:val="0"/>
          <w:sz w:val="22"/>
          <w:szCs w:val="22"/>
          <w:lang w:val="en-GB"/>
        </w:rPr>
        <w:t xml:space="preserve"> (production of ~</w:t>
      </w:r>
      <w:proofErr w:type="spellStart"/>
      <w:r w:rsidRPr="000E6EA1">
        <w:rPr>
          <w:b w:val="0"/>
          <w:sz w:val="22"/>
          <w:szCs w:val="22"/>
          <w:lang w:val="en-GB"/>
        </w:rPr>
        <w:t>μm</w:t>
      </w:r>
      <w:proofErr w:type="spellEnd"/>
      <w:r w:rsidRPr="000E6EA1">
        <w:rPr>
          <w:b w:val="0"/>
          <w:sz w:val="22"/>
          <w:szCs w:val="22"/>
          <w:lang w:val="en-GB"/>
        </w:rPr>
        <w:t xml:space="preserve">-scale ejecta upon shock breakout from geometrical defects such as pits or grooves), spall fracture in solid state, </w:t>
      </w:r>
      <w:proofErr w:type="spellStart"/>
      <w:r w:rsidRPr="000E6EA1">
        <w:rPr>
          <w:b w:val="0"/>
          <w:sz w:val="22"/>
          <w:szCs w:val="22"/>
          <w:lang w:val="en-GB"/>
        </w:rPr>
        <w:t>microspalling</w:t>
      </w:r>
      <w:proofErr w:type="spellEnd"/>
      <w:r w:rsidRPr="000E6EA1">
        <w:rPr>
          <w:b w:val="0"/>
          <w:sz w:val="22"/>
          <w:szCs w:val="22"/>
          <w:lang w:val="en-GB"/>
        </w:rPr>
        <w:t xml:space="preserve"> in (partially or fully) liquid state after shock-induced melting, and dynamic punching. Laser driven shocks can be used to investigate these processes over ranges of very high strain rates (~107 s-1), high loading pressures, small spatial scales and very short durations of pressure application (ns-order). Besides, they allow easier sample recovery than the more conventional shock loading techniques based on explosives or plate impacts. We will present an overview of recent experimental work on </w:t>
      </w:r>
      <w:proofErr w:type="spellStart"/>
      <w:r w:rsidRPr="000E6EA1">
        <w:rPr>
          <w:b w:val="0"/>
          <w:sz w:val="22"/>
          <w:szCs w:val="22"/>
          <w:lang w:val="en-GB"/>
        </w:rPr>
        <w:t>microjetting</w:t>
      </w:r>
      <w:proofErr w:type="spellEnd"/>
      <w:r w:rsidRPr="000E6EA1">
        <w:rPr>
          <w:b w:val="0"/>
          <w:sz w:val="22"/>
          <w:szCs w:val="22"/>
          <w:lang w:val="en-GB"/>
        </w:rPr>
        <w:t xml:space="preserve">, spall fracture and </w:t>
      </w:r>
      <w:proofErr w:type="spellStart"/>
      <w:r w:rsidRPr="000E6EA1">
        <w:rPr>
          <w:b w:val="0"/>
          <w:sz w:val="22"/>
          <w:szCs w:val="22"/>
          <w:lang w:val="en-GB"/>
        </w:rPr>
        <w:t>microspall</w:t>
      </w:r>
      <w:proofErr w:type="spellEnd"/>
      <w:r w:rsidRPr="000E6EA1">
        <w:rPr>
          <w:b w:val="0"/>
          <w:sz w:val="22"/>
          <w:szCs w:val="22"/>
          <w:lang w:val="en-GB"/>
        </w:rPr>
        <w:t xml:space="preserve">, involving complementary techniques including fast transverse </w:t>
      </w:r>
      <w:proofErr w:type="spellStart"/>
      <w:r w:rsidRPr="000E6EA1">
        <w:rPr>
          <w:b w:val="0"/>
          <w:sz w:val="22"/>
          <w:szCs w:val="22"/>
          <w:lang w:val="en-GB"/>
        </w:rPr>
        <w:t>shadowgraphy</w:t>
      </w:r>
      <w:proofErr w:type="spellEnd"/>
      <w:r w:rsidRPr="000E6EA1">
        <w:rPr>
          <w:b w:val="0"/>
          <w:sz w:val="22"/>
          <w:szCs w:val="22"/>
          <w:lang w:val="en-GB"/>
        </w:rPr>
        <w:t>, time-resolved velocimetry, ultrafast in-situ radiography, and post-recovery analyses of both sample and ejecta. Related modelling efforts will be illustrated more briefly.</w:t>
      </w:r>
    </w:p>
    <w:sectPr w:rsidR="00963A6A" w:rsidRPr="00963A6A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44C6F" w:rsidRDefault="00044C6F" w:rsidP="00963A6A">
      <w:pPr>
        <w:spacing w:after="0" w:line="240" w:lineRule="auto"/>
      </w:pPr>
      <w:r>
        <w:separator/>
      </w:r>
    </w:p>
  </w:endnote>
  <w:endnote w:type="continuationSeparator" w:id="0">
    <w:p w:rsidR="00044C6F" w:rsidRDefault="00044C6F" w:rsidP="00963A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44C6F" w:rsidRDefault="00044C6F" w:rsidP="00963A6A">
      <w:pPr>
        <w:spacing w:after="0" w:line="240" w:lineRule="auto"/>
      </w:pPr>
      <w:r>
        <w:separator/>
      </w:r>
    </w:p>
  </w:footnote>
  <w:footnote w:type="continuationSeparator" w:id="0">
    <w:p w:rsidR="00044C6F" w:rsidRDefault="00044C6F" w:rsidP="00963A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3A6A" w:rsidRPr="00963A6A" w:rsidRDefault="00963A6A" w:rsidP="00963A6A">
    <w:pPr>
      <w:pStyle w:val="Header"/>
      <w:pBdr>
        <w:bottom w:val="single" w:sz="4" w:space="1" w:color="auto"/>
      </w:pBdr>
      <w:jc w:val="right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 xml:space="preserve">ICACM 2017 Symposium – 17-19 May 2017 – Ft Walton Beach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0029"/>
    <w:rsid w:val="00044C6F"/>
    <w:rsid w:val="000C5E0F"/>
    <w:rsid w:val="000E6EA1"/>
    <w:rsid w:val="00371D95"/>
    <w:rsid w:val="003E18B4"/>
    <w:rsid w:val="004B49EA"/>
    <w:rsid w:val="008F7570"/>
    <w:rsid w:val="00963A6A"/>
    <w:rsid w:val="00A84E6B"/>
    <w:rsid w:val="00C47E4D"/>
    <w:rsid w:val="00D669E4"/>
    <w:rsid w:val="00FE0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63A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fr-FR"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63A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3A6A"/>
  </w:style>
  <w:style w:type="paragraph" w:styleId="Footer">
    <w:name w:val="footer"/>
    <w:basedOn w:val="Normal"/>
    <w:link w:val="FooterChar"/>
    <w:uiPriority w:val="99"/>
    <w:unhideWhenUsed/>
    <w:rsid w:val="00963A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3A6A"/>
  </w:style>
  <w:style w:type="paragraph" w:styleId="BalloonText">
    <w:name w:val="Balloon Text"/>
    <w:basedOn w:val="Normal"/>
    <w:link w:val="BalloonTextChar"/>
    <w:uiPriority w:val="99"/>
    <w:semiHidden/>
    <w:unhideWhenUsed/>
    <w:rsid w:val="00963A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3A6A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963A6A"/>
    <w:rPr>
      <w:rFonts w:ascii="Times New Roman" w:eastAsia="Times New Roman" w:hAnsi="Times New Roman" w:cs="Times New Roman"/>
      <w:b/>
      <w:bCs/>
      <w:sz w:val="36"/>
      <w:szCs w:val="36"/>
      <w:lang w:val="fr-FR" w:eastAsia="fr-FR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63A6A"/>
    <w:pPr>
      <w:spacing w:after="0" w:line="240" w:lineRule="auto"/>
    </w:pPr>
    <w:rPr>
      <w:sz w:val="20"/>
      <w:szCs w:val="20"/>
      <w:lang w:val="fr-FR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63A6A"/>
    <w:rPr>
      <w:sz w:val="20"/>
      <w:szCs w:val="20"/>
      <w:lang w:val="fr-FR"/>
    </w:rPr>
  </w:style>
  <w:style w:type="character" w:styleId="FootnoteReference">
    <w:name w:val="footnote reference"/>
    <w:basedOn w:val="DefaultParagraphFont"/>
    <w:uiPriority w:val="99"/>
    <w:semiHidden/>
    <w:unhideWhenUsed/>
    <w:rsid w:val="00963A6A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63A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fr-FR"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63A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3A6A"/>
  </w:style>
  <w:style w:type="paragraph" w:styleId="Footer">
    <w:name w:val="footer"/>
    <w:basedOn w:val="Normal"/>
    <w:link w:val="FooterChar"/>
    <w:uiPriority w:val="99"/>
    <w:unhideWhenUsed/>
    <w:rsid w:val="00963A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3A6A"/>
  </w:style>
  <w:style w:type="paragraph" w:styleId="BalloonText">
    <w:name w:val="Balloon Text"/>
    <w:basedOn w:val="Normal"/>
    <w:link w:val="BalloonTextChar"/>
    <w:uiPriority w:val="99"/>
    <w:semiHidden/>
    <w:unhideWhenUsed/>
    <w:rsid w:val="00963A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3A6A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963A6A"/>
    <w:rPr>
      <w:rFonts w:ascii="Times New Roman" w:eastAsia="Times New Roman" w:hAnsi="Times New Roman" w:cs="Times New Roman"/>
      <w:b/>
      <w:bCs/>
      <w:sz w:val="36"/>
      <w:szCs w:val="36"/>
      <w:lang w:val="fr-FR" w:eastAsia="fr-FR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63A6A"/>
    <w:pPr>
      <w:spacing w:after="0" w:line="240" w:lineRule="auto"/>
    </w:pPr>
    <w:rPr>
      <w:sz w:val="20"/>
      <w:szCs w:val="20"/>
      <w:lang w:val="fr-FR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63A6A"/>
    <w:rPr>
      <w:sz w:val="20"/>
      <w:szCs w:val="20"/>
      <w:lang w:val="fr-FR"/>
    </w:rPr>
  </w:style>
  <w:style w:type="character" w:styleId="FootnoteReference">
    <w:name w:val="footnote reference"/>
    <w:basedOn w:val="DefaultParagraphFont"/>
    <w:uiPriority w:val="99"/>
    <w:semiHidden/>
    <w:unhideWhenUsed/>
    <w:rsid w:val="00963A6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3413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5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Resseguier.docx</Template>
  <TotalTime>0</TotalTime>
  <Pages>1</Pages>
  <Words>285</Words>
  <Characters>1626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ICACM 17-</vt:lpstr>
    </vt:vector>
  </TitlesOfParts>
  <Company>Microsoft</Company>
  <LinksUpToDate>false</LinksUpToDate>
  <CharactersWithSpaces>1908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ICACM 17-</dc:title>
  <dc:creator>Benoit</dc:creator>
  <cp:lastModifiedBy>Benoit</cp:lastModifiedBy>
  <cp:revision>2</cp:revision>
  <dcterms:created xsi:type="dcterms:W3CDTF">2017-01-28T23:57:00Z</dcterms:created>
  <dcterms:modified xsi:type="dcterms:W3CDTF">2017-01-28T23:57:00Z</dcterms:modified>
</cp:coreProperties>
</file>