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3EDA" w:rsidRDefault="007D40EC" w:rsidP="00957A06">
      <w:pPr>
        <w:pStyle w:val="FootnoteText"/>
        <w:jc w:val="center"/>
        <w:rPr>
          <w:b/>
          <w:bCs/>
          <w:sz w:val="28"/>
          <w:szCs w:val="28"/>
        </w:rPr>
      </w:pPr>
      <w:bookmarkStart w:id="0" w:name="_GoBack"/>
      <w:proofErr w:type="spellStart"/>
      <w:r w:rsidRPr="007D40EC">
        <w:rPr>
          <w:b/>
          <w:bCs/>
          <w:sz w:val="28"/>
          <w:szCs w:val="28"/>
        </w:rPr>
        <w:t>Characterization</w:t>
      </w:r>
      <w:proofErr w:type="spellEnd"/>
      <w:r w:rsidRPr="007D40EC">
        <w:rPr>
          <w:b/>
          <w:bCs/>
          <w:sz w:val="28"/>
          <w:szCs w:val="28"/>
        </w:rPr>
        <w:t xml:space="preserve"> of the </w:t>
      </w:r>
      <w:proofErr w:type="spellStart"/>
      <w:r w:rsidRPr="007D40EC">
        <w:rPr>
          <w:b/>
          <w:bCs/>
          <w:sz w:val="28"/>
          <w:szCs w:val="28"/>
        </w:rPr>
        <w:t>dynamic</w:t>
      </w:r>
      <w:proofErr w:type="spellEnd"/>
      <w:r w:rsidRPr="007D40EC">
        <w:rPr>
          <w:b/>
          <w:bCs/>
          <w:sz w:val="28"/>
          <w:szCs w:val="28"/>
        </w:rPr>
        <w:t xml:space="preserve"> </w:t>
      </w:r>
      <w:proofErr w:type="spellStart"/>
      <w:r w:rsidRPr="007D40EC">
        <w:rPr>
          <w:b/>
          <w:bCs/>
          <w:sz w:val="28"/>
          <w:szCs w:val="28"/>
        </w:rPr>
        <w:t>behavior</w:t>
      </w:r>
      <w:proofErr w:type="spellEnd"/>
      <w:r w:rsidRPr="007D40EC">
        <w:rPr>
          <w:b/>
          <w:bCs/>
          <w:sz w:val="28"/>
          <w:szCs w:val="28"/>
        </w:rPr>
        <w:t xml:space="preserve"> of </w:t>
      </w:r>
      <w:proofErr w:type="spellStart"/>
      <w:r w:rsidRPr="007D40EC">
        <w:rPr>
          <w:b/>
          <w:bCs/>
          <w:sz w:val="28"/>
          <w:szCs w:val="28"/>
        </w:rPr>
        <w:t>ceramics</w:t>
      </w:r>
      <w:proofErr w:type="spellEnd"/>
      <w:r w:rsidRPr="007D40EC">
        <w:rPr>
          <w:b/>
          <w:bCs/>
          <w:sz w:val="28"/>
          <w:szCs w:val="28"/>
        </w:rPr>
        <w:t xml:space="preserve"> </w:t>
      </w:r>
      <w:proofErr w:type="spellStart"/>
      <w:r w:rsidRPr="007D40EC">
        <w:rPr>
          <w:b/>
          <w:bCs/>
          <w:sz w:val="28"/>
          <w:szCs w:val="28"/>
        </w:rPr>
        <w:t>using</w:t>
      </w:r>
      <w:proofErr w:type="spellEnd"/>
      <w:r w:rsidRPr="007D40EC">
        <w:rPr>
          <w:b/>
          <w:bCs/>
          <w:sz w:val="28"/>
          <w:szCs w:val="28"/>
        </w:rPr>
        <w:t xml:space="preserve"> High-</w:t>
      </w:r>
      <w:proofErr w:type="spellStart"/>
      <w:r w:rsidRPr="007D40EC">
        <w:rPr>
          <w:b/>
          <w:bCs/>
          <w:sz w:val="28"/>
          <w:szCs w:val="28"/>
        </w:rPr>
        <w:t>Pulsed</w:t>
      </w:r>
      <w:proofErr w:type="spellEnd"/>
      <w:r w:rsidRPr="007D40EC">
        <w:rPr>
          <w:b/>
          <w:bCs/>
          <w:sz w:val="28"/>
          <w:szCs w:val="28"/>
        </w:rPr>
        <w:t xml:space="preserve"> Power Technologies</w:t>
      </w:r>
    </w:p>
    <w:bookmarkEnd w:id="0"/>
    <w:p w:rsidR="007D40EC" w:rsidRDefault="007D40EC" w:rsidP="00957A06">
      <w:pPr>
        <w:pStyle w:val="FootnoteText"/>
        <w:jc w:val="center"/>
        <w:rPr>
          <w:rFonts w:eastAsia="Times New Roman" w:cs="Times New Roman"/>
          <w:b/>
          <w:bCs/>
          <w:sz w:val="28"/>
          <w:szCs w:val="28"/>
          <w:lang w:val="en-US" w:eastAsia="fr-FR"/>
        </w:rPr>
      </w:pPr>
    </w:p>
    <w:p w:rsidR="00EF3EDA" w:rsidRDefault="007D40EC" w:rsidP="00346F0F">
      <w:pPr>
        <w:jc w:val="center"/>
        <w:rPr>
          <w:rFonts w:cs="Times New Roman"/>
          <w:lang w:val="fr-FR"/>
        </w:rPr>
      </w:pPr>
      <w:r>
        <w:rPr>
          <w:rFonts w:ascii="FFZGVN+TimesNewRomanPSMT" w:hAnsi="FFZGVN+TimesNewRomanPSMT" w:cs="FFZGVN+TimesNewRomanPSMT"/>
          <w:color w:val="000000"/>
          <w:sz w:val="23"/>
          <w:szCs w:val="23"/>
        </w:rPr>
        <w:t>Jean-Luc Zinszner</w:t>
      </w:r>
      <w:r w:rsidRPr="007D40EC">
        <w:rPr>
          <w:rFonts w:ascii="FFZGVN+TimesNewRomanPSMT" w:hAnsi="FFZGVN+TimesNewRomanPSMT" w:cs="FFZGVN+TimesNewRomanPSMT"/>
          <w:color w:val="000000"/>
          <w:sz w:val="23"/>
          <w:szCs w:val="23"/>
          <w:vertAlign w:val="superscript"/>
        </w:rPr>
        <w:t>1</w:t>
      </w:r>
      <w:r>
        <w:rPr>
          <w:rFonts w:ascii="FFZGVN+TimesNewRomanPSMT" w:hAnsi="FFZGVN+TimesNewRomanPSMT" w:cs="FFZGVN+TimesNewRomanPSMT"/>
          <w:color w:val="000000"/>
          <w:sz w:val="23"/>
          <w:szCs w:val="23"/>
        </w:rPr>
        <w:t>,</w:t>
      </w:r>
      <w:r w:rsidRPr="007D40EC">
        <w:rPr>
          <w:rFonts w:ascii="FFZGVN+TimesNewRomanPSMT" w:hAnsi="FFZGVN+TimesNewRomanPSMT" w:cs="FFZGVN+TimesNewRomanPSMT"/>
          <w:color w:val="000000"/>
          <w:sz w:val="23"/>
          <w:szCs w:val="23"/>
        </w:rPr>
        <w:t xml:space="preserve"> Benjamin Erzar</w:t>
      </w:r>
      <w:r w:rsidRPr="007D40EC">
        <w:rPr>
          <w:rFonts w:ascii="FFZGVN+TimesNewRomanPSMT" w:hAnsi="FFZGVN+TimesNewRomanPSMT" w:cs="FFZGVN+TimesNewRomanPSMT"/>
          <w:color w:val="000000"/>
          <w:sz w:val="23"/>
          <w:szCs w:val="23"/>
          <w:vertAlign w:val="superscript"/>
        </w:rPr>
        <w:t>1</w:t>
      </w:r>
      <w:r w:rsidRPr="007D40EC">
        <w:rPr>
          <w:rFonts w:ascii="FFZGVN+TimesNewRomanPSMT" w:hAnsi="FFZGVN+TimesNewRomanPSMT" w:cs="FFZGVN+TimesNewRomanPSMT"/>
          <w:color w:val="000000"/>
          <w:sz w:val="23"/>
          <w:szCs w:val="23"/>
        </w:rPr>
        <w:t>, Pascal Forquin</w:t>
      </w:r>
      <w:r w:rsidRPr="007D40EC">
        <w:rPr>
          <w:rFonts w:ascii="FFZGVN+TimesNewRomanPSMT" w:hAnsi="FFZGVN+TimesNewRomanPSMT" w:cs="FFZGVN+TimesNewRomanPSMT"/>
          <w:color w:val="000000"/>
          <w:sz w:val="23"/>
          <w:szCs w:val="23"/>
          <w:vertAlign w:val="superscript"/>
        </w:rPr>
        <w:t>2</w:t>
      </w:r>
    </w:p>
    <w:p w:rsidR="00EF3EDA" w:rsidRPr="005630F1" w:rsidRDefault="00EF3EDA" w:rsidP="00346F0F">
      <w:pPr>
        <w:jc w:val="center"/>
        <w:rPr>
          <w:rFonts w:cs="Times New Roman"/>
          <w:lang w:val="fr-FR"/>
        </w:rPr>
      </w:pPr>
    </w:p>
    <w:p w:rsidR="007D40EC" w:rsidRDefault="007D40EC" w:rsidP="007D40EC">
      <w:pPr>
        <w:rPr>
          <w:sz w:val="18"/>
        </w:rPr>
      </w:pPr>
      <w:r w:rsidRPr="00274EEE">
        <w:rPr>
          <w:sz w:val="18"/>
          <w:vertAlign w:val="superscript"/>
        </w:rPr>
        <w:t>1</w:t>
      </w:r>
      <w:r w:rsidRPr="00274EEE">
        <w:rPr>
          <w:sz w:val="18"/>
        </w:rPr>
        <w:t xml:space="preserve"> CEA, DAM, GRAMAT, BP 80200, F-46500 </w:t>
      </w:r>
      <w:proofErr w:type="spellStart"/>
      <w:r w:rsidRPr="00274EEE">
        <w:rPr>
          <w:sz w:val="18"/>
        </w:rPr>
        <w:t>Gramat</w:t>
      </w:r>
      <w:proofErr w:type="spellEnd"/>
      <w:r w:rsidRPr="00274EEE">
        <w:rPr>
          <w:sz w:val="18"/>
        </w:rPr>
        <w:t>, France</w:t>
      </w:r>
      <w:r w:rsidRPr="00274EEE">
        <w:rPr>
          <w:sz w:val="18"/>
        </w:rPr>
        <w:br/>
      </w:r>
      <w:r w:rsidRPr="00274EEE">
        <w:rPr>
          <w:sz w:val="18"/>
          <w:vertAlign w:val="superscript"/>
        </w:rPr>
        <w:t>2</w:t>
      </w:r>
      <w:r w:rsidRPr="00274EEE">
        <w:rPr>
          <w:sz w:val="18"/>
        </w:rPr>
        <w:t xml:space="preserve"> </w:t>
      </w:r>
      <w:proofErr w:type="spellStart"/>
      <w:r w:rsidRPr="00274EEE">
        <w:rPr>
          <w:sz w:val="18"/>
        </w:rPr>
        <w:t>Laboratoire</w:t>
      </w:r>
      <w:proofErr w:type="spellEnd"/>
      <w:r w:rsidRPr="00274EEE">
        <w:rPr>
          <w:sz w:val="18"/>
        </w:rPr>
        <w:t xml:space="preserve"> Sols, </w:t>
      </w:r>
      <w:proofErr w:type="spellStart"/>
      <w:r w:rsidRPr="00274EEE">
        <w:rPr>
          <w:sz w:val="18"/>
        </w:rPr>
        <w:t>Solides</w:t>
      </w:r>
      <w:proofErr w:type="spellEnd"/>
      <w:r w:rsidRPr="00274EEE">
        <w:rPr>
          <w:sz w:val="18"/>
        </w:rPr>
        <w:t>, Structures</w:t>
      </w:r>
      <w:r>
        <w:rPr>
          <w:sz w:val="18"/>
        </w:rPr>
        <w:t xml:space="preserve"> - </w:t>
      </w:r>
      <w:proofErr w:type="spellStart"/>
      <w:r>
        <w:rPr>
          <w:sz w:val="18"/>
        </w:rPr>
        <w:t>Risques</w:t>
      </w:r>
      <w:proofErr w:type="spellEnd"/>
      <w:r>
        <w:rPr>
          <w:sz w:val="18"/>
        </w:rPr>
        <w:t xml:space="preserve"> (3SR), </w:t>
      </w:r>
      <w:proofErr w:type="spellStart"/>
      <w:r>
        <w:rPr>
          <w:sz w:val="18"/>
        </w:rPr>
        <w:t>Université</w:t>
      </w:r>
      <w:proofErr w:type="spellEnd"/>
      <w:r>
        <w:rPr>
          <w:sz w:val="18"/>
        </w:rPr>
        <w:t xml:space="preserve"> Grenoble-</w:t>
      </w:r>
      <w:proofErr w:type="spellStart"/>
      <w:r>
        <w:rPr>
          <w:sz w:val="18"/>
        </w:rPr>
        <w:t>Alpes</w:t>
      </w:r>
      <w:proofErr w:type="spellEnd"/>
      <w:r>
        <w:rPr>
          <w:sz w:val="18"/>
        </w:rPr>
        <w:t xml:space="preserve">, 38041 Grenoble </w:t>
      </w:r>
      <w:proofErr w:type="spellStart"/>
      <w:r>
        <w:rPr>
          <w:sz w:val="18"/>
        </w:rPr>
        <w:t>Cedex</w:t>
      </w:r>
      <w:proofErr w:type="spellEnd"/>
      <w:r>
        <w:rPr>
          <w:sz w:val="18"/>
        </w:rPr>
        <w:t xml:space="preserve"> 9, France </w:t>
      </w:r>
    </w:p>
    <w:p w:rsidR="00CC6746" w:rsidRDefault="00CC6746" w:rsidP="00871422">
      <w:pPr>
        <w:jc w:val="both"/>
      </w:pPr>
    </w:p>
    <w:p w:rsidR="00CC6746" w:rsidRDefault="00CC6746" w:rsidP="00871422">
      <w:pPr>
        <w:jc w:val="both"/>
      </w:pPr>
    </w:p>
    <w:p w:rsidR="007D40EC" w:rsidRDefault="007D40EC" w:rsidP="007D40EC">
      <w:pPr>
        <w:jc w:val="both"/>
      </w:pPr>
      <w:r>
        <w:t>Since the 60s, c</w:t>
      </w:r>
      <w:r w:rsidRPr="002D510B">
        <w:t xml:space="preserve">eramic materials like silicon carbide or alumina are </w:t>
      </w:r>
      <w:r>
        <w:t>commonly</w:t>
      </w:r>
      <w:r w:rsidRPr="002D510B">
        <w:t xml:space="preserve"> used in armor systems for the foot-soldier protection or military vehicles</w:t>
      </w:r>
      <w:r>
        <w:t xml:space="preserve"> [1]</w:t>
      </w:r>
      <w:r w:rsidRPr="002D510B">
        <w:t xml:space="preserve">. Indeed, they present interesting mechanical and physical properties like </w:t>
      </w:r>
      <w:r>
        <w:t xml:space="preserve">a </w:t>
      </w:r>
      <w:r w:rsidRPr="002D510B">
        <w:t xml:space="preserve">low density combined with </w:t>
      </w:r>
      <w:r>
        <w:t xml:space="preserve">an </w:t>
      </w:r>
      <w:r w:rsidRPr="002D510B">
        <w:t>exceptional hardness and compressive strength. Thus, for the same level of protection, the use of ceramic materials allow</w:t>
      </w:r>
      <w:r>
        <w:t>s</w:t>
      </w:r>
      <w:r w:rsidRPr="002D510B">
        <w:t xml:space="preserve"> a considerably weight benefit in comparison with laminated steel plates</w:t>
      </w:r>
      <w:r>
        <w:t xml:space="preserve"> armors</w:t>
      </w:r>
      <w:r w:rsidRPr="002D510B">
        <w:t>. However, besides their interesting properties and their capa</w:t>
      </w:r>
      <w:r>
        <w:t>bilities</w:t>
      </w:r>
      <w:r w:rsidRPr="002D510B">
        <w:t xml:space="preserve"> in </w:t>
      </w:r>
      <w:r>
        <w:t>shattering</w:t>
      </w:r>
      <w:r w:rsidRPr="002D510B">
        <w:t xml:space="preserve"> projectiles, ceramics present a brittle behavior under tensile loading leading to an intense fragmentation during impact. One way to limit this drawback consists in associating the ceramic plate with a back layer made of ductile materials. The evaluation of the capa</w:t>
      </w:r>
      <w:r>
        <w:t>bility</w:t>
      </w:r>
      <w:r w:rsidRPr="002D510B">
        <w:t xml:space="preserve"> of a ceramic in stopping projectiles is generally determined by performing a series of ballistic tests in representative configurations. However, using this technique, the mechanisms governing the performance of a ceramic cannot be understood. Moreover, significant differences of performance are observed even in a same family of ceramic.</w:t>
      </w:r>
      <w:r>
        <w:t xml:space="preserve"> In order to understand </w:t>
      </w:r>
      <w:r w:rsidRPr="002D510B">
        <w:t xml:space="preserve">the links between the microscopic characteristics of ceramics </w:t>
      </w:r>
      <w:r>
        <w:t>and their macroscopic behavior, characterization tests are needed on different kind of ceramics and through different dynamic loadings.</w:t>
      </w:r>
    </w:p>
    <w:p w:rsidR="007D40EC" w:rsidRDefault="007D40EC" w:rsidP="007D40EC">
      <w:pPr>
        <w:jc w:val="both"/>
        <w:rPr>
          <w:lang w:val="en-GB"/>
        </w:rPr>
      </w:pPr>
      <w:r w:rsidRPr="003101E6">
        <w:t>During the first microsecond</w:t>
      </w:r>
      <w:r>
        <w:t>s</w:t>
      </w:r>
      <w:r w:rsidRPr="003101E6">
        <w:t xml:space="preserve"> after impact, the ceramic is subjected to a high comp</w:t>
      </w:r>
      <w:r>
        <w:t>ressive stress state which can cause</w:t>
      </w:r>
      <w:r w:rsidRPr="003101E6">
        <w:t xml:space="preserve"> fracture and plasticity in the ceramic when the compressive stress approaches the </w:t>
      </w:r>
      <w:proofErr w:type="spellStart"/>
      <w:r w:rsidRPr="003101E6">
        <w:t>Hugoniot</w:t>
      </w:r>
      <w:proofErr w:type="spellEnd"/>
      <w:r w:rsidRPr="003101E6">
        <w:t xml:space="preserve"> Elastic Limit of the material</w:t>
      </w:r>
      <w:r>
        <w:t xml:space="preserve"> [2]</w:t>
      </w:r>
      <w:r w:rsidRPr="003101E6">
        <w:t xml:space="preserve">. </w:t>
      </w:r>
      <w:r>
        <w:t xml:space="preserve">In order to characterize a ceramic under dynamic compressive loading, plate impact experiments are generally performed. However, using this kind of experiments, a large number of experiments </w:t>
      </w:r>
      <w:proofErr w:type="gramStart"/>
      <w:r>
        <w:t>is</w:t>
      </w:r>
      <w:proofErr w:type="gramEnd"/>
      <w:r>
        <w:t xml:space="preserve"> needed if one wants to reconstruct the shock response of a material. Since the beginning of the 21</w:t>
      </w:r>
      <w:r w:rsidRPr="00871C10">
        <w:rPr>
          <w:vertAlign w:val="superscript"/>
        </w:rPr>
        <w:t>st</w:t>
      </w:r>
      <w:r>
        <w:t xml:space="preserve"> century, high-pulsed power technologies appear to be a very interesting way for the dynamic characterization of materials. Indeed, they allow applying a ramp loading spread over few hundreds of nanoseconds with a peak pressure greater than 20 </w:t>
      </w:r>
      <w:proofErr w:type="spellStart"/>
      <w:proofErr w:type="gramStart"/>
      <w:r>
        <w:t>GPa</w:t>
      </w:r>
      <w:proofErr w:type="spellEnd"/>
      <w:proofErr w:type="gramEnd"/>
      <w:r>
        <w:t xml:space="preserve">. In the CEA </w:t>
      </w:r>
      <w:proofErr w:type="spellStart"/>
      <w:r>
        <w:t>Gramat</w:t>
      </w:r>
      <w:proofErr w:type="spellEnd"/>
      <w:r>
        <w:t>, the GEPI device, based on the strip line concept, generates a current up to 3.3 MA with a rise time of 500 ns [3]. Thanks to the strip line geometry, two specimens can be tested during the same experiment (one specimen on each electrode). This configuration allows using the “</w:t>
      </w:r>
      <w:proofErr w:type="spellStart"/>
      <w:r>
        <w:t>lagrangian</w:t>
      </w:r>
      <w:proofErr w:type="spellEnd"/>
      <w:r>
        <w:t xml:space="preserve"> analysis” method. This method, </w:t>
      </w:r>
      <w:r w:rsidRPr="007319D1">
        <w:t xml:space="preserve">by integrating the </w:t>
      </w:r>
      <w:r>
        <w:t>equations of conservation</w:t>
      </w:r>
      <w:r w:rsidRPr="007319D1">
        <w:t xml:space="preserve"> between two velocity signals,</w:t>
      </w:r>
      <w:r>
        <w:t xml:space="preserve"> allows</w:t>
      </w:r>
      <w:r w:rsidRPr="007319D1">
        <w:t xml:space="preserve"> </w:t>
      </w:r>
      <w:r>
        <w:rPr>
          <w:lang w:val="en-GB"/>
        </w:rPr>
        <w:t xml:space="preserve">an accurate identification of the compressive behaviour of the material [4]. This kind of experiments has been applied on different silicon carbide grades. Significant differences have been observed between ceramics, particularly in terms of </w:t>
      </w:r>
      <w:proofErr w:type="spellStart"/>
      <w:r>
        <w:rPr>
          <w:lang w:val="en-GB"/>
        </w:rPr>
        <w:t>Hugoniot</w:t>
      </w:r>
      <w:proofErr w:type="spellEnd"/>
      <w:r>
        <w:rPr>
          <w:lang w:val="en-GB"/>
        </w:rPr>
        <w:t xml:space="preserve"> Elastic Limit of the material.</w:t>
      </w:r>
    </w:p>
    <w:p w:rsidR="007D40EC" w:rsidRDefault="007D40EC" w:rsidP="007D40EC">
      <w:pPr>
        <w:jc w:val="both"/>
        <w:rPr>
          <w:lang w:val="en-GB"/>
        </w:rPr>
      </w:pPr>
      <w:r>
        <w:rPr>
          <w:lang w:val="en-GB"/>
        </w:rPr>
        <w:t xml:space="preserve">During a ballistic impact, the ceramic is also subjected to a tensile loading causing its fragmentation. In order to characterize the tensile strength of ceramics, spalling tests are generally performed. Whereas spalling tests performed by plate impact are most common, the use of High-Pulsed Power generators presents numerous advantages. Thanks to the ramp loading applied to the specimen, the strain-rate can be accurately determined every time during the test and everywhere in the specimen. By varying the amplitude of the loading pulse, a strong strain-rate sensitivity of the tensile resistance is observed for each </w:t>
      </w:r>
      <w:r>
        <w:rPr>
          <w:lang w:val="en-GB"/>
        </w:rPr>
        <w:lastRenderedPageBreak/>
        <w:t>ceramic. Another great advantage of this technique is the capability in recovering damaged specimen. Contrary to plate impact experiments, the use of the GEPI machine does not need any additional system to recover damaged specimens [5]. After spalling tests performed at relatively low strain-rate (about 5000 s</w:t>
      </w:r>
      <w:r w:rsidRPr="00325005">
        <w:rPr>
          <w:vertAlign w:val="superscript"/>
          <w:lang w:val="en-GB"/>
        </w:rPr>
        <w:t>-1</w:t>
      </w:r>
      <w:r>
        <w:rPr>
          <w:lang w:val="en-GB"/>
        </w:rPr>
        <w:t>), damaged but unbroken specimens can be recovered. These specimens then give, after microscopic analysis, unique insight about the fragmentation process in brittle materials. This spalling technique has been applied to characterize the dynamic behaviour of an alumina [5] and two silicon carbides [6].</w:t>
      </w:r>
    </w:p>
    <w:p w:rsidR="007D40EC" w:rsidRDefault="007D40EC" w:rsidP="007D40EC">
      <w:pPr>
        <w:jc w:val="both"/>
        <w:rPr>
          <w:lang w:val="en-GB"/>
        </w:rPr>
      </w:pPr>
    </w:p>
    <w:p w:rsidR="007D40EC" w:rsidRDefault="007D40EC" w:rsidP="007D40EC">
      <w:pPr>
        <w:jc w:val="both"/>
        <w:rPr>
          <w:lang w:val="en-GB"/>
        </w:rPr>
      </w:pPr>
    </w:p>
    <w:p w:rsidR="007D40EC" w:rsidRPr="00871C10" w:rsidRDefault="007D40EC" w:rsidP="007D40EC">
      <w:pPr>
        <w:jc w:val="both"/>
        <w:rPr>
          <w:lang w:val="en-GB"/>
        </w:rPr>
      </w:pPr>
      <w:proofErr w:type="gramStart"/>
      <w:r>
        <w:rPr>
          <w:lang w:val="en-GB"/>
        </w:rPr>
        <w:t xml:space="preserve">[1] </w:t>
      </w:r>
      <w:r w:rsidRPr="00871C10">
        <w:rPr>
          <w:lang w:val="en-GB"/>
        </w:rPr>
        <w:t>E.R.</w:t>
      </w:r>
      <w:r>
        <w:rPr>
          <w:lang w:val="en-GB"/>
        </w:rPr>
        <w:t xml:space="preserve"> B</w:t>
      </w:r>
      <w:r w:rsidRPr="00871C10">
        <w:rPr>
          <w:lang w:val="en-GB"/>
        </w:rPr>
        <w:t>arron,</w:t>
      </w:r>
      <w:r>
        <w:rPr>
          <w:lang w:val="en-GB"/>
        </w:rPr>
        <w:t xml:space="preserve"> A.L. </w:t>
      </w:r>
      <w:proofErr w:type="spellStart"/>
      <w:r>
        <w:rPr>
          <w:lang w:val="en-GB"/>
        </w:rPr>
        <w:t>Alesi</w:t>
      </w:r>
      <w:proofErr w:type="spellEnd"/>
      <w:r>
        <w:rPr>
          <w:lang w:val="en-GB"/>
        </w:rPr>
        <w:t>, A.F. Park.</w:t>
      </w:r>
      <w:proofErr w:type="gramEnd"/>
      <w:r>
        <w:rPr>
          <w:lang w:val="en-GB"/>
        </w:rPr>
        <w:t xml:space="preserve"> </w:t>
      </w:r>
      <w:r w:rsidRPr="00871C10">
        <w:rPr>
          <w:lang w:val="en-GB"/>
        </w:rPr>
        <w:t>Body</w:t>
      </w:r>
      <w:r>
        <w:rPr>
          <w:lang w:val="en-GB"/>
        </w:rPr>
        <w:t xml:space="preserve"> </w:t>
      </w:r>
      <w:r w:rsidRPr="00871C10">
        <w:rPr>
          <w:lang w:val="en-GB"/>
        </w:rPr>
        <w:t>Armor</w:t>
      </w:r>
      <w:r>
        <w:rPr>
          <w:lang w:val="en-GB"/>
        </w:rPr>
        <w:t xml:space="preserve"> </w:t>
      </w:r>
      <w:r w:rsidRPr="00871C10">
        <w:rPr>
          <w:lang w:val="en-GB"/>
        </w:rPr>
        <w:t>for</w:t>
      </w:r>
      <w:r>
        <w:rPr>
          <w:lang w:val="en-GB"/>
        </w:rPr>
        <w:t xml:space="preserve"> </w:t>
      </w:r>
      <w:proofErr w:type="spellStart"/>
      <w:r w:rsidRPr="00871C10">
        <w:rPr>
          <w:lang w:val="en-GB"/>
        </w:rPr>
        <w:t>Aircrewmen</w:t>
      </w:r>
      <w:proofErr w:type="spellEnd"/>
      <w:r>
        <w:rPr>
          <w:lang w:val="en-GB"/>
        </w:rPr>
        <w:t xml:space="preserve">, </w:t>
      </w:r>
      <w:r w:rsidRPr="00871C10">
        <w:rPr>
          <w:lang w:val="en-GB"/>
        </w:rPr>
        <w:t>Technical</w:t>
      </w:r>
      <w:r>
        <w:rPr>
          <w:lang w:val="en-GB"/>
        </w:rPr>
        <w:t xml:space="preserve"> </w:t>
      </w:r>
      <w:r w:rsidRPr="00871C10">
        <w:rPr>
          <w:lang w:val="en-GB"/>
        </w:rPr>
        <w:t>Report</w:t>
      </w:r>
      <w:r>
        <w:rPr>
          <w:lang w:val="en-GB"/>
        </w:rPr>
        <w:t xml:space="preserve"> </w:t>
      </w:r>
      <w:r w:rsidRPr="00871C10">
        <w:rPr>
          <w:lang w:val="en-GB"/>
        </w:rPr>
        <w:t>No.</w:t>
      </w:r>
      <w:r>
        <w:rPr>
          <w:lang w:val="en-GB"/>
        </w:rPr>
        <w:t xml:space="preserve"> </w:t>
      </w:r>
      <w:r w:rsidRPr="00871C10">
        <w:rPr>
          <w:lang w:val="en-GB"/>
        </w:rPr>
        <w:t>69-43-CE</w:t>
      </w:r>
      <w:r>
        <w:rPr>
          <w:lang w:val="en-GB"/>
        </w:rPr>
        <w:t xml:space="preserve">. </w:t>
      </w:r>
      <w:proofErr w:type="gramStart"/>
      <w:r w:rsidRPr="00871C10">
        <w:rPr>
          <w:lang w:val="en-GB"/>
        </w:rPr>
        <w:t>U.S.</w:t>
      </w:r>
      <w:r>
        <w:rPr>
          <w:lang w:val="en-GB"/>
        </w:rPr>
        <w:t> </w:t>
      </w:r>
      <w:r w:rsidRPr="00871C10">
        <w:rPr>
          <w:lang w:val="en-GB"/>
        </w:rPr>
        <w:t>Army</w:t>
      </w:r>
      <w:r>
        <w:rPr>
          <w:lang w:val="en-GB"/>
        </w:rPr>
        <w:t xml:space="preserve"> </w:t>
      </w:r>
      <w:r w:rsidRPr="00871C10">
        <w:rPr>
          <w:lang w:val="en-GB"/>
        </w:rPr>
        <w:t>Natick</w:t>
      </w:r>
      <w:r>
        <w:rPr>
          <w:lang w:val="en-GB"/>
        </w:rPr>
        <w:t xml:space="preserve"> Laboratories.</w:t>
      </w:r>
      <w:proofErr w:type="gramEnd"/>
      <w:r w:rsidRPr="00325005">
        <w:rPr>
          <w:lang w:val="en-GB"/>
        </w:rPr>
        <w:t xml:space="preserve"> </w:t>
      </w:r>
      <w:r w:rsidRPr="00871C10">
        <w:rPr>
          <w:lang w:val="en-GB"/>
        </w:rPr>
        <w:t>1969</w:t>
      </w:r>
    </w:p>
    <w:p w:rsidR="007D40EC" w:rsidRPr="00B7025B" w:rsidRDefault="007D40EC" w:rsidP="007D40EC">
      <w:pPr>
        <w:jc w:val="both"/>
      </w:pPr>
      <w:r w:rsidRPr="00325005">
        <w:t xml:space="preserve">[2] F. </w:t>
      </w:r>
      <w:proofErr w:type="spellStart"/>
      <w:r w:rsidRPr="00325005">
        <w:t>Longy</w:t>
      </w:r>
      <w:proofErr w:type="spellEnd"/>
      <w:r w:rsidRPr="00325005">
        <w:t xml:space="preserve">, J. </w:t>
      </w:r>
      <w:proofErr w:type="spellStart"/>
      <w:r w:rsidRPr="00325005">
        <w:t>Cagnoux</w:t>
      </w:r>
      <w:proofErr w:type="spellEnd"/>
      <w:r w:rsidRPr="00325005">
        <w:t xml:space="preserve">.  </w:t>
      </w:r>
      <w:proofErr w:type="gramStart"/>
      <w:r w:rsidRPr="00871C10">
        <w:rPr>
          <w:lang w:val="en-GB"/>
        </w:rPr>
        <w:t xml:space="preserve">Plasticity and </w:t>
      </w:r>
      <w:proofErr w:type="spellStart"/>
      <w:r w:rsidRPr="00871C10">
        <w:rPr>
          <w:lang w:val="en-GB"/>
        </w:rPr>
        <w:t>microcracking</w:t>
      </w:r>
      <w:proofErr w:type="spellEnd"/>
      <w:r w:rsidRPr="00871C10">
        <w:rPr>
          <w:lang w:val="en-GB"/>
        </w:rPr>
        <w:t xml:space="preserve"> in shock-loaded alumina, J. Am. </w:t>
      </w:r>
      <w:r w:rsidRPr="00B7025B">
        <w:t>Ceram.</w:t>
      </w:r>
      <w:proofErr w:type="gramEnd"/>
      <w:r w:rsidRPr="00B7025B">
        <w:t xml:space="preserve"> </w:t>
      </w:r>
      <w:proofErr w:type="gramStart"/>
      <w:r w:rsidRPr="00B7025B">
        <w:t>Soc. 72(6), pp. 971-979, 1989.</w:t>
      </w:r>
      <w:proofErr w:type="gramEnd"/>
    </w:p>
    <w:p w:rsidR="007D40EC" w:rsidRPr="00871C10" w:rsidRDefault="007D40EC" w:rsidP="007D40EC">
      <w:pPr>
        <w:jc w:val="both"/>
        <w:rPr>
          <w:lang w:val="en-GB"/>
        </w:rPr>
      </w:pPr>
      <w:r w:rsidRPr="00B7025B">
        <w:t xml:space="preserve">[3] P.-L. </w:t>
      </w:r>
      <w:proofErr w:type="spellStart"/>
      <w:r w:rsidRPr="00B7025B">
        <w:t>Hereil</w:t>
      </w:r>
      <w:proofErr w:type="spellEnd"/>
      <w:r w:rsidRPr="00B7025B">
        <w:t xml:space="preserve">, F. </w:t>
      </w:r>
      <w:proofErr w:type="spellStart"/>
      <w:r w:rsidRPr="00B7025B">
        <w:t>Lassa</w:t>
      </w:r>
      <w:r w:rsidRPr="00871C10">
        <w:t>le</w:t>
      </w:r>
      <w:proofErr w:type="spellEnd"/>
      <w:r w:rsidRPr="00871C10">
        <w:t xml:space="preserve">, G. </w:t>
      </w:r>
      <w:proofErr w:type="spellStart"/>
      <w:r w:rsidRPr="00871C10">
        <w:t>Avrillaud</w:t>
      </w:r>
      <w:proofErr w:type="spellEnd"/>
      <w:r w:rsidRPr="00871C10">
        <w:t xml:space="preserve">. </w:t>
      </w:r>
      <w:r w:rsidRPr="00871C10">
        <w:rPr>
          <w:lang w:val="en-GB"/>
        </w:rPr>
        <w:t>GEPI: An ICE generator for dynamic material characterization and hypervelocity impact, Shock Compression of Condensed Matter, pp. 1209-1212, 2003.</w:t>
      </w:r>
    </w:p>
    <w:p w:rsidR="007D40EC" w:rsidRDefault="007D40EC" w:rsidP="007D40EC">
      <w:pPr>
        <w:jc w:val="both"/>
        <w:rPr>
          <w:lang w:val="en-GB"/>
        </w:rPr>
      </w:pPr>
      <w:r w:rsidRPr="00871C10">
        <w:t>[</w:t>
      </w:r>
      <w:r>
        <w:t>4</w:t>
      </w:r>
      <w:r w:rsidRPr="00871C10">
        <w:t xml:space="preserve">] J. </w:t>
      </w:r>
      <w:proofErr w:type="spellStart"/>
      <w:r w:rsidRPr="00871C10">
        <w:t>Cagnoux</w:t>
      </w:r>
      <w:proofErr w:type="spellEnd"/>
      <w:r w:rsidRPr="00871C10">
        <w:t xml:space="preserve">, P. </w:t>
      </w:r>
      <w:proofErr w:type="spellStart"/>
      <w:r w:rsidRPr="00871C10">
        <w:t>Ch</w:t>
      </w:r>
      <w:r>
        <w:t>artagnac</w:t>
      </w:r>
      <w:proofErr w:type="spellEnd"/>
      <w:r>
        <w:t xml:space="preserve">, P. </w:t>
      </w:r>
      <w:proofErr w:type="spellStart"/>
      <w:r>
        <w:t>Héreil</w:t>
      </w:r>
      <w:proofErr w:type="spellEnd"/>
      <w:r>
        <w:t xml:space="preserve">, M. Perez. </w:t>
      </w:r>
      <w:proofErr w:type="spellStart"/>
      <w:proofErr w:type="gramStart"/>
      <w:r w:rsidRPr="00B7025B">
        <w:t>Lagrangian</w:t>
      </w:r>
      <w:proofErr w:type="spellEnd"/>
      <w:r w:rsidRPr="00B7025B">
        <w:t xml:space="preserve"> analysis.</w:t>
      </w:r>
      <w:proofErr w:type="gramEnd"/>
      <w:r w:rsidRPr="00B7025B">
        <w:t xml:space="preserve"> </w:t>
      </w:r>
      <w:proofErr w:type="gramStart"/>
      <w:r w:rsidRPr="00871C10">
        <w:rPr>
          <w:lang w:val="en-GB"/>
        </w:rPr>
        <w:t>A modern tool of the dynamic of solids, Ann. Phys. Fr. 12, pp. 451-524, 1987.</w:t>
      </w:r>
      <w:proofErr w:type="gramEnd"/>
    </w:p>
    <w:p w:rsidR="007D40EC" w:rsidRPr="00B7025B" w:rsidRDefault="007D40EC" w:rsidP="007D40EC">
      <w:pPr>
        <w:jc w:val="both"/>
        <w:rPr>
          <w:lang w:val="de-DE"/>
        </w:rPr>
      </w:pPr>
      <w:r w:rsidRPr="00B7025B">
        <w:t xml:space="preserve">[5] J.L. </w:t>
      </w:r>
      <w:proofErr w:type="spellStart"/>
      <w:r w:rsidRPr="00B7025B">
        <w:t>Zinszner</w:t>
      </w:r>
      <w:proofErr w:type="spellEnd"/>
      <w:r w:rsidRPr="00B7025B">
        <w:t xml:space="preserve">, B. </w:t>
      </w:r>
      <w:proofErr w:type="spellStart"/>
      <w:r w:rsidRPr="00B7025B">
        <w:t>Erzar</w:t>
      </w:r>
      <w:proofErr w:type="spellEnd"/>
      <w:r w:rsidRPr="00B7025B">
        <w:t xml:space="preserve">, P. </w:t>
      </w:r>
      <w:proofErr w:type="spellStart"/>
      <w:r w:rsidRPr="00B7025B">
        <w:t>Forquin</w:t>
      </w:r>
      <w:proofErr w:type="spellEnd"/>
      <w:r w:rsidRPr="00B7025B">
        <w:t xml:space="preserve">, E. </w:t>
      </w:r>
      <w:proofErr w:type="spellStart"/>
      <w:r w:rsidRPr="00B7025B">
        <w:t>Buzaud</w:t>
      </w:r>
      <w:proofErr w:type="spellEnd"/>
      <w:r w:rsidRPr="00B7025B">
        <w:t xml:space="preserve">. </w:t>
      </w:r>
      <w:r w:rsidRPr="00D164C7">
        <w:t xml:space="preserve">Dynamic fragmentation of an alumina ceramic subjected to </w:t>
      </w:r>
      <w:proofErr w:type="spellStart"/>
      <w:r w:rsidRPr="00D164C7">
        <w:t>shockless</w:t>
      </w:r>
      <w:proofErr w:type="spellEnd"/>
      <w:r w:rsidRPr="00D164C7">
        <w:t xml:space="preserve"> spalling: An experimental and numerical study, J. Mech. </w:t>
      </w:r>
      <w:r w:rsidRPr="00B7025B">
        <w:rPr>
          <w:lang w:val="de-DE"/>
        </w:rPr>
        <w:t>Phys. Solids 85, pp. 112-127, 2015.</w:t>
      </w:r>
    </w:p>
    <w:p w:rsidR="007D40EC" w:rsidRPr="00871C10" w:rsidRDefault="007D40EC" w:rsidP="007D40EC">
      <w:pPr>
        <w:jc w:val="both"/>
      </w:pPr>
      <w:r w:rsidRPr="00B7025B">
        <w:rPr>
          <w:lang w:val="de-DE"/>
        </w:rPr>
        <w:t>[6] J.L. Zinszner, B. Erzar, P. Forquin</w:t>
      </w:r>
      <w:r>
        <w:rPr>
          <w:lang w:val="de-DE"/>
        </w:rPr>
        <w:t>.</w:t>
      </w:r>
      <w:r w:rsidRPr="00B7025B">
        <w:rPr>
          <w:lang w:val="de-DE"/>
        </w:rPr>
        <w:t xml:space="preserve"> </w:t>
      </w:r>
      <w:r>
        <w:t>Strain-rate sensitivity of the tensile strength of two silicon carbides: experimental evidence and micromechanical modelling</w:t>
      </w:r>
      <w:r w:rsidRPr="00871C10">
        <w:t xml:space="preserve">, </w:t>
      </w:r>
      <w:r>
        <w:t>Phil. Trans. R. Soc. A 375: 20160167.</w:t>
      </w:r>
    </w:p>
    <w:p w:rsidR="00EF3EDA" w:rsidRPr="007A58E1" w:rsidRDefault="00EF3EDA" w:rsidP="007D40EC">
      <w:pPr>
        <w:jc w:val="both"/>
        <w:rPr>
          <w:rFonts w:cs="Times New Roman"/>
        </w:rPr>
      </w:pPr>
    </w:p>
    <w:sectPr w:rsidR="00EF3EDA" w:rsidRPr="007A58E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243F" w:rsidRDefault="00C1243F" w:rsidP="00963A6A">
      <w:pPr>
        <w:spacing w:line="240" w:lineRule="auto"/>
      </w:pPr>
      <w:r>
        <w:separator/>
      </w:r>
    </w:p>
  </w:endnote>
  <w:endnote w:type="continuationSeparator" w:id="0">
    <w:p w:rsidR="00C1243F" w:rsidRDefault="00C1243F" w:rsidP="00963A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405020304"/>
    <w:charset w:val="00"/>
    <w:family w:val="roman"/>
    <w:pitch w:val="variable"/>
    <w:sig w:usb0="E0002AFF" w:usb1="C0007841" w:usb2="00000009" w:usb3="00000000" w:csb0="000001FF" w:csb1="00000000"/>
  </w:font>
  <w:font w:name="Calibri">
    <w:altName w:val="Calibri"/>
    <w:panose1 w:val="020F0502020204030204"/>
    <w:charset w:val="00"/>
    <w:family w:val="swiss"/>
    <w:pitch w:val="variable"/>
    <w:sig w:usb0="E00002FF" w:usb1="4000ACFF" w:usb2="00000001" w:usb3="00000000" w:csb0="0000019F" w:csb1="00000000"/>
  </w:font>
  <w:font w:name="Cambria">
    <w:altName w:val="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FFZGVN+TimesNewRomanPSMT">
    <w:altName w:val="Times New Roman PSMT"/>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243F" w:rsidRDefault="00C1243F" w:rsidP="00963A6A">
      <w:pPr>
        <w:spacing w:line="240" w:lineRule="auto"/>
      </w:pPr>
      <w:r>
        <w:separator/>
      </w:r>
    </w:p>
  </w:footnote>
  <w:footnote w:type="continuationSeparator" w:id="0">
    <w:p w:rsidR="00C1243F" w:rsidRDefault="00C1243F" w:rsidP="00963A6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A6A" w:rsidRPr="00963A6A" w:rsidRDefault="00963A6A" w:rsidP="00963A6A">
    <w:pPr>
      <w:pStyle w:val="Header"/>
      <w:pBdr>
        <w:bottom w:val="single" w:sz="4" w:space="1" w:color="auto"/>
      </w:pBdr>
      <w:jc w:val="right"/>
      <w:rPr>
        <w:rFonts w:cs="Times New Roman"/>
      </w:rPr>
    </w:pPr>
    <w:r>
      <w:rPr>
        <w:rFonts w:cs="Times New Roman"/>
      </w:rPr>
      <w:t xml:space="preserve">ICACM 2017 Symposium – 17-19 May 2017 – Ft Walton Beach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3A3828"/>
    <w:multiLevelType w:val="hybridMultilevel"/>
    <w:tmpl w:val="6442B5B2"/>
    <w:lvl w:ilvl="0" w:tplc="B8807D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0029"/>
    <w:rsid w:val="0004435D"/>
    <w:rsid w:val="00077D22"/>
    <w:rsid w:val="000B277E"/>
    <w:rsid w:val="000C5E0F"/>
    <w:rsid w:val="00106DA2"/>
    <w:rsid w:val="00136CEC"/>
    <w:rsid w:val="0014689E"/>
    <w:rsid w:val="0019527D"/>
    <w:rsid w:val="00346F0F"/>
    <w:rsid w:val="00371D95"/>
    <w:rsid w:val="003E18B4"/>
    <w:rsid w:val="00400D18"/>
    <w:rsid w:val="004057A7"/>
    <w:rsid w:val="00491128"/>
    <w:rsid w:val="004B49EA"/>
    <w:rsid w:val="005460A6"/>
    <w:rsid w:val="005630F1"/>
    <w:rsid w:val="005C4A03"/>
    <w:rsid w:val="006E77D2"/>
    <w:rsid w:val="007A58E1"/>
    <w:rsid w:val="007A5FEC"/>
    <w:rsid w:val="007D40EC"/>
    <w:rsid w:val="00871422"/>
    <w:rsid w:val="00874501"/>
    <w:rsid w:val="008F7570"/>
    <w:rsid w:val="00957A06"/>
    <w:rsid w:val="00963A6A"/>
    <w:rsid w:val="009E0B22"/>
    <w:rsid w:val="00A84E6B"/>
    <w:rsid w:val="00AC4075"/>
    <w:rsid w:val="00C1243F"/>
    <w:rsid w:val="00C47E4D"/>
    <w:rsid w:val="00C965F0"/>
    <w:rsid w:val="00CA5000"/>
    <w:rsid w:val="00CC6746"/>
    <w:rsid w:val="00CE558C"/>
    <w:rsid w:val="00D3528E"/>
    <w:rsid w:val="00D669E4"/>
    <w:rsid w:val="00D90E10"/>
    <w:rsid w:val="00DA3EEF"/>
    <w:rsid w:val="00DC3E04"/>
    <w:rsid w:val="00DF076A"/>
    <w:rsid w:val="00EB4D03"/>
    <w:rsid w:val="00EF3EDA"/>
    <w:rsid w:val="00F50B2A"/>
    <w:rsid w:val="00FE0029"/>
    <w:rsid w:val="00FE2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D22"/>
    <w:pPr>
      <w:spacing w:after="0"/>
    </w:pPr>
    <w:rPr>
      <w:rFonts w:ascii="Times New Roman" w:hAnsi="Times New Roman"/>
    </w:rPr>
  </w:style>
  <w:style w:type="paragraph" w:styleId="Heading1">
    <w:name w:val="heading 1"/>
    <w:basedOn w:val="Normal"/>
    <w:next w:val="Normal"/>
    <w:link w:val="Heading1Char"/>
    <w:uiPriority w:val="9"/>
    <w:qFormat/>
    <w:rsid w:val="00CC674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63A6A"/>
    <w:pPr>
      <w:spacing w:before="100" w:beforeAutospacing="1" w:after="100" w:afterAutospacing="1" w:line="240" w:lineRule="auto"/>
      <w:outlineLvl w:val="1"/>
    </w:pPr>
    <w:rPr>
      <w:rFonts w:eastAsia="Times New Roman" w:cs="Times New Roman"/>
      <w:b/>
      <w:bCs/>
      <w:sz w:val="36"/>
      <w:szCs w:val="36"/>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A6A"/>
    <w:pPr>
      <w:tabs>
        <w:tab w:val="center" w:pos="4680"/>
        <w:tab w:val="right" w:pos="9360"/>
      </w:tabs>
      <w:spacing w:line="240" w:lineRule="auto"/>
    </w:pPr>
  </w:style>
  <w:style w:type="character" w:customStyle="1" w:styleId="HeaderChar">
    <w:name w:val="Header Char"/>
    <w:basedOn w:val="DefaultParagraphFont"/>
    <w:link w:val="Header"/>
    <w:uiPriority w:val="99"/>
    <w:rsid w:val="00963A6A"/>
  </w:style>
  <w:style w:type="paragraph" w:styleId="Footer">
    <w:name w:val="footer"/>
    <w:basedOn w:val="Normal"/>
    <w:link w:val="FooterChar"/>
    <w:uiPriority w:val="99"/>
    <w:unhideWhenUsed/>
    <w:rsid w:val="00963A6A"/>
    <w:pPr>
      <w:tabs>
        <w:tab w:val="center" w:pos="4680"/>
        <w:tab w:val="right" w:pos="9360"/>
      </w:tabs>
      <w:spacing w:line="240" w:lineRule="auto"/>
    </w:pPr>
  </w:style>
  <w:style w:type="character" w:customStyle="1" w:styleId="FooterChar">
    <w:name w:val="Footer Char"/>
    <w:basedOn w:val="DefaultParagraphFont"/>
    <w:link w:val="Footer"/>
    <w:uiPriority w:val="99"/>
    <w:rsid w:val="00963A6A"/>
  </w:style>
  <w:style w:type="paragraph" w:styleId="BalloonText">
    <w:name w:val="Balloon Text"/>
    <w:basedOn w:val="Normal"/>
    <w:link w:val="BalloonTextChar"/>
    <w:uiPriority w:val="99"/>
    <w:semiHidden/>
    <w:unhideWhenUsed/>
    <w:rsid w:val="00963A6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A6A"/>
    <w:rPr>
      <w:rFonts w:ascii="Tahoma" w:hAnsi="Tahoma" w:cs="Tahoma"/>
      <w:sz w:val="16"/>
      <w:szCs w:val="16"/>
    </w:rPr>
  </w:style>
  <w:style w:type="character" w:customStyle="1" w:styleId="Heading2Char">
    <w:name w:val="Heading 2 Char"/>
    <w:basedOn w:val="DefaultParagraphFont"/>
    <w:link w:val="Heading2"/>
    <w:uiPriority w:val="9"/>
    <w:rsid w:val="00963A6A"/>
    <w:rPr>
      <w:rFonts w:ascii="Times New Roman" w:eastAsia="Times New Roman" w:hAnsi="Times New Roman" w:cs="Times New Roman"/>
      <w:b/>
      <w:bCs/>
      <w:sz w:val="36"/>
      <w:szCs w:val="36"/>
      <w:lang w:val="fr-FR" w:eastAsia="fr-FR"/>
    </w:rPr>
  </w:style>
  <w:style w:type="paragraph" w:styleId="FootnoteText">
    <w:name w:val="footnote text"/>
    <w:basedOn w:val="Normal"/>
    <w:link w:val="FootnoteTextChar"/>
    <w:uiPriority w:val="99"/>
    <w:semiHidden/>
    <w:unhideWhenUsed/>
    <w:rsid w:val="00963A6A"/>
    <w:pPr>
      <w:spacing w:line="240" w:lineRule="auto"/>
    </w:pPr>
    <w:rPr>
      <w:sz w:val="20"/>
      <w:szCs w:val="20"/>
      <w:lang w:val="fr-FR"/>
    </w:rPr>
  </w:style>
  <w:style w:type="character" w:customStyle="1" w:styleId="FootnoteTextChar">
    <w:name w:val="Footnote Text Char"/>
    <w:basedOn w:val="DefaultParagraphFont"/>
    <w:link w:val="FootnoteText"/>
    <w:uiPriority w:val="99"/>
    <w:semiHidden/>
    <w:rsid w:val="00963A6A"/>
    <w:rPr>
      <w:sz w:val="20"/>
      <w:szCs w:val="20"/>
      <w:lang w:val="fr-FR"/>
    </w:rPr>
  </w:style>
  <w:style w:type="character" w:styleId="FootnoteReference">
    <w:name w:val="footnote reference"/>
    <w:basedOn w:val="DefaultParagraphFont"/>
    <w:uiPriority w:val="99"/>
    <w:semiHidden/>
    <w:unhideWhenUsed/>
    <w:rsid w:val="00963A6A"/>
    <w:rPr>
      <w:vertAlign w:val="superscript"/>
    </w:rPr>
  </w:style>
  <w:style w:type="paragraph" w:customStyle="1" w:styleId="Default">
    <w:name w:val="Default"/>
    <w:rsid w:val="007A58E1"/>
    <w:pPr>
      <w:widowControl w:val="0"/>
      <w:autoSpaceDE w:val="0"/>
      <w:autoSpaceDN w:val="0"/>
      <w:adjustRightInd w:val="0"/>
      <w:spacing w:after="0" w:line="240" w:lineRule="auto"/>
    </w:pPr>
    <w:rPr>
      <w:rFonts w:ascii="Cambria" w:eastAsiaTheme="minorEastAsia" w:hAnsi="Cambria" w:cs="Cambria"/>
      <w:color w:val="000000"/>
      <w:sz w:val="24"/>
      <w:szCs w:val="24"/>
    </w:rPr>
  </w:style>
  <w:style w:type="character" w:customStyle="1" w:styleId="Heading1Char">
    <w:name w:val="Heading 1 Char"/>
    <w:basedOn w:val="DefaultParagraphFont"/>
    <w:link w:val="Heading1"/>
    <w:uiPriority w:val="9"/>
    <w:rsid w:val="00CC6746"/>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EF3ED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D22"/>
    <w:pPr>
      <w:spacing w:after="0"/>
    </w:pPr>
    <w:rPr>
      <w:rFonts w:ascii="Times New Roman" w:hAnsi="Times New Roman"/>
    </w:rPr>
  </w:style>
  <w:style w:type="paragraph" w:styleId="Heading1">
    <w:name w:val="heading 1"/>
    <w:basedOn w:val="Normal"/>
    <w:next w:val="Normal"/>
    <w:link w:val="Heading1Char"/>
    <w:uiPriority w:val="9"/>
    <w:qFormat/>
    <w:rsid w:val="00CC674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63A6A"/>
    <w:pPr>
      <w:spacing w:before="100" w:beforeAutospacing="1" w:after="100" w:afterAutospacing="1" w:line="240" w:lineRule="auto"/>
      <w:outlineLvl w:val="1"/>
    </w:pPr>
    <w:rPr>
      <w:rFonts w:eastAsia="Times New Roman" w:cs="Times New Roman"/>
      <w:b/>
      <w:bCs/>
      <w:sz w:val="36"/>
      <w:szCs w:val="36"/>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A6A"/>
    <w:pPr>
      <w:tabs>
        <w:tab w:val="center" w:pos="4680"/>
        <w:tab w:val="right" w:pos="9360"/>
      </w:tabs>
      <w:spacing w:line="240" w:lineRule="auto"/>
    </w:pPr>
  </w:style>
  <w:style w:type="character" w:customStyle="1" w:styleId="HeaderChar">
    <w:name w:val="Header Char"/>
    <w:basedOn w:val="DefaultParagraphFont"/>
    <w:link w:val="Header"/>
    <w:uiPriority w:val="99"/>
    <w:rsid w:val="00963A6A"/>
  </w:style>
  <w:style w:type="paragraph" w:styleId="Footer">
    <w:name w:val="footer"/>
    <w:basedOn w:val="Normal"/>
    <w:link w:val="FooterChar"/>
    <w:uiPriority w:val="99"/>
    <w:unhideWhenUsed/>
    <w:rsid w:val="00963A6A"/>
    <w:pPr>
      <w:tabs>
        <w:tab w:val="center" w:pos="4680"/>
        <w:tab w:val="right" w:pos="9360"/>
      </w:tabs>
      <w:spacing w:line="240" w:lineRule="auto"/>
    </w:pPr>
  </w:style>
  <w:style w:type="character" w:customStyle="1" w:styleId="FooterChar">
    <w:name w:val="Footer Char"/>
    <w:basedOn w:val="DefaultParagraphFont"/>
    <w:link w:val="Footer"/>
    <w:uiPriority w:val="99"/>
    <w:rsid w:val="00963A6A"/>
  </w:style>
  <w:style w:type="paragraph" w:styleId="BalloonText">
    <w:name w:val="Balloon Text"/>
    <w:basedOn w:val="Normal"/>
    <w:link w:val="BalloonTextChar"/>
    <w:uiPriority w:val="99"/>
    <w:semiHidden/>
    <w:unhideWhenUsed/>
    <w:rsid w:val="00963A6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A6A"/>
    <w:rPr>
      <w:rFonts w:ascii="Tahoma" w:hAnsi="Tahoma" w:cs="Tahoma"/>
      <w:sz w:val="16"/>
      <w:szCs w:val="16"/>
    </w:rPr>
  </w:style>
  <w:style w:type="character" w:customStyle="1" w:styleId="Heading2Char">
    <w:name w:val="Heading 2 Char"/>
    <w:basedOn w:val="DefaultParagraphFont"/>
    <w:link w:val="Heading2"/>
    <w:uiPriority w:val="9"/>
    <w:rsid w:val="00963A6A"/>
    <w:rPr>
      <w:rFonts w:ascii="Times New Roman" w:eastAsia="Times New Roman" w:hAnsi="Times New Roman" w:cs="Times New Roman"/>
      <w:b/>
      <w:bCs/>
      <w:sz w:val="36"/>
      <w:szCs w:val="36"/>
      <w:lang w:val="fr-FR" w:eastAsia="fr-FR"/>
    </w:rPr>
  </w:style>
  <w:style w:type="paragraph" w:styleId="FootnoteText">
    <w:name w:val="footnote text"/>
    <w:basedOn w:val="Normal"/>
    <w:link w:val="FootnoteTextChar"/>
    <w:uiPriority w:val="99"/>
    <w:semiHidden/>
    <w:unhideWhenUsed/>
    <w:rsid w:val="00963A6A"/>
    <w:pPr>
      <w:spacing w:line="240" w:lineRule="auto"/>
    </w:pPr>
    <w:rPr>
      <w:sz w:val="20"/>
      <w:szCs w:val="20"/>
      <w:lang w:val="fr-FR"/>
    </w:rPr>
  </w:style>
  <w:style w:type="character" w:customStyle="1" w:styleId="FootnoteTextChar">
    <w:name w:val="Footnote Text Char"/>
    <w:basedOn w:val="DefaultParagraphFont"/>
    <w:link w:val="FootnoteText"/>
    <w:uiPriority w:val="99"/>
    <w:semiHidden/>
    <w:rsid w:val="00963A6A"/>
    <w:rPr>
      <w:sz w:val="20"/>
      <w:szCs w:val="20"/>
      <w:lang w:val="fr-FR"/>
    </w:rPr>
  </w:style>
  <w:style w:type="character" w:styleId="FootnoteReference">
    <w:name w:val="footnote reference"/>
    <w:basedOn w:val="DefaultParagraphFont"/>
    <w:uiPriority w:val="99"/>
    <w:semiHidden/>
    <w:unhideWhenUsed/>
    <w:rsid w:val="00963A6A"/>
    <w:rPr>
      <w:vertAlign w:val="superscript"/>
    </w:rPr>
  </w:style>
  <w:style w:type="paragraph" w:customStyle="1" w:styleId="Default">
    <w:name w:val="Default"/>
    <w:rsid w:val="007A58E1"/>
    <w:pPr>
      <w:widowControl w:val="0"/>
      <w:autoSpaceDE w:val="0"/>
      <w:autoSpaceDN w:val="0"/>
      <w:adjustRightInd w:val="0"/>
      <w:spacing w:after="0" w:line="240" w:lineRule="auto"/>
    </w:pPr>
    <w:rPr>
      <w:rFonts w:ascii="Cambria" w:eastAsiaTheme="minorEastAsia" w:hAnsi="Cambria" w:cs="Cambria"/>
      <w:color w:val="000000"/>
      <w:sz w:val="24"/>
      <w:szCs w:val="24"/>
    </w:rPr>
  </w:style>
  <w:style w:type="character" w:customStyle="1" w:styleId="Heading1Char">
    <w:name w:val="Heading 1 Char"/>
    <w:basedOn w:val="DefaultParagraphFont"/>
    <w:link w:val="Heading1"/>
    <w:uiPriority w:val="9"/>
    <w:rsid w:val="00CC6746"/>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EF3E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4131568">
      <w:bodyDiv w:val="1"/>
      <w:marLeft w:val="0"/>
      <w:marRight w:val="0"/>
      <w:marTop w:val="0"/>
      <w:marBottom w:val="0"/>
      <w:divBdr>
        <w:top w:val="none" w:sz="0" w:space="0" w:color="auto"/>
        <w:left w:val="none" w:sz="0" w:space="0" w:color="auto"/>
        <w:bottom w:val="none" w:sz="0" w:space="0" w:color="auto"/>
        <w:right w:val="none" w:sz="0" w:space="0" w:color="auto"/>
      </w:divBdr>
    </w:div>
    <w:div w:id="1287658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813</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ICACM 17-</vt:lpstr>
    </vt:vector>
  </TitlesOfParts>
  <Company>Microsoft</Company>
  <LinksUpToDate>false</LinksUpToDate>
  <CharactersWithSpaces>5438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ICACM 17-</dc:title>
  <dc:creator>Benoit</dc:creator>
  <cp:lastModifiedBy>Benoit</cp:lastModifiedBy>
  <cp:revision>2</cp:revision>
  <cp:lastPrinted>2017-01-30T19:11:00Z</cp:lastPrinted>
  <dcterms:created xsi:type="dcterms:W3CDTF">2017-01-30T19:15:00Z</dcterms:created>
  <dcterms:modified xsi:type="dcterms:W3CDTF">2017-01-30T19:15:00Z</dcterms:modified>
</cp:coreProperties>
</file>