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2C" w:val="clear"/>
            <w:tcMar>
              <w:top w:type="dxa" w:w="280"/>
              <w:left w:type="dxa" w:w="500"/>
              <w:bottom w:type="dxa" w:w="280"/>
              <w:right w:type="dxa" w:w="500"/>
            </w:tcMar>
          </w:tcPr>
          <w:p>
            <w:pPr>
              <w:jc w:val="center"/>
            </w:pPr>
            <w:r>
              <w:rPr>
                <w:rFonts w:ascii="Arial" w:cs="Arial" w:eastAsia="Arial" w:hAnsi="Arial"/>
                <w:b/>
                <w:bCs/>
                <w:i w:val="false"/>
                <w:iCs w:val="false"/>
                <w:color w:val="B8860B"/>
                <w:sz w:val="80"/>
                <w:szCs w:val="80"/>
              </w:rPr>
              <w:t xml:space="preserve">KATHA</w:t>
            </w:r>
          </w:p>
          <w:p>
            <w:pPr>
              <w:spacing w:before="40" w:after="40"/>
              <w:jc w:val="center"/>
            </w:pPr>
            <w:r>
              <w:rPr>
                <w:rFonts w:ascii="Arial" w:cs="Arial" w:eastAsia="Arial" w:hAnsi="Arial"/>
                <w:b/>
                <w:bCs/>
                <w:i w:val="false"/>
                <w:iCs w:val="false"/>
                <w:color w:val="FFFFFF"/>
                <w:sz w:val="26"/>
                <w:szCs w:val="26"/>
              </w:rPr>
              <w:t xml:space="preserve">Guardrails, Ethics, and Judge Pushback Responses</w:t>
            </w:r>
          </w:p>
          <w:p>
            <w:pPr>
              <w:jc w:val="center"/>
            </w:pPr>
            <w:r>
              <w:rPr>
                <w:rFonts w:ascii="Arial" w:cs="Arial" w:eastAsia="Arial" w:hAnsi="Arial"/>
                <w:b w:val="false"/>
                <w:bCs w:val="false"/>
                <w:i w:val="false"/>
                <w:iCs w:val="false"/>
                <w:color w:val="667799"/>
                <w:sz w:val="16"/>
                <w:szCs w:val="16"/>
              </w:rPr>
              <w:t xml:space="preserve">Addendum to KATHA Spec v3.0  |  Murai Labs  |  Data Portability Hackathon 2026</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3C7" w:val="clear"/>
            <w:tcMar>
              <w:top w:type="dxa" w:w="140"/>
              <w:left w:type="dxa" w:w="160"/>
              <w:bottom w:type="dxa" w:w="140"/>
              <w:right w:type="dxa" w:w="120"/>
            </w:tcMar>
          </w:tcPr>
          <w:p>
            <w:r>
              <w:rPr>
                <w:rFonts w:ascii="Arial" w:cs="Arial" w:eastAsia="Arial" w:hAnsi="Arial"/>
                <w:b/>
                <w:bCs/>
                <w:i w:val="false"/>
                <w:iCs w:val="false"/>
                <w:color w:val="B8860B"/>
                <w:sz w:val="19"/>
                <w:szCs w:val="19"/>
              </w:rPr>
              <w:t xml:space="preserve">Purpose</w:t>
            </w:r>
          </w:p>
        </w:tc>
        <w:tc>
          <w:tcPr>
            <w:tcW w:type="dxa" w:w="8160"/>
            <w:tcBorders>
              <w:top w:val="none" w:color="FFFFFF" w:sz="0"/>
              <w:left w:val="none" w:color="FFFFFF" w:sz="0"/>
              <w:bottom w:val="none" w:color="FFFFFF" w:sz="0"/>
              <w:right w:val="none" w:color="FFFFFF" w:sz="0"/>
            </w:tcBorders>
            <w:shd w:fill="FEF3C7" w:val="clear"/>
            <w:tcMar>
              <w:top w:type="dxa" w:w="140"/>
              <w:left w:type="dxa" w:w="140"/>
              <w:bottom w:type="dxa" w:w="140"/>
              <w:right w:type="dxa" w:w="160"/>
            </w:tcMar>
          </w:tcPr>
          <w:p>
            <w:r>
              <w:rPr>
                <w:rFonts w:ascii="Arial" w:cs="Arial" w:eastAsia="Arial" w:hAnsi="Arial"/>
                <w:b w:val="false"/>
                <w:bCs w:val="false"/>
                <w:i w:val="false"/>
                <w:iCs w:val="false"/>
                <w:color w:val="333333"/>
                <w:sz w:val="19"/>
                <w:szCs w:val="19"/>
              </w:rPr>
              <w:t xml:space="preserve">This document directly addresses the three areas where judges are most likely to push back: the subjectivity of wisdom extraction, the ethics of departed elder reconstruction, and the sensitive data categories KATHA handles. Every response here is a demo-ready answer, not a deflection.</w:t>
            </w:r>
          </w:p>
        </w:tc>
      </w:tr>
    </w:tbl>
    <w:p>
      <w:pPr>
        <w:spacing w:before="100" w:after="0"/>
      </w:pPr>
      <w:r>
        <w:t xml:space="preserve"/>
      </w:r>
    </w:p>
    <w:p>
      <w:pPr>
        <w:pStyle w:val="Heading1"/>
        <w:pBdr>
          <w:bottom w:val="single" w:color="C0392B" w:sz="10"/>
        </w:pBdr>
        <w:spacing w:before="280" w:after="140"/>
      </w:pPr>
      <w:r>
        <w:rPr>
          <w:rFonts w:ascii="Arial" w:cs="Arial" w:eastAsia="Arial" w:hAnsi="Arial"/>
          <w:b/>
          <w:bCs/>
          <w:i w:val="false"/>
          <w:iCs w:val="false"/>
          <w:color w:val="1B2A4A"/>
          <w:sz w:val="32"/>
          <w:szCs w:val="32"/>
        </w:rPr>
        <w:t xml:space="preserve">What KATHA Does Not Do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20"/>
              <w:left w:type="dxa" w:w="320"/>
              <w:bottom w:type="dxa" w:w="220"/>
              <w:right w:type="dxa" w:w="320"/>
            </w:tcMar>
          </w:tcPr>
          <w:p>
            <w:pPr>
              <w:jc w:val="center"/>
            </w:pPr>
            <w:r>
              <w:rPr>
                <w:rFonts w:ascii="Arial" w:cs="Arial" w:eastAsia="Arial" w:hAnsi="Arial"/>
                <w:b w:val="false"/>
                <w:bCs w:val="false"/>
                <w:i/>
                <w:iCs/>
                <w:color w:val="FFFFFF"/>
                <w:sz w:val="22"/>
                <w:szCs w:val="22"/>
              </w:rPr>
              <w:t xml:space="preserve">We are not inventing wisdom. We are indexing patterns already present in the data.</w:t>
            </w:r>
          </w:p>
        </w:tc>
      </w:tr>
    </w:tbl>
    <w:p>
      <w:pPr>
        <w:spacing w:before="80" w:after="0"/>
      </w:pPr>
      <w:r>
        <w:t xml:space="preserve"/>
      </w:r>
    </w:p>
    <w:p>
      <w:pPr>
        <w:spacing w:before="60" w:after="60"/>
      </w:pPr>
      <w:r>
        <w:rPr>
          <w:rFonts w:ascii="Arial" w:cs="Arial" w:eastAsia="Arial" w:hAnsi="Arial"/>
          <w:b w:val="false"/>
          <w:bCs w:val="false"/>
          <w:i w:val="false"/>
          <w:iCs w:val="false"/>
          <w:color w:val="222222"/>
          <w:sz w:val="21"/>
          <w:szCs w:val="21"/>
        </w:rPr>
        <w:t xml:space="preserve">The most important thing to establish before a judge asks: KATHA is an indexing and delivery system, not a generative fiction engine. Every Living Memory Object is anchored to a source record in the original dataset. The wisdom extracted is the pattern revealed by what someone actually wrote, actually said, actually did -- not what a model imagines they might have believed.</w:t>
      </w:r>
    </w:p>
    <w:p>
      <w:pPr>
        <w:spacing w:before="60" w:after="0"/>
      </w:pPr>
      <w:r>
        <w:t xml:space="preserve"/>
      </w:r>
    </w:p>
    <w:p>
      <w:pPr>
        <w:spacing w:before="60" w:after="60"/>
      </w:pPr>
      <w:r>
        <w:rPr>
          <w:rFonts w:ascii="Arial" w:cs="Arial" w:eastAsia="Arial" w:hAnsi="Arial"/>
          <w:b w:val="false"/>
          <w:bCs w:val="false"/>
          <w:i w:val="false"/>
          <w:iCs w:val="false"/>
          <w:color w:val="222222"/>
          <w:sz w:val="21"/>
          <w:szCs w:val="21"/>
        </w:rPr>
        <w:t xml:space="preserve">When a judge asks "Isn't this just the model projecting values?" -- the answer is precise: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single" w:color="C0392B" w:sz="20"/>
              <w:bottom w:val="none" w:color="FFFFFF" w:sz="0"/>
              <w:right w:val="none" w:color="FFFFFF" w:sz="0"/>
            </w:tcBorders>
            <w:shd w:fill="FFFFFF"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8F8F6" w:val="clear"/>
            <w:tcMar>
              <w:top w:type="dxa" w:w="140"/>
              <w:left w:type="dxa" w:w="220"/>
              <w:bottom w:type="dxa" w:w="140"/>
              <w:right w:type="dxa" w:w="220"/>
            </w:tcMar>
          </w:tcPr>
          <w:p>
            <w:pPr>
              <w:spacing w:before="0" w:after="0"/>
            </w:pPr>
            <w:r>
              <w:rPr>
                <w:rFonts w:ascii="Arial" w:cs="Arial" w:eastAsia="Arial" w:hAnsi="Arial"/>
                <w:b w:val="false"/>
                <w:bCs w:val="false"/>
                <w:i/>
                <w:iCs/>
                <w:color w:val="1B2A4A"/>
                <w:sz w:val="22"/>
                <w:szCs w:val="22"/>
              </w:rPr>
              <w:t xml:space="preserve">The model finds specificity. "She sends money without announcing it" is in the data. "She is generous" is our word for it -- so we do not use that word. The LMO contains her exact words, her exact action, the exact situation. The extraction identifies the pattern. The source record proves it.</w:t>
            </w:r>
          </w:p>
        </w:tc>
      </w:tr>
    </w:tbl>
    <w:p>
      <w:pPr>
        <w:spacing w:before="80" w:after="0"/>
      </w:pPr>
      <w:r>
        <w:t xml:space="preserve"/>
      </w:r>
    </w:p>
    <w:p>
      <w:pPr>
        <w:pStyle w:val="Heading2"/>
        <w:spacing w:before="200" w:after="80"/>
      </w:pPr>
      <w:r>
        <w:rPr>
          <w:rFonts w:ascii="Arial" w:cs="Arial" w:eastAsia="Arial" w:hAnsi="Arial"/>
          <w:b/>
          <w:bCs/>
          <w:i w:val="false"/>
          <w:iCs w:val="false"/>
          <w:color w:val="1B2A4A"/>
          <w:sz w:val="24"/>
          <w:szCs w:val="24"/>
        </w:rPr>
        <w:t xml:space="preserve">The Do / Do Not Table</w:t>
      </w:r>
    </w:p>
    <w:p>
      <w:pPr>
        <w:spacing w:before="60" w:after="60"/>
      </w:pPr>
      <w:r>
        <w:rPr>
          <w:rFonts w:ascii="Arial" w:cs="Arial" w:eastAsia="Arial" w:hAnsi="Arial"/>
          <w:b w:val="false"/>
          <w:bCs w:val="false"/>
          <w:i w:val="false"/>
          <w:iCs w:val="false"/>
          <w:color w:val="222222"/>
          <w:sz w:val="21"/>
          <w:szCs w:val="21"/>
        </w:rPr>
        <w:t xml:space="preserve">This table should appear in the README, in the demo video, and be ready to deliver verbally when a judge asks about extraction quality: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4"/>
              <w:left w:val="single" w:color="E2E8F0" w:sz="4"/>
              <w:bottom w:val="single" w:color="E2E8F0" w:sz="4"/>
              <w:right w:val="single" w:color="E2E8F0" w:sz="4"/>
            </w:tcBorders>
            <w:shd w:fill="14532D" w:val="clear"/>
            <w:tcMar>
              <w:top w:type="dxa" w:w="100"/>
              <w:left w:type="dxa" w:w="160"/>
              <w:bottom w:type="dxa" w:w="100"/>
              <w:right w:type="dxa" w:w="160"/>
            </w:tcMar>
          </w:tcPr>
          <w:p>
            <w:r>
              <w:rPr>
                <w:rFonts w:ascii="Arial" w:cs="Arial" w:eastAsia="Arial" w:hAnsi="Arial"/>
                <w:b/>
                <w:bCs/>
                <w:i w:val="false"/>
                <w:iCs w:val="false"/>
                <w:color w:val="FFFFFF"/>
                <w:sz w:val="21"/>
                <w:szCs w:val="21"/>
              </w:rPr>
              <w:t xml:space="preserve">KATHA DOES</w:t>
            </w:r>
          </w:p>
        </w:tc>
        <w:tc>
          <w:tcPr>
            <w:tcW w:type="dxa" w:w="4680"/>
            <w:tcBorders>
              <w:top w:val="single" w:color="E2E8F0" w:sz="4"/>
              <w:left w:val="single" w:color="E2E8F0" w:sz="4"/>
              <w:bottom w:val="single" w:color="E2E8F0" w:sz="4"/>
              <w:right w:val="single" w:color="E2E8F0" w:sz="4"/>
            </w:tcBorders>
            <w:shd w:fill="7B1C1C" w:val="clear"/>
            <w:tcMar>
              <w:top w:type="dxa" w:w="100"/>
              <w:left w:type="dxa" w:w="160"/>
              <w:bottom w:type="dxa" w:w="100"/>
              <w:right w:type="dxa" w:w="160"/>
            </w:tcMar>
          </w:tcPr>
          <w:p>
            <w:r>
              <w:rPr>
                <w:rFonts w:ascii="Arial" w:cs="Arial" w:eastAsia="Arial" w:hAnsi="Arial"/>
                <w:b/>
                <w:bCs/>
                <w:i w:val="false"/>
                <w:iCs w:val="false"/>
                <w:color w:val="FFFFFF"/>
                <w:sz w:val="21"/>
                <w:szCs w:val="21"/>
              </w:rPr>
              <w:t xml:space="preserve">KATHA DOES NOT</w:t>
            </w:r>
          </w:p>
        </w:tc>
      </w:tr>
      <w:tr>
        <w:tc>
          <w:tcPr>
            <w:tcW w:type="dxa" w:w="4680"/>
            <w:tcBorders>
              <w:top w:val="single" w:color="E2E8F0" w:sz="4"/>
              <w:left w:val="single" w:color="E2E8F0" w:sz="4"/>
              <w:bottom w:val="single" w:color="E2E8F0" w:sz="4"/>
              <w:right w:val="single" w:color="E2E8F0" w:sz="4"/>
            </w:tcBorders>
            <w:shd w:fill="DCFCE7" w:val="clear"/>
            <w:tcMar>
              <w:top w:type="dxa" w:w="80"/>
              <w:left w:type="dxa" w:w="160"/>
              <w:bottom w:type="dxa" w:w="80"/>
              <w:right w:type="dxa" w:w="160"/>
            </w:tcMar>
          </w:tcPr>
          <w:p>
            <w:r>
              <w:rPr>
                <w:rFonts w:ascii="Arial" w:cs="Arial" w:eastAsia="Arial" w:hAnsi="Arial"/>
                <w:b w:val="false"/>
                <w:bCs w:val="false"/>
                <w:i w:val="false"/>
                <w:iCs w:val="false"/>
                <w:color w:val="14532D"/>
                <w:sz w:val="19"/>
                <w:szCs w:val="19"/>
              </w:rPr>
              <w:t xml:space="preserve">Extract wisdom patterns already present in source data</w:t>
            </w:r>
          </w:p>
        </w:tc>
        <w:tc>
          <w:tcPr>
            <w:tcW w:type="dxa" w:w="4680"/>
            <w:tcBorders>
              <w:top w:val="single" w:color="E2E8F0" w:sz="4"/>
              <w:left w:val="single" w:color="E2E8F0" w:sz="4"/>
              <w:bottom w:val="single" w:color="E2E8F0" w:sz="4"/>
              <w:right w:val="single" w:color="E2E8F0" w:sz="4"/>
            </w:tcBorders>
            <w:shd w:fill="FDECEA" w:val="clear"/>
            <w:tcMar>
              <w:top w:type="dxa" w:w="80"/>
              <w:left w:type="dxa" w:w="160"/>
              <w:bottom w:type="dxa" w:w="80"/>
              <w:right w:type="dxa" w:w="160"/>
            </w:tcMar>
          </w:tcPr>
          <w:p>
            <w:r>
              <w:rPr>
                <w:rFonts w:ascii="Arial" w:cs="Arial" w:eastAsia="Arial" w:hAnsi="Arial"/>
                <w:b w:val="false"/>
                <w:bCs w:val="false"/>
                <w:i w:val="false"/>
                <w:iCs w:val="false"/>
                <w:color w:val="7B1C1C"/>
                <w:sz w:val="19"/>
                <w:szCs w:val="19"/>
              </w:rPr>
              <w:t xml:space="preserve">Invent beliefs, values, or memories not in the data</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i w:val="false"/>
                <w:iCs w:val="false"/>
                <w:color w:val="14532D"/>
                <w:sz w:val="19"/>
                <w:szCs w:val="19"/>
              </w:rPr>
              <w:t xml:space="preserve">Anchor every LMO to a verbatim source record with sourceRef field</w:t>
            </w:r>
          </w:p>
        </w:tc>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i w:val="false"/>
                <w:iCs w:val="false"/>
                <w:color w:val="7B1C1C"/>
                <w:sz w:val="19"/>
                <w:szCs w:val="19"/>
              </w:rPr>
              <w:t xml:space="preserve">Replace or overwrite source records -- originals are immutable</w:t>
            </w:r>
          </w:p>
        </w:tc>
      </w:tr>
      <w:tr>
        <w:tc>
          <w:tcPr>
            <w:tcW w:type="dxa" w:w="4680"/>
            <w:tcBorders>
              <w:top w:val="single" w:color="E2E8F0" w:sz="4"/>
              <w:left w:val="single" w:color="E2E8F0" w:sz="4"/>
              <w:bottom w:val="single" w:color="E2E8F0" w:sz="4"/>
              <w:right w:val="single" w:color="E2E8F0" w:sz="4"/>
            </w:tcBorders>
            <w:shd w:fill="DCFCE7" w:val="clear"/>
            <w:tcMar>
              <w:top w:type="dxa" w:w="80"/>
              <w:left w:type="dxa" w:w="160"/>
              <w:bottom w:type="dxa" w:w="80"/>
              <w:right w:type="dxa" w:w="160"/>
            </w:tcMar>
          </w:tcPr>
          <w:p>
            <w:r>
              <w:rPr>
                <w:rFonts w:ascii="Arial" w:cs="Arial" w:eastAsia="Arial" w:hAnsi="Arial"/>
                <w:b w:val="false"/>
                <w:bCs w:val="false"/>
                <w:i w:val="false"/>
                <w:iCs w:val="false"/>
                <w:color w:val="14532D"/>
                <w:sz w:val="19"/>
                <w:szCs w:val="19"/>
              </w:rPr>
              <w:t xml:space="preserve">Use emotionalWeight threshold (&gt;=6) to filter out weak signals</w:t>
            </w:r>
          </w:p>
        </w:tc>
        <w:tc>
          <w:tcPr>
            <w:tcW w:type="dxa" w:w="4680"/>
            <w:tcBorders>
              <w:top w:val="single" w:color="E2E8F0" w:sz="4"/>
              <w:left w:val="single" w:color="E2E8F0" w:sz="4"/>
              <w:bottom w:val="single" w:color="E2E8F0" w:sz="4"/>
              <w:right w:val="single" w:color="E2E8F0" w:sz="4"/>
            </w:tcBorders>
            <w:shd w:fill="FDECEA" w:val="clear"/>
            <w:tcMar>
              <w:top w:type="dxa" w:w="80"/>
              <w:left w:type="dxa" w:w="160"/>
              <w:bottom w:type="dxa" w:w="80"/>
              <w:right w:type="dxa" w:w="160"/>
            </w:tcMar>
          </w:tcPr>
          <w:p>
            <w:r>
              <w:rPr>
                <w:rFonts w:ascii="Arial" w:cs="Arial" w:eastAsia="Arial" w:hAnsi="Arial"/>
                <w:b w:val="false"/>
                <w:bCs w:val="false"/>
                <w:i w:val="false"/>
                <w:iCs w:val="false"/>
                <w:color w:val="7B1C1C"/>
                <w:sz w:val="19"/>
                <w:szCs w:val="19"/>
              </w:rPr>
              <w:t xml:space="preserve">Surface every entry regardless of significance</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i w:val="false"/>
                <w:iCs w:val="false"/>
                <w:color w:val="14532D"/>
                <w:sz w:val="19"/>
                <w:szCs w:val="19"/>
              </w:rPr>
              <w:t xml:space="preserve">Require parent approval before any LMO enters the passport</w:t>
            </w:r>
          </w:p>
        </w:tc>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i w:val="false"/>
                <w:iCs w:val="false"/>
                <w:color w:val="7B1C1C"/>
                <w:sz w:val="19"/>
                <w:szCs w:val="19"/>
              </w:rPr>
              <w:t xml:space="preserve">Automatically add extracted memories without human review</w:t>
            </w:r>
          </w:p>
        </w:tc>
      </w:tr>
      <w:tr>
        <w:tc>
          <w:tcPr>
            <w:tcW w:type="dxa" w:w="4680"/>
            <w:tcBorders>
              <w:top w:val="single" w:color="E2E8F0" w:sz="4"/>
              <w:left w:val="single" w:color="E2E8F0" w:sz="4"/>
              <w:bottom w:val="single" w:color="E2E8F0" w:sz="4"/>
              <w:right w:val="single" w:color="E2E8F0" w:sz="4"/>
            </w:tcBorders>
            <w:shd w:fill="DCFCE7" w:val="clear"/>
            <w:tcMar>
              <w:top w:type="dxa" w:w="80"/>
              <w:left w:type="dxa" w:w="160"/>
              <w:bottom w:type="dxa" w:w="80"/>
              <w:right w:type="dxa" w:w="160"/>
            </w:tcMar>
          </w:tcPr>
          <w:p>
            <w:r>
              <w:rPr>
                <w:rFonts w:ascii="Arial" w:cs="Arial" w:eastAsia="Arial" w:hAnsi="Arial"/>
                <w:b w:val="false"/>
                <w:bCs w:val="false"/>
                <w:i w:val="false"/>
                <w:iCs w:val="false"/>
                <w:color w:val="14532D"/>
                <w:sz w:val="19"/>
                <w:szCs w:val="19"/>
              </w:rPr>
              <w:t xml:space="preserve">Label every delivery with the source memory it draws from</w:t>
            </w:r>
          </w:p>
        </w:tc>
        <w:tc>
          <w:tcPr>
            <w:tcW w:type="dxa" w:w="4680"/>
            <w:tcBorders>
              <w:top w:val="single" w:color="E2E8F0" w:sz="4"/>
              <w:left w:val="single" w:color="E2E8F0" w:sz="4"/>
              <w:bottom w:val="single" w:color="E2E8F0" w:sz="4"/>
              <w:right w:val="single" w:color="E2E8F0" w:sz="4"/>
            </w:tcBorders>
            <w:shd w:fill="FDECEA" w:val="clear"/>
            <w:tcMar>
              <w:top w:type="dxa" w:w="80"/>
              <w:left w:type="dxa" w:w="160"/>
              <w:bottom w:type="dxa" w:w="80"/>
              <w:right w:type="dxa" w:w="160"/>
            </w:tcMar>
          </w:tcPr>
          <w:p>
            <w:r>
              <w:rPr>
                <w:rFonts w:ascii="Arial" w:cs="Arial" w:eastAsia="Arial" w:hAnsi="Arial"/>
                <w:b w:val="false"/>
                <w:bCs w:val="false"/>
                <w:i w:val="false"/>
                <w:iCs w:val="false"/>
                <w:color w:val="7B1C1C"/>
                <w:sz w:val="19"/>
                <w:szCs w:val="19"/>
              </w:rPr>
              <w:t xml:space="preserve">Present AI-generated text as if it were a direct quote</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i w:val="false"/>
                <w:iCs w:val="false"/>
                <w:color w:val="14532D"/>
                <w:sz w:val="19"/>
                <w:szCs w:val="19"/>
              </w:rPr>
              <w:t xml:space="preserve">Allow families to delete, reject, or correct any LMO</w:t>
            </w:r>
          </w:p>
        </w:tc>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i w:val="false"/>
                <w:iCs w:val="false"/>
                <w:color w:val="7B1C1C"/>
                <w:sz w:val="19"/>
                <w:szCs w:val="19"/>
              </w:rPr>
              <w:t xml:space="preserve">Lock extracted memories in without an edit or removal path</w:t>
            </w:r>
          </w:p>
        </w:tc>
      </w:tr>
      <w:tr>
        <w:tc>
          <w:tcPr>
            <w:tcW w:type="dxa" w:w="4680"/>
            <w:tcBorders>
              <w:top w:val="single" w:color="E2E8F0" w:sz="4"/>
              <w:left w:val="single" w:color="E2E8F0" w:sz="4"/>
              <w:bottom w:val="single" w:color="E2E8F0" w:sz="4"/>
              <w:right w:val="single" w:color="E2E8F0" w:sz="4"/>
            </w:tcBorders>
            <w:shd w:fill="DCFCE7" w:val="clear"/>
            <w:tcMar>
              <w:top w:type="dxa" w:w="80"/>
              <w:left w:type="dxa" w:w="160"/>
              <w:bottom w:type="dxa" w:w="80"/>
              <w:right w:type="dxa" w:w="160"/>
            </w:tcMar>
          </w:tcPr>
          <w:p>
            <w:r>
              <w:rPr>
                <w:rFonts w:ascii="Arial" w:cs="Arial" w:eastAsia="Arial" w:hAnsi="Arial"/>
                <w:b w:val="false"/>
                <w:bCs w:val="false"/>
                <w:i w:val="false"/>
                <w:iCs w:val="false"/>
                <w:color w:val="14532D"/>
                <w:sz w:val="19"/>
                <w:szCs w:val="19"/>
              </w:rPr>
              <w:t xml:space="preserve">Store original source text alongside the extraction</w:t>
            </w:r>
          </w:p>
        </w:tc>
        <w:tc>
          <w:tcPr>
            <w:tcW w:type="dxa" w:w="4680"/>
            <w:tcBorders>
              <w:top w:val="single" w:color="E2E8F0" w:sz="4"/>
              <w:left w:val="single" w:color="E2E8F0" w:sz="4"/>
              <w:bottom w:val="single" w:color="E2E8F0" w:sz="4"/>
              <w:right w:val="single" w:color="E2E8F0" w:sz="4"/>
            </w:tcBorders>
            <w:shd w:fill="FDECEA" w:val="clear"/>
            <w:tcMar>
              <w:top w:type="dxa" w:w="80"/>
              <w:left w:type="dxa" w:w="160"/>
              <w:bottom w:type="dxa" w:w="80"/>
              <w:right w:type="dxa" w:w="160"/>
            </w:tcMar>
          </w:tcPr>
          <w:p>
            <w:r>
              <w:rPr>
                <w:rFonts w:ascii="Arial" w:cs="Arial" w:eastAsia="Arial" w:hAnsi="Arial"/>
                <w:b w:val="false"/>
                <w:bCs w:val="false"/>
                <w:i w:val="false"/>
                <w:iCs w:val="false"/>
                <w:color w:val="7B1C1C"/>
                <w:sz w:val="19"/>
                <w:szCs w:val="19"/>
              </w:rPr>
              <w:t xml:space="preserve">Discard originals after extraction</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i w:val="false"/>
                <w:iCs w:val="false"/>
                <w:color w:val="14532D"/>
                <w:sz w:val="19"/>
                <w:szCs w:val="19"/>
              </w:rPr>
              <w:t xml:space="preserve">Show the full extraction chain in the audit log</w:t>
            </w:r>
          </w:p>
        </w:tc>
        <w:tc>
          <w:tcPr>
            <w:tcW w:type="dxa" w:w="468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i w:val="false"/>
                <w:iCs w:val="false"/>
                <w:color w:val="7B1C1C"/>
                <w:sz w:val="19"/>
                <w:szCs w:val="19"/>
              </w:rPr>
              <w:t xml:space="preserve">Hide the provenance of any wisdom delivery</w:t>
            </w:r>
          </w:p>
        </w:tc>
      </w:tr>
    </w:tbl>
    <w:p>
      <w:pPr>
        <w:spacing w:before="80" w:after="0"/>
      </w:pPr>
      <w:r>
        <w:t xml:space="preserve"/>
      </w:r>
    </w:p>
    <w:p>
      <w:pPr>
        <w:pStyle w:val="Heading2"/>
        <w:spacing w:before="200" w:after="80"/>
      </w:pPr>
      <w:r>
        <w:rPr>
          <w:rFonts w:ascii="Arial" w:cs="Arial" w:eastAsia="Arial" w:hAnsi="Arial"/>
          <w:b/>
          <w:bCs/>
          <w:i w:val="false"/>
          <w:iCs w:val="false"/>
          <w:color w:val="1B2A4A"/>
          <w:sz w:val="24"/>
          <w:szCs w:val="24"/>
        </w:rPr>
        <w:t xml:space="preserve">The Three Extraction Constraints -- In the Prompt</w:t>
      </w:r>
    </w:p>
    <w:p>
      <w:pPr>
        <w:spacing w:before="60" w:after="60"/>
      </w:pPr>
      <w:r>
        <w:rPr>
          <w:rFonts w:ascii="Arial" w:cs="Arial" w:eastAsia="Arial" w:hAnsi="Arial"/>
          <w:b w:val="false"/>
          <w:bCs w:val="false"/>
          <w:i w:val="false"/>
          <w:iCs w:val="false"/>
          <w:color w:val="222222"/>
          <w:sz w:val="21"/>
          <w:szCs w:val="21"/>
        </w:rPr>
        <w:t xml:space="preserve">The extraction prompt enforces specificity at the instruction level. This is not a post-hoc governance policy -- it is built into every Claude call: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Constraint</w:t>
            </w:r>
          </w:p>
        </w:tc>
        <w:tc>
          <w:tcPr>
            <w:tcW w:type="dxa" w:w="69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How It Is Enforced</w:t>
            </w:r>
          </w:p>
        </w:tc>
      </w:tr>
      <w:tr>
        <w:tc>
          <w:tcPr>
            <w:tcW w:type="dxa" w:w="24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bCs/>
                <w:i w:val="false"/>
                <w:iCs w:val="false"/>
                <w:color w:val="1B2A4A"/>
                <w:sz w:val="19"/>
                <w:szCs w:val="19"/>
              </w:rPr>
              <w:t xml:space="preserve">Specificity mandate</w:t>
            </w:r>
          </w:p>
        </w:tc>
        <w:tc>
          <w:tcPr>
            <w:tcW w:type="dxa" w:w="696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Prompt instruction: "She sends money without announcing it is specific. She is generous is not. Find the specific." The model is penalized -- by instruction -- for abstraction.</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i w:val="false"/>
                <w:iCs w:val="false"/>
                <w:color w:val="1B2A4A"/>
                <w:sz w:val="19"/>
                <w:szCs w:val="19"/>
              </w:rPr>
              <w:t xml:space="preserve">EmotionalWeight gate</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Only entries scoring 6 or above on a 1-10 scale are included. Low-signal entries (routine activities, repeated filler) are discarded. The gate is applied by the classifier, not the extractor.</w:t>
            </w:r>
          </w:p>
        </w:tc>
      </w:tr>
      <w:tr>
        <w:tc>
          <w:tcPr>
            <w:tcW w:type="dxa" w:w="24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bCs/>
                <w:i w:val="false"/>
                <w:iCs w:val="false"/>
                <w:color w:val="1B2A4A"/>
                <w:sz w:val="19"/>
                <w:szCs w:val="19"/>
              </w:rPr>
              <w:t xml:space="preserve">Source anchoring</w:t>
            </w:r>
          </w:p>
        </w:tc>
        <w:tc>
          <w:tcPr>
            <w:tcW w:type="dxa" w:w="696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Every LMO contains sourceRef (the original record ID), content.original (verbatim source text), and content.wisdomExtracted (the interpretation). The interpretation is always subordinate to the original. Parent sees both.</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i w:val="false"/>
                <w:iCs w:val="false"/>
                <w:color w:val="1B2A4A"/>
                <w:sz w:val="19"/>
                <w:szCs w:val="19"/>
              </w:rPr>
              <w:t xml:space="preserve">Parent approval gate</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No LMO enters the passport without a human review step. The parent dashboard presents each extracted memory alongside the original source entry. One click to approve, reject, or edit the interpretation.</w:t>
            </w:r>
          </w:p>
        </w:tc>
      </w:tr>
      <w:tr>
        <w:tc>
          <w:tcPr>
            <w:tcW w:type="dxa" w:w="24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bCs/>
                <w:i w:val="false"/>
                <w:iCs w:val="false"/>
                <w:color w:val="1B2A4A"/>
                <w:sz w:val="19"/>
                <w:szCs w:val="19"/>
              </w:rPr>
              <w:t xml:space="preserve">Audit provenance</w:t>
            </w:r>
          </w:p>
        </w:tc>
        <w:tc>
          <w:tcPr>
            <w:tcW w:type="dxa" w:w="696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Every wisdom delivery logs: which LMO was used, which sourceRef it came from, what scopes were active, which agent made the call. The full chain is reconstructable.</w:t>
            </w:r>
          </w:p>
        </w:tc>
      </w:tr>
    </w:tbl>
    <w:p>
      <w:pPr>
        <w:spacing w:before="80" w:after="0"/>
      </w:pPr>
      <w:r>
        <w:t xml:space="preserve"/>
      </w:r>
    </w:p>
    <w:p>
      <w:pPr>
        <w:pStyle w:val="Heading2"/>
        <w:spacing w:before="200" w:after="80"/>
      </w:pPr>
      <w:r>
        <w:rPr>
          <w:rFonts w:ascii="Arial" w:cs="Arial" w:eastAsia="Arial" w:hAnsi="Arial"/>
          <w:b/>
          <w:bCs/>
          <w:i w:val="false"/>
          <w:iCs w:val="false"/>
          <w:color w:val="1B2A4A"/>
          <w:sz w:val="24"/>
          <w:szCs w:val="24"/>
        </w:rPr>
        <w:t xml:space="preserve">Verbatim Demo Answer -- "Isn't this just the model projecting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CFCE7" w:val="clear"/>
            <w:tcMar>
              <w:top w:type="dxa" w:w="140"/>
              <w:left w:type="dxa" w:w="160"/>
              <w:bottom w:type="dxa" w:w="140"/>
              <w:right w:type="dxa" w:w="120"/>
            </w:tcMar>
          </w:tcPr>
          <w:p>
            <w:r>
              <w:rPr>
                <w:rFonts w:ascii="Arial" w:cs="Arial" w:eastAsia="Arial" w:hAnsi="Arial"/>
                <w:b/>
                <w:bCs/>
                <w:i w:val="false"/>
                <w:iCs w:val="false"/>
                <w:color w:val="14532D"/>
                <w:sz w:val="19"/>
                <w:szCs w:val="19"/>
              </w:rPr>
              <w:t xml:space="preserve">Say This</w:t>
            </w:r>
          </w:p>
        </w:tc>
        <w:tc>
          <w:tcPr>
            <w:tcW w:type="dxa" w:w="8160"/>
            <w:tcBorders>
              <w:top w:val="none" w:color="FFFFFF" w:sz="0"/>
              <w:left w:val="none" w:color="FFFFFF" w:sz="0"/>
              <w:bottom w:val="none" w:color="FFFFFF" w:sz="0"/>
              <w:right w:val="none" w:color="FFFFFF" w:sz="0"/>
            </w:tcBorders>
            <w:shd w:fill="DCFCE7" w:val="clear"/>
            <w:tcMar>
              <w:top w:type="dxa" w:w="140"/>
              <w:left w:type="dxa" w:w="140"/>
              <w:bottom w:type="dxa" w:w="140"/>
              <w:right w:type="dxa" w:w="160"/>
            </w:tcMar>
          </w:tcPr>
          <w:p>
            <w:r>
              <w:rPr>
                <w:rFonts w:ascii="Arial" w:cs="Arial" w:eastAsia="Arial" w:hAnsi="Arial"/>
                <w:b w:val="false"/>
                <w:bCs w:val="false"/>
                <w:i w:val="false"/>
                <w:iCs w:val="false"/>
                <w:color w:val="333333"/>
                <w:sz w:val="19"/>
                <w:szCs w:val="19"/>
              </w:rPr>
              <w:t xml:space="preserve">Look at the source record. ll_0043: "My son Rohan called. He sounded okay but his voice does that thing when he's not okay. I sent money I didn't say was coming." That is the data. The model found: love expressed as quiet, unannounced action. That is not a projection -- that is a reading. Every judge in this room can look at that entry and confirm the reading is accurate. The source is always there. The original is always there. We are not inventing Sunita. We are indexing her.</w:t>
            </w:r>
          </w:p>
        </w:tc>
      </w:tr>
    </w:tbl>
    <w:p>
      <w:pPr>
        <w:spacing w:before="100" w:after="0"/>
      </w:pPr>
      <w:r>
        <w:t xml:space="preserve"/>
      </w:r>
    </w:p>
    <w:p>
      <w:r>
        <w:br w:type="page"/>
      </w:r>
    </w:p>
    <w:p>
      <w:pPr>
        <w:pStyle w:val="Heading1"/>
        <w:pBdr>
          <w:bottom w:val="single" w:color="C0392B" w:sz="10"/>
        </w:pBdr>
        <w:spacing w:before="280" w:after="140"/>
      </w:pPr>
      <w:r>
        <w:rPr>
          <w:rFonts w:ascii="Arial" w:cs="Arial" w:eastAsia="Arial" w:hAnsi="Arial"/>
          <w:b/>
          <w:bCs/>
          <w:i w:val="false"/>
          <w:iCs w:val="false"/>
          <w:color w:val="1B2A4A"/>
          <w:sz w:val="32"/>
          <w:szCs w:val="32"/>
        </w:rPr>
        <w:t xml:space="preserve">Departed Elder Reconstruction -- Ethics and Guardrails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0E6" w:val="clear"/>
            <w:tcMar>
              <w:top w:type="dxa" w:w="140"/>
              <w:left w:type="dxa" w:w="160"/>
              <w:bottom w:type="dxa" w:w="140"/>
              <w:right w:type="dxa" w:w="120"/>
            </w:tcMar>
          </w:tcPr>
          <w:p>
            <w:r>
              <w:rPr>
                <w:rFonts w:ascii="Arial" w:cs="Arial" w:eastAsia="Arial" w:hAnsi="Arial"/>
                <w:b/>
                <w:bCs/>
                <w:i w:val="false"/>
                <w:iCs w:val="false"/>
                <w:color w:val="C2622D"/>
                <w:sz w:val="19"/>
                <w:szCs w:val="19"/>
              </w:rPr>
              <w:t xml:space="preserve">The Risk</w:t>
            </w:r>
          </w:p>
        </w:tc>
        <w:tc>
          <w:tcPr>
            <w:tcW w:type="dxa" w:w="8160"/>
            <w:tcBorders>
              <w:top w:val="none" w:color="FFFFFF" w:sz="0"/>
              <w:left w:val="none" w:color="FFFFFF" w:sz="0"/>
              <w:bottom w:val="none" w:color="FFFFFF" w:sz="0"/>
              <w:right w:val="none" w:color="FFFFFF" w:sz="0"/>
            </w:tcBorders>
            <w:shd w:fill="FEF0E6" w:val="clear"/>
            <w:tcMar>
              <w:top w:type="dxa" w:w="140"/>
              <w:left w:type="dxa" w:w="140"/>
              <w:bottom w:type="dxa" w:w="140"/>
              <w:right w:type="dxa" w:w="160"/>
            </w:tcMar>
          </w:tcPr>
          <w:p>
            <w:r>
              <w:rPr>
                <w:rFonts w:ascii="Arial" w:cs="Arial" w:eastAsia="Arial" w:hAnsi="Arial"/>
                <w:b w:val="false"/>
                <w:bCs w:val="false"/>
                <w:i w:val="false"/>
                <w:iCs w:val="false"/>
                <w:color w:val="333333"/>
                <w:sz w:val="19"/>
                <w:szCs w:val="19"/>
              </w:rPr>
              <w:t xml:space="preserve">A policy-minded judge may ask: "How do you prevent misrepresentation of a deceased person?" This is the sharpest ethical edge in the system. The answer must be clear, immediate, and non-defensive.</w:t>
            </w:r>
          </w:p>
        </w:tc>
      </w:tr>
    </w:tbl>
    <w:p>
      <w:pPr>
        <w:spacing w:before="80" w:after="0"/>
      </w:pPr>
      <w:r>
        <w:t xml:space="preserve"/>
      </w:r>
    </w:p>
    <w:p>
      <w:pPr>
        <w:pStyle w:val="Heading2"/>
        <w:spacing w:before="200" w:after="80"/>
      </w:pPr>
      <w:r>
        <w:rPr>
          <w:rFonts w:ascii="Arial" w:cs="Arial" w:eastAsia="Arial" w:hAnsi="Arial"/>
          <w:b/>
          <w:bCs/>
          <w:i w:val="false"/>
          <w:iCs w:val="false"/>
          <w:color w:val="1B2A4A"/>
          <w:sz w:val="24"/>
          <w:szCs w:val="24"/>
        </w:rPr>
        <w:t xml:space="preserve">The Core Distinction</w:t>
      </w:r>
    </w:p>
    <w:p>
      <w:pPr>
        <w:spacing w:before="60" w:after="60"/>
      </w:pPr>
      <w:r>
        <w:rPr>
          <w:rFonts w:ascii="Arial" w:cs="Arial" w:eastAsia="Arial" w:hAnsi="Arial"/>
          <w:b w:val="false"/>
          <w:bCs w:val="false"/>
          <w:i w:val="false"/>
          <w:iCs w:val="false"/>
          <w:color w:val="222222"/>
          <w:sz w:val="21"/>
          <w:szCs w:val="21"/>
        </w:rPr>
        <w:t xml:space="preserve">There are two fundamentally different categories of elder in KATHA. The system treats them differently in every layer of the architecture, and that difference must be visible to judges: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
            </w:r>
          </w:p>
        </w:tc>
        <w:tc>
          <w:tcPr>
            <w:tcW w:type="dxa" w:w="398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RECORDED ELDER (Living)</w:t>
            </w:r>
          </w:p>
        </w:tc>
        <w:tc>
          <w:tcPr>
            <w:tcW w:type="dxa" w:w="398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RECONSTRUCTED ELDER (Departed)</w:t>
            </w:r>
          </w:p>
        </w:tc>
      </w:tr>
      <w:tr>
        <w:trPr>
          <w:tblHeader w:val="false"/>
        </w:trPr>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Source</w:t>
            </w:r>
          </w:p>
        </w:tc>
        <w:tc>
          <w:tcPr>
            <w:tcW w:type="dxa" w:w="39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Direct recordings, lifelog, their own words</w:t>
            </w:r>
          </w:p>
        </w:tc>
        <w:tc>
          <w:tcPr>
            <w:tcW w:type="dxa" w:w="39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Family testimony, remembered conversations, shared stories about them</w:t>
            </w:r>
          </w:p>
        </w:tc>
      </w:tr>
      <w:tr>
        <w:trPr>
          <w:tblHeader w:val="false"/>
        </w:trPr>
        <w:tc>
          <w:tcPr>
            <w:tcW w:type="dxa" w:w="14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Authority</w:t>
            </w:r>
          </w:p>
        </w:tc>
        <w:tc>
          <w:tcPr>
            <w:tcW w:type="dxa" w:w="398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First-person -- their own voice</w:t>
            </w:r>
          </w:p>
        </w:tc>
        <w:tc>
          <w:tcPr>
            <w:tcW w:type="dxa" w:w="398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Third-person -- how the living remember them</w:t>
            </w:r>
          </w:p>
        </w:tc>
      </w:tr>
      <w:tr>
        <w:trPr>
          <w:tblHeader w:val="false"/>
        </w:trPr>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Label in UI</w:t>
            </w:r>
          </w:p>
        </w:tc>
        <w:tc>
          <w:tcPr>
            <w:tcW w:type="dxa" w:w="39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Recorded memory</w:t>
            </w:r>
          </w:p>
        </w:tc>
        <w:tc>
          <w:tcPr>
            <w:tcW w:type="dxa" w:w="39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Reconstructed memory -- remembered, not verbatim</w:t>
            </w:r>
          </w:p>
        </w:tc>
      </w:tr>
      <w:tr>
        <w:trPr>
          <w:tblHeader w:val="false"/>
        </w:trPr>
        <w:tc>
          <w:tcPr>
            <w:tcW w:type="dxa" w:w="14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Label in LMO</w:t>
            </w:r>
          </w:p>
        </w:tc>
        <w:tc>
          <w:tcPr>
            <w:tcW w:type="dxa" w:w="398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memory.type = "recorded"</w:t>
            </w:r>
          </w:p>
        </w:tc>
        <w:tc>
          <w:tcPr>
            <w:tcW w:type="dxa" w:w="398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memory.type = "reconstructed"</w:t>
            </w:r>
          </w:p>
        </w:tc>
      </w:tr>
      <w:tr>
        <w:trPr>
          <w:tblHeader w:val="false"/>
        </w:trPr>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Label in delivery</w:t>
            </w:r>
          </w:p>
        </w:tc>
        <w:tc>
          <w:tcPr>
            <w:tcW w:type="dxa" w:w="39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This is what [name] said or wrote.</w:t>
            </w:r>
          </w:p>
        </w:tc>
        <w:tc>
          <w:tcPr>
            <w:tcW w:type="dxa" w:w="39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This is how [name] is remembered by the family.</w:t>
            </w:r>
          </w:p>
        </w:tc>
      </w:tr>
      <w:tr>
        <w:trPr>
          <w:tblHeader w:val="false"/>
        </w:trPr>
        <w:tc>
          <w:tcPr>
            <w:tcW w:type="dxa" w:w="14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Approval required</w:t>
            </w:r>
          </w:p>
        </w:tc>
        <w:tc>
          <w:tcPr>
            <w:tcW w:type="dxa" w:w="398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Parent approves extraction</w:t>
            </w:r>
          </w:p>
        </w:tc>
        <w:tc>
          <w:tcPr>
            <w:tcW w:type="dxa" w:w="398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Parent approves AND must confirm accuracy of reconstruction</w:t>
            </w:r>
          </w:p>
        </w:tc>
      </w:tr>
      <w:tr>
        <w:trPr>
          <w:tblHeader w:val="false"/>
        </w:trPr>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Edit rights</w:t>
            </w:r>
          </w:p>
        </w:tc>
        <w:tc>
          <w:tcPr>
            <w:tcW w:type="dxa" w:w="39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Parent can correct interpretation</w:t>
            </w:r>
          </w:p>
        </w:tc>
        <w:tc>
          <w:tcPr>
            <w:tcW w:type="dxa" w:w="39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Parent can edit, add context, or reject any reconstructed element</w:t>
            </w:r>
          </w:p>
        </w:tc>
      </w:tr>
      <w:tr>
        <w:trPr>
          <w:tblHeader w:val="false"/>
        </w:trPr>
        <w:tc>
          <w:tcPr>
            <w:tcW w:type="dxa" w:w="14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Displayed confidence</w:t>
            </w:r>
          </w:p>
        </w:tc>
        <w:tc>
          <w:tcPr>
            <w:tcW w:type="dxa" w:w="398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Full confidence -- source exists</w:t>
            </w:r>
          </w:p>
        </w:tc>
        <w:tc>
          <w:tcPr>
            <w:tcW w:type="dxa" w:w="398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Explicitly qualified -- remembered, not authoritative</w:t>
            </w:r>
          </w:p>
        </w:tc>
      </w:tr>
      <w:tr>
        <w:trPr>
          <w:tblHeader w:val="false"/>
        </w:trPr>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Legal framing</w:t>
            </w:r>
          </w:p>
        </w:tc>
        <w:tc>
          <w:tcPr>
            <w:tcW w:type="dxa" w:w="39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Data portability of personal records</w:t>
            </w:r>
          </w:p>
        </w:tc>
        <w:tc>
          <w:tcPr>
            <w:tcW w:type="dxa" w:w="39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Interpretive memorial -- not a legal document</w:t>
            </w:r>
          </w:p>
        </w:tc>
      </w:tr>
    </w:tbl>
    <w:p>
      <w:pPr>
        <w:spacing w:before="80" w:after="0"/>
      </w:pPr>
      <w:r>
        <w:t xml:space="preserve"/>
      </w:r>
    </w:p>
    <w:p>
      <w:pPr>
        <w:pStyle w:val="Heading2"/>
        <w:spacing w:before="200" w:after="80"/>
      </w:pPr>
      <w:r>
        <w:rPr>
          <w:rFonts w:ascii="Arial" w:cs="Arial" w:eastAsia="Arial" w:hAnsi="Arial"/>
          <w:b/>
          <w:bCs/>
          <w:i w:val="false"/>
          <w:iCs w:val="false"/>
          <w:color w:val="1B2A4A"/>
          <w:sz w:val="24"/>
          <w:szCs w:val="24"/>
        </w:rPr>
        <w:t xml:space="preserve">The Four Non-Negotiable Labels</w:t>
      </w:r>
    </w:p>
    <w:p>
      <w:pPr>
        <w:spacing w:before="60" w:after="60"/>
      </w:pPr>
      <w:r>
        <w:rPr>
          <w:rFonts w:ascii="Arial" w:cs="Arial" w:eastAsia="Arial" w:hAnsi="Arial"/>
          <w:b w:val="false"/>
          <w:bCs w:val="false"/>
          <w:i w:val="false"/>
          <w:iCs w:val="false"/>
          <w:color w:val="222222"/>
          <w:sz w:val="21"/>
          <w:szCs w:val="21"/>
        </w:rPr>
        <w:t xml:space="preserve">Wherever a reconstructed memory appears -- in the dashboard, in a delivery, in the audit log, in the JSON-LD passport -- it carries one of these four explicit labels. There is no path through the system where a reconstructed memory appears without disclosure: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Context</w:t>
            </w:r>
          </w:p>
        </w:tc>
        <w:tc>
          <w:tcPr>
            <w:tcW w:type="dxa" w:w="69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Exact Label Used</w:t>
            </w:r>
          </w:p>
        </w:tc>
      </w:tr>
      <w:tr>
        <w:tc>
          <w:tcPr>
            <w:tcW w:type="dxa" w:w="24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bCs/>
                <w:i w:val="false"/>
                <w:iCs w:val="false"/>
                <w:color w:val="1B2A4A"/>
                <w:sz w:val="19"/>
                <w:szCs w:val="19"/>
              </w:rPr>
              <w:t xml:space="preserve">Globe dot</w:t>
            </w:r>
          </w:p>
        </w:tc>
        <w:tc>
          <w:tcPr>
            <w:tcW w:type="dxa" w:w="696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Reconstructed memory (family testimony) -- not a direct recording</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i w:val="false"/>
                <w:iCs w:val="false"/>
                <w:color w:val="1B2A4A"/>
                <w:sz w:val="19"/>
                <w:szCs w:val="19"/>
              </w:rPr>
              <w:t xml:space="preserve">Memory card hover</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iCs/>
                <w:color w:val="222222"/>
                <w:sz w:val="19"/>
                <w:szCs w:val="19"/>
              </w:rPr>
              <w:t xml:space="preserve">This memory was reconstructed by [family member] from how they remember [elder name]. It has not been verified by [elder name] directly.</w:t>
            </w:r>
          </w:p>
        </w:tc>
      </w:tr>
      <w:tr>
        <w:tc>
          <w:tcPr>
            <w:tcW w:type="dxa" w:w="24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bCs/>
                <w:i w:val="false"/>
                <w:iCs w:val="false"/>
                <w:color w:val="1B2A4A"/>
                <w:sz w:val="19"/>
                <w:szCs w:val="19"/>
              </w:rPr>
              <w:t xml:space="preserve">Wisdom delivery</w:t>
            </w:r>
          </w:p>
        </w:tc>
        <w:tc>
          <w:tcPr>
            <w:tcW w:type="dxa" w:w="696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iCs/>
                <w:color w:val="222222"/>
                <w:sz w:val="19"/>
                <w:szCs w:val="19"/>
              </w:rPr>
              <w:t xml:space="preserve">[Elder name] is remembered by their family as someone who believed... This is their family's understanding, not a direct quote.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i w:val="false"/>
                <w:iCs w:val="false"/>
                <w:color w:val="1B2A4A"/>
                <w:sz w:val="19"/>
                <w:szCs w:val="19"/>
              </w:rPr>
              <w:t xml:space="preserve">Passport JSON-LD</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memory.type: "reconstructed", memory.authority: "family-testimony", memory.verifiedBySubject: false</w:t>
            </w:r>
          </w:p>
        </w:tc>
      </w:tr>
      <w:tr>
        <w:tc>
          <w:tcPr>
            <w:tcW w:type="dxa" w:w="24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bCs/>
                <w:i w:val="false"/>
                <w:iCs w:val="false"/>
                <w:color w:val="1B2A4A"/>
                <w:sz w:val="19"/>
                <w:szCs w:val="19"/>
              </w:rPr>
              <w:t xml:space="preserve">Audit log</w:t>
            </w:r>
          </w:p>
        </w:tc>
        <w:tc>
          <w:tcPr>
            <w:tcW w:type="dxa" w:w="696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Memory type: reconstructed. Approved by: [parent name] on [date]. Source: family testimony session.</w:t>
            </w:r>
          </w:p>
        </w:tc>
      </w:tr>
    </w:tbl>
    <w:p>
      <w:pPr>
        <w:spacing w:before="80" w:after="0"/>
      </w:pPr>
      <w:r>
        <w:t xml:space="preserve"/>
      </w:r>
    </w:p>
    <w:p>
      <w:pPr>
        <w:pStyle w:val="Heading2"/>
        <w:spacing w:before="200" w:after="80"/>
      </w:pPr>
      <w:r>
        <w:rPr>
          <w:rFonts w:ascii="Arial" w:cs="Arial" w:eastAsia="Arial" w:hAnsi="Arial"/>
          <w:b/>
          <w:bCs/>
          <w:i w:val="false"/>
          <w:iCs w:val="false"/>
          <w:color w:val="1B2A4A"/>
          <w:sz w:val="24"/>
          <w:szCs w:val="24"/>
        </w:rPr>
        <w:t xml:space="preserve">DTP Principle Alignment</w:t>
      </w:r>
    </w:p>
    <w:p>
      <w:pPr>
        <w:spacing w:before="60" w:after="60"/>
      </w:pPr>
      <w:r>
        <w:rPr>
          <w:rFonts w:ascii="Arial" w:cs="Arial" w:eastAsia="Arial" w:hAnsi="Arial"/>
          <w:b w:val="false"/>
          <w:bCs w:val="false"/>
          <w:i w:val="false"/>
          <w:iCs w:val="false"/>
          <w:color w:val="222222"/>
          <w:sz w:val="21"/>
          <w:szCs w:val="21"/>
        </w:rPr>
        <w:t xml:space="preserve">This table directly maps KATHA's mechanisms to the Data Transfer Project's core principles. Print this. Have it ready. Chris Riley will recognize the vocabulary: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DTP Principle</w:t>
            </w:r>
          </w:p>
        </w:tc>
        <w:tc>
          <w:tcPr>
            <w:tcW w:type="dxa" w:w="356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KATHA Mechanism</w:t>
            </w:r>
          </w:p>
        </w:tc>
        <w:tc>
          <w:tcPr>
            <w:tcW w:type="dxa" w:w="360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Where It Is Enforced</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Access</w:t>
            </w:r>
          </w:p>
        </w:tc>
        <w:tc>
          <w:tcPr>
            <w:tcW w:type="dxa" w:w="3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Passport export endpoint. Any KATHA-compatible tool can import.</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POST /passport/export -- JSON-LD bundle, self-contained</w:t>
            </w:r>
          </w:p>
        </w:tc>
      </w:tr>
      <w:tr>
        <w:trPr>
          <w:tblHeader w:val="false"/>
        </w:trPr>
        <w:tc>
          <w:tcPr>
            <w:tcW w:type="dxa" w:w="22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Control</w:t>
            </w:r>
          </w:p>
        </w:tc>
        <w:tc>
          <w:tcPr>
            <w:tcW w:type="dxa" w:w="356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Parent consent dashboard. Scope grants with plain-language labels.</w:t>
            </w:r>
          </w:p>
        </w:tc>
        <w:tc>
          <w:tcPr>
            <w:tcW w:type="dxa" w:w="36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POST /consent/grant -- RS256 JWT, parent session required</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Portability</w:t>
            </w:r>
          </w:p>
        </w:tc>
        <w:tc>
          <w:tcPr>
            <w:tcW w:type="dxa" w:w="3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JSON-LD schema (Apache-2.0). Published as proposed DTP data type.</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schema/cultural-memory-passport-v1.json in repo root</w:t>
            </w:r>
          </w:p>
        </w:tc>
      </w:tr>
      <w:tr>
        <w:trPr>
          <w:tblHeader w:val="false"/>
        </w:trPr>
        <w:tc>
          <w:tcPr>
            <w:tcW w:type="dxa" w:w="22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Minimization</w:t>
            </w:r>
          </w:p>
        </w:tc>
        <w:tc>
          <w:tcPr>
            <w:tcW w:type="dxa" w:w="356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Scoped modules. Agent receives only approved modules, not full passport.</w:t>
            </w:r>
          </w:p>
        </w:tc>
        <w:tc>
          <w:tcPr>
            <w:tcW w:type="dxa" w:w="36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Vault scope intersection: excess stripped at token validation</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Revocation</w:t>
            </w:r>
          </w:p>
        </w:tc>
        <w:tc>
          <w:tcPr>
            <w:tcW w:type="dxa" w:w="3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Token registry. Parent revokes at any time. Context removed immediately.</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DELETE /consent/grant/:jti -- active registry, no caching</w:t>
            </w:r>
          </w:p>
        </w:tc>
      </w:tr>
      <w:tr>
        <w:trPr>
          <w:tblHeader w:val="false"/>
        </w:trPr>
        <w:tc>
          <w:tcPr>
            <w:tcW w:type="dxa" w:w="22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Transparency</w:t>
            </w:r>
          </w:p>
        </w:tc>
        <w:tc>
          <w:tcPr>
            <w:tcW w:type="dxa" w:w="356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Full audit log. Every access, every scope, every timestamp, every agent.</w:t>
            </w:r>
          </w:p>
        </w:tc>
        <w:tc>
          <w:tcPr>
            <w:tcW w:type="dxa" w:w="36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GET /audit -- paginated, immutable, parent-readable</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No Lock-in</w:t>
            </w:r>
          </w:p>
        </w:tc>
        <w:tc>
          <w:tcPr>
            <w:tcW w:type="dxa" w:w="3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Passport is portable. Importable on any compliant tool. No KATHA dependency.</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Schema is open standard. Import endpoint accepts external passports.</w:t>
            </w:r>
          </w:p>
        </w:tc>
      </w:tr>
    </w:tbl>
    <w:p>
      <w:pPr>
        <w:spacing w:before="100" w:after="0"/>
      </w:pPr>
      <w:r>
        <w:t xml:space="preserve"/>
      </w:r>
    </w:p>
    <w:p>
      <w:r>
        <w:br w:type="page"/>
      </w:r>
    </w:p>
    <w:p>
      <w:pPr>
        <w:pStyle w:val="Heading1"/>
        <w:pBdr>
          <w:bottom w:val="single" w:color="C0392B" w:sz="10"/>
        </w:pBdr>
        <w:spacing w:before="280" w:after="140"/>
      </w:pPr>
      <w:r>
        <w:rPr>
          <w:rFonts w:ascii="Arial" w:cs="Arial" w:eastAsia="Arial" w:hAnsi="Arial"/>
          <w:b/>
          <w:bCs/>
          <w:i w:val="false"/>
          <w:iCs w:val="false"/>
          <w:color w:val="1B2A4A"/>
          <w:sz w:val="32"/>
          <w:szCs w:val="32"/>
        </w:rPr>
        <w:t xml:space="preserve">Limits of Use -- Explicit Statement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C1C" w:val="clear"/>
            <w:tcMar>
              <w:top w:type="dxa" w:w="220"/>
              <w:left w:type="dxa" w:w="320"/>
              <w:bottom w:type="dxa" w:w="220"/>
              <w:right w:type="dxa" w:w="320"/>
            </w:tcMar>
          </w:tcPr>
          <w:p>
            <w:pPr>
              <w:jc w:val="center"/>
            </w:pPr>
            <w:r>
              <w:rPr>
                <w:rFonts w:ascii="Arial" w:cs="Arial" w:eastAsia="Arial" w:hAnsi="Arial"/>
                <w:b w:val="false"/>
                <w:bCs w:val="false"/>
                <w:i/>
                <w:iCs/>
                <w:color w:val="FFFFFF"/>
                <w:sz w:val="22"/>
                <w:szCs w:val="22"/>
              </w:rPr>
              <w:t xml:space="preserve">KATHA handles elders, children, cultural identity, and posthumous data. That is dangerous territory. We call it out explicitly -- because handling it honestly is stronger than pretending it does not exist.</w:t>
            </w:r>
          </w:p>
        </w:tc>
      </w:tr>
    </w:tbl>
    <w:p>
      <w:pPr>
        <w:spacing w:before="80" w:after="0"/>
      </w:pPr>
      <w:r>
        <w:t xml:space="preserve"/>
      </w:r>
    </w:p>
    <w:p>
      <w:pPr>
        <w:pStyle w:val="Heading2"/>
        <w:spacing w:before="200" w:after="80"/>
      </w:pPr>
      <w:r>
        <w:rPr>
          <w:rFonts w:ascii="Arial" w:cs="Arial" w:eastAsia="Arial" w:hAnsi="Arial"/>
          <w:b/>
          <w:bCs/>
          <w:i w:val="false"/>
          <w:iCs w:val="false"/>
          <w:color w:val="1B2A4A"/>
          <w:sz w:val="24"/>
          <w:szCs w:val="24"/>
        </w:rPr>
        <w:t xml:space="preserve">The Four Sensitive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80"/>
        <w:gridCol w:w="2480"/>
      </w:tblGrid>
      <w:tr>
        <w:trPr>
          <w:tblHeader/>
        </w:trPr>
        <w:tc>
          <w:tcPr>
            <w:tcW w:type="dxa" w:w="18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Category</w:t>
            </w:r>
          </w:p>
        </w:tc>
        <w:tc>
          <w:tcPr>
            <w:tcW w:type="dxa" w:w="22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Why It Is Sensitive</w:t>
            </w:r>
          </w:p>
        </w:tc>
        <w:tc>
          <w:tcPr>
            <w:tcW w:type="dxa" w:w="288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How KATHA Handles It</w:t>
            </w:r>
          </w:p>
        </w:tc>
        <w:tc>
          <w:tcPr>
            <w:tcW w:type="dxa" w:w="248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KATHA Does Not Claim</w:t>
            </w:r>
          </w:p>
        </w:tc>
      </w:tr>
      <w:tr>
        <w:trPr>
          <w:tblHeader w:val="false"/>
        </w:trP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Elder data</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Older adults may have limited technical literacy. They may not fully understand what they are consenting to record.</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Elder interface requires minimum technical skill: one button, voice only. Family reviews before anything enters the system. Elder can request deletion at any time.</w:t>
            </w:r>
          </w:p>
        </w:tc>
        <w:tc>
          <w:tcPr>
            <w:tcW w:type="dxa" w:w="2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KATHA does not claim elders understand every downstream use of their recordings. That is why parent approval exists as a structural requirement, not an optional step.</w:t>
            </w:r>
          </w:p>
        </w:tc>
      </w:tr>
      <w:tr>
        <w:trPr>
          <w:tblHeader w:val="false"/>
        </w:trPr>
        <w:tc>
          <w:tcPr>
            <w:tcW w:type="dxa" w:w="18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Children's data</w:t>
            </w:r>
          </w:p>
        </w:tc>
        <w:tc>
          <w:tcPr>
            <w:tcW w:type="dxa" w:w="22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Children cannot consent on their own behalf. Data about children requires heightened protection.</w:t>
            </w:r>
          </w:p>
        </w:tc>
        <w:tc>
          <w:tcPr>
            <w:tcW w:type="dxa" w:w="288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COPPA compliance flag in every JWT. ContentBounds module enforced for all child-directed deliveries. Children cannot access the full passport until the parent-defined age gate.</w:t>
            </w:r>
          </w:p>
        </w:tc>
        <w:tc>
          <w:tcPr>
            <w:tcW w:type="dxa" w:w="248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KATHA does not store children's responses or behavioral data. Children are recipients only -- not data contributors -- until the parent enables the child deposit path.</w:t>
            </w:r>
          </w:p>
        </w:tc>
      </w:tr>
      <w:tr>
        <w:trPr>
          <w:tblHeader w:val="false"/>
        </w:trP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Cultural identity</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Wisdom derived from cultural heritage can be misrepresented, decontextualized, or stripped of meaning when translated or reinterpreted.</w:t>
            </w:r>
          </w:p>
        </w:tc>
        <w:tc>
          <w:tcPr>
            <w:tcW w:type="dxa" w:w="28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Heritage module is parent-editable. Cultural context is injected into every delivery prompt. Tamil-first design means the primary use case has authentic cultural grounding.</w:t>
            </w:r>
          </w:p>
        </w:tc>
        <w:tc>
          <w:tcPr>
            <w:tcW w:type="dxa" w:w="24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KATHA does not claim to be a culturally neutral system. It is not. Tamil cultural values inform the situational trigger taxonomy. Other cultures require their own community input.</w:t>
            </w:r>
          </w:p>
        </w:tc>
      </w:tr>
      <w:tr>
        <w:trPr>
          <w:tblHeader w:val="false"/>
        </w:trPr>
        <w:tc>
          <w:tcPr>
            <w:tcW w:type="dxa" w:w="18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Posthumous data</w:t>
            </w:r>
          </w:p>
        </w:tc>
        <w:tc>
          <w:tcPr>
            <w:tcW w:type="dxa" w:w="22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 deceased person cannot revoke consent, correct misrepresentation, or object to how they are remembered.</w:t>
            </w:r>
          </w:p>
        </w:tc>
        <w:tc>
          <w:tcPr>
            <w:tcW w:type="dxa" w:w="288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Reconstructed memories are explicitly labeled. The departed elder's family controls the passport. The reconstruction is interpretive, not authoritative. Families can remove any memory.</w:t>
            </w:r>
          </w:p>
        </w:tc>
        <w:tc>
          <w:tcPr>
            <w:tcW w:type="dxa" w:w="248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KATHA does not claim reconstructed memories are accurate representations of what the deceased person believed. They are how the living remember them. That distinction is visible everywhere.</w:t>
            </w:r>
          </w:p>
        </w:tc>
      </w:tr>
    </w:tbl>
    <w:p>
      <w:pPr>
        <w:spacing w:before="80" w:after="0"/>
      </w:pPr>
      <w:r>
        <w:t xml:space="preserve"/>
      </w:r>
    </w:p>
    <w:p>
      <w:pPr>
        <w:pStyle w:val="Heading2"/>
        <w:spacing w:before="200" w:after="80"/>
      </w:pPr>
      <w:r>
        <w:rPr>
          <w:rFonts w:ascii="Arial" w:cs="Arial" w:eastAsia="Arial" w:hAnsi="Arial"/>
          <w:b/>
          <w:bCs/>
          <w:i w:val="false"/>
          <w:iCs w:val="false"/>
          <w:color w:val="1B2A4A"/>
          <w:sz w:val="24"/>
          <w:szCs w:val="24"/>
        </w:rPr>
        <w:t xml:space="preserve">Explicit Limits of Use Statement</w:t>
      </w:r>
    </w:p>
    <w:p>
      <w:pPr>
        <w:spacing w:before="60" w:after="60"/>
      </w:pPr>
      <w:r>
        <w:rPr>
          <w:rFonts w:ascii="Arial" w:cs="Arial" w:eastAsia="Arial" w:hAnsi="Arial"/>
          <w:b w:val="false"/>
          <w:bCs w:val="false"/>
          <w:i w:val="false"/>
          <w:iCs w:val="false"/>
          <w:color w:val="222222"/>
          <w:sz w:val="21"/>
          <w:szCs w:val="21"/>
        </w:rPr>
        <w:t xml:space="preserve">This statement should appear in the README, in the hackathon submission, and in the product Terms of Use. It is not defensive language -- it is the honest framing of what KATHA 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6"/>
              <w:right w:val="single" w:color="B8860B" w:sz="6"/>
            </w:tcBorders>
            <w:shd w:fill="FEF3C7" w:val="clear"/>
            <w:tcMar>
              <w:top w:type="dxa" w:w="200"/>
              <w:left w:type="dxa" w:w="280"/>
              <w:bottom w:type="dxa" w:w="200"/>
              <w:right w:type="dxa" w:w="280"/>
            </w:tcMar>
          </w:tcPr>
          <w:p>
            <w:pPr>
              <w:spacing w:before="0" w:after="80"/>
            </w:pPr>
            <w:r>
              <w:rPr>
                <w:rFonts w:ascii="Arial" w:cs="Arial" w:eastAsia="Arial" w:hAnsi="Arial"/>
                <w:b/>
                <w:bCs/>
                <w:i w:val="false"/>
                <w:iCs w:val="false"/>
                <w:color w:val="7B1C1C"/>
                <w:sz w:val="22"/>
                <w:szCs w:val="22"/>
              </w:rPr>
              <w:t xml:space="preserve">KATHA LIMITS OF USE</w:t>
            </w:r>
          </w:p>
          <w:p>
            <w:pPr>
              <w:spacing w:before="0" w:after="60"/>
            </w:pPr>
            <w:r>
              <w:rPr>
                <w:rFonts w:ascii="Arial" w:cs="Arial" w:eastAsia="Arial" w:hAnsi="Arial"/>
                <w:b w:val="false"/>
                <w:bCs w:val="false"/>
                <w:i w:val="false"/>
                <w:iCs w:val="false"/>
                <w:color w:val="111111"/>
                <w:sz w:val="20"/>
                <w:szCs w:val="20"/>
              </w:rPr>
              <w:t xml:space="preserve">KATHA is a memory indexing and wisdom transmission system. It is not a legal record system, a genealogical authority, or a posthumous representation service.</w:t>
            </w:r>
          </w:p>
          <w:p>
            <w:pPr>
              <w:spacing w:before="0" w:after="60"/>
            </w:pPr>
            <w:r>
              <w:rPr>
                <w:rFonts w:ascii="Arial" w:cs="Arial" w:eastAsia="Arial" w:hAnsi="Arial"/>
                <w:b w:val="false"/>
                <w:bCs w:val="false"/>
                <w:i w:val="false"/>
                <w:iCs w:val="false"/>
                <w:color w:val="111111"/>
                <w:sz w:val="20"/>
                <w:szCs w:val="20"/>
              </w:rPr>
              <w:t xml:space="preserve">Recorded memories are sourced from data the person generated themselves. Reconstructed memories are sourced from family testimony and are explicitly labeled as interpretive -- not authoritative, not verbatim, not a legal or medical document.</w:t>
            </w:r>
          </w:p>
          <w:p>
            <w:pPr>
              <w:spacing w:before="0" w:after="60"/>
            </w:pPr>
            <w:r>
              <w:rPr>
                <w:rFonts w:ascii="Arial" w:cs="Arial" w:eastAsia="Arial" w:hAnsi="Arial"/>
                <w:b w:val="false"/>
                <w:bCs w:val="false"/>
                <w:i w:val="false"/>
                <w:iCs w:val="false"/>
                <w:color w:val="111111"/>
                <w:sz w:val="20"/>
                <w:szCs w:val="20"/>
              </w:rPr>
              <w:t xml:space="preserve">KATHA does not train models on family data. It does not retain data beyond the session without explicit consent. It does not share family data with third parties. All processing happens locally by default.</w:t>
            </w:r>
          </w:p>
          <w:p>
            <w:pPr>
              <w:spacing w:before="0" w:after="60"/>
            </w:pPr>
            <w:r>
              <w:rPr>
                <w:rFonts w:ascii="Arial" w:cs="Arial" w:eastAsia="Arial" w:hAnsi="Arial"/>
                <w:b w:val="false"/>
                <w:bCs w:val="false"/>
                <w:i w:val="false"/>
                <w:iCs w:val="false"/>
                <w:color w:val="111111"/>
                <w:sz w:val="20"/>
                <w:szCs w:val="20"/>
              </w:rPr>
              <w:t xml:space="preserve">Families have the right to view, edit, correct, and delete any memory in the system at any time, including memories contributed by or about deceased family members.</w:t>
            </w:r>
          </w:p>
          <w:p>
            <w:pPr>
              <w:spacing w:before="0" w:after="0"/>
            </w:pPr>
            <w:r>
              <w:rPr>
                <w:rFonts w:ascii="Arial" w:cs="Arial" w:eastAsia="Arial" w:hAnsi="Arial"/>
                <w:b w:val="false"/>
                <w:bCs w:val="false"/>
                <w:i/>
                <w:iCs/>
                <w:color w:val="111111"/>
                <w:sz w:val="20"/>
                <w:szCs w:val="20"/>
              </w:rPr>
              <w:t xml:space="preserve">KATHA is not a substitute for human connection, professional grief support, or legal estate documentation.</w:t>
            </w:r>
          </w:p>
        </w:tc>
      </w:tr>
    </w:tbl>
    <w:p>
      <w:pPr>
        <w:spacing w:before="80" w:after="0"/>
      </w:pPr>
      <w:r>
        <w:t xml:space="preserve"/>
      </w:r>
    </w:p>
    <w:p>
      <w:pPr>
        <w:pStyle w:val="Heading2"/>
        <w:spacing w:before="200" w:after="80"/>
      </w:pPr>
      <w:r>
        <w:rPr>
          <w:rFonts w:ascii="Arial" w:cs="Arial" w:eastAsia="Arial" w:hAnsi="Arial"/>
          <w:b/>
          <w:bCs/>
          <w:i w:val="false"/>
          <w:iCs w:val="false"/>
          <w:color w:val="1B2A4A"/>
          <w:sz w:val="24"/>
          <w:szCs w:val="24"/>
        </w:rPr>
        <w:t xml:space="preserve">Explicit Opt-Out Language</w:t>
      </w:r>
    </w:p>
    <w:p>
      <w:pPr>
        <w:spacing w:before="60" w:after="60"/>
      </w:pPr>
      <w:r>
        <w:rPr>
          <w:rFonts w:ascii="Arial" w:cs="Arial" w:eastAsia="Arial" w:hAnsi="Arial"/>
          <w:b w:val="false"/>
          <w:bCs w:val="false"/>
          <w:i w:val="false"/>
          <w:iCs w:val="false"/>
          <w:color w:val="222222"/>
          <w:sz w:val="21"/>
          <w:szCs w:val="21"/>
        </w:rPr>
        <w:t xml:space="preserve">Three opt-out paths must be visible in the product and the submission: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60"/>
        <w:gridCol w:w="2600"/>
      </w:tblGrid>
      <w:tr>
        <w:trPr>
          <w:tblHeader/>
        </w:trPr>
        <w:tc>
          <w:tcPr>
            <w:tcW w:type="dxa" w:w="180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Who Can Opt Out</w:t>
            </w:r>
          </w:p>
        </w:tc>
        <w:tc>
          <w:tcPr>
            <w:tcW w:type="dxa" w:w="220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From What</w:t>
            </w:r>
          </w:p>
        </w:tc>
        <w:tc>
          <w:tcPr>
            <w:tcW w:type="dxa" w:w="276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How</w:t>
            </w:r>
          </w:p>
        </w:tc>
        <w:tc>
          <w:tcPr>
            <w:tcW w:type="dxa" w:w="260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Effect</w:t>
            </w:r>
          </w:p>
        </w:tc>
      </w:tr>
      <w:tr>
        <w:trPr>
          <w:tblHeader w:val="false"/>
        </w:trP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Living elder</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Their own recordings at any time</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Email or in-app deletion request</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All recordings and derived LMOs permanently deleted within 24 hours. Passport regenerated without them.</w:t>
            </w:r>
          </w:p>
        </w:tc>
      </w:tr>
      <w:tr>
        <w:trPr>
          <w:tblHeader w:val="false"/>
        </w:trPr>
        <w:tc>
          <w:tcPr>
            <w:tcW w:type="dxa" w:w="18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Parent / family admin</w:t>
            </w:r>
          </w:p>
        </w:tc>
        <w:tc>
          <w:tcPr>
            <w:tcW w:type="dxa" w:w="22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Any specific memory from the passport</w:t>
            </w:r>
          </w:p>
        </w:tc>
        <w:tc>
          <w:tcPr>
            <w:tcW w:type="dxa" w:w="276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Dashboard: reject at approval, or delete post-approval</w:t>
            </w:r>
          </w:p>
        </w:tc>
        <w:tc>
          <w:tcPr>
            <w:tcW w:type="dxa" w:w="26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Memory removed from passport, situalIndex rebuilt, audit log updated. Cannot be recovered.</w:t>
            </w:r>
          </w:p>
        </w:tc>
      </w:tr>
      <w:tr>
        <w:trPr>
          <w:tblHeader w:val="false"/>
        </w:trP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Family (any member)</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Entire passport and vault</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Dashboard: Account Deletion</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All data, tokens, audit logs, and derived artifacts permanently deleted. Export offered first.</w:t>
            </w:r>
          </w:p>
        </w:tc>
      </w:tr>
      <w:tr>
        <w:trPr>
          <w:tblHeader w:val="false"/>
        </w:trPr>
        <w:tc>
          <w:tcPr>
            <w:tcW w:type="dxa" w:w="18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Agent / third-party tool</w:t>
            </w:r>
          </w:p>
        </w:tc>
        <w:tc>
          <w:tcPr>
            <w:tcW w:type="dxa" w:w="22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Access to the passport</w:t>
            </w:r>
          </w:p>
        </w:tc>
        <w:tc>
          <w:tcPr>
            <w:tcW w:type="dxa" w:w="276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Parent revokes consent token in dashboard</w:t>
            </w:r>
          </w:p>
        </w:tc>
        <w:tc>
          <w:tcPr>
            <w:tcW w:type="dxa" w:w="2600"/>
            <w:tcBorders>
              <w:top w:val="single" w:color="E2E8F0" w:sz="4"/>
              <w:left w:val="single" w:color="E2E8F0" w:sz="4"/>
              <w:bottom w:val="single" w:color="E2E8F0" w:sz="4"/>
              <w:right w:val="single" w:color="E2E8F0" w:sz="4"/>
            </w:tcBorders>
            <w:shd w:fill="F8F8F6"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Token invalidated immediately. Agent receives generic responses. No cached data retained.</w:t>
            </w:r>
          </w:p>
        </w:tc>
      </w:tr>
    </w:tbl>
    <w:p>
      <w:pPr>
        <w:spacing w:before="100" w:after="0"/>
      </w:pPr>
      <w:r>
        <w:t xml:space="preserve"/>
      </w:r>
    </w:p>
    <w:p>
      <w:r>
        <w:br w:type="page"/>
      </w:r>
    </w:p>
    <w:p>
      <w:pPr>
        <w:pStyle w:val="Heading1"/>
        <w:pBdr>
          <w:bottom w:val="single" w:color="C0392B" w:sz="10"/>
        </w:pBdr>
        <w:spacing w:before="280" w:after="140"/>
      </w:pPr>
      <w:r>
        <w:rPr>
          <w:rFonts w:ascii="Arial" w:cs="Arial" w:eastAsia="Arial" w:hAnsi="Arial"/>
          <w:b/>
          <w:bCs/>
          <w:i w:val="false"/>
          <w:iCs w:val="false"/>
          <w:color w:val="1B2A4A"/>
          <w:sz w:val="32"/>
          <w:szCs w:val="32"/>
        </w:rPr>
        <w:t xml:space="preserve">Demo-Ready Responses to Likely Judge Questions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1B2A4A" w:val="clear"/>
            <w:tcMar>
              <w:top w:type="dxa" w:w="100"/>
              <w:left w:type="dxa" w:w="200"/>
              <w:bottom w:type="dxa" w:w="100"/>
              <w:right w:type="dxa" w:w="200"/>
            </w:tcMar>
          </w:tcPr>
          <w:p>
            <w:r>
              <w:rPr>
                <w:rFonts w:ascii="Arial" w:cs="Arial" w:eastAsia="Arial" w:hAnsi="Arial"/>
                <w:b/>
                <w:bCs/>
                <w:i w:val="false"/>
                <w:iCs w:val="false"/>
                <w:color w:val="B8860B"/>
                <w:sz w:val="20"/>
                <w:szCs w:val="20"/>
              </w:rPr>
              <w:t xml:space="preserve">Q1: "Isn't this just the model projecting values onto someone's data?"</w:t>
            </w:r>
          </w:p>
        </w:tc>
      </w:tr>
      <w:tr>
        <w:tc>
          <w:tcPr>
            <w:tcW w:type="dxa" w:w="9360"/>
            <w:tcBorders>
              <w:top w:val="single" w:color="E2E8F0" w:sz="4"/>
              <w:left w:val="single" w:color="E2E8F0" w:sz="4"/>
              <w:bottom w:val="single" w:color="E2E8F0" w:sz="4"/>
              <w:right w:val="single" w:color="E2E8F0" w:sz="4"/>
            </w:tcBorders>
            <w:shd w:fill="F8F8F6"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111111"/>
                <w:sz w:val="20"/>
                <w:szCs w:val="20"/>
              </w:rPr>
              <w:t xml:space="preserve">Look at the source record. We show you the verbatim entry. We show you the extraction. Every judge in this room can evaluate whether the reading is accurate. The prompt specifically forbids abstraction -- "She is generous" gets rejected. "She sent money without saying it was coming" is what we extract. The model finds the specific. The source proves it.</w:t>
            </w:r>
          </w:p>
          <w:p>
            <w:r>
              <w:rPr>
                <w:rFonts w:ascii="Arial" w:cs="Arial" w:eastAsia="Arial" w:hAnsi="Arial"/>
                <w:b w:val="false"/>
                <w:bCs w:val="false"/>
                <w:i/>
                <w:iCs/>
                <w:color w:val="0D6E6E"/>
                <w:sz w:val="17"/>
                <w:szCs w:val="17"/>
              </w:rPr>
              <w:t xml:space="preserve">Addresses: Completeness + Innovation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1B2A4A" w:val="clear"/>
            <w:tcMar>
              <w:top w:type="dxa" w:w="100"/>
              <w:left w:type="dxa" w:w="200"/>
              <w:bottom w:type="dxa" w:w="100"/>
              <w:right w:type="dxa" w:w="200"/>
            </w:tcMar>
          </w:tcPr>
          <w:p>
            <w:r>
              <w:rPr>
                <w:rFonts w:ascii="Arial" w:cs="Arial" w:eastAsia="Arial" w:hAnsi="Arial"/>
                <w:b/>
                <w:bCs/>
                <w:i w:val="false"/>
                <w:iCs w:val="false"/>
                <w:color w:val="B8860B"/>
                <w:sz w:val="20"/>
                <w:szCs w:val="20"/>
              </w:rPr>
              <w:t xml:space="preserve">Q2: "How do you prevent misrepresentation of a deceased person?"</w:t>
            </w:r>
          </w:p>
        </w:tc>
      </w:tr>
      <w:tr>
        <w:tc>
          <w:tcPr>
            <w:tcW w:type="dxa" w:w="9360"/>
            <w:tcBorders>
              <w:top w:val="single" w:color="E2E8F0" w:sz="4"/>
              <w:left w:val="single" w:color="E2E8F0" w:sz="4"/>
              <w:bottom w:val="single" w:color="E2E8F0" w:sz="4"/>
              <w:right w:val="single" w:color="E2E8F0" w:sz="4"/>
            </w:tcBorders>
            <w:shd w:fill="F8F8F6"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111111"/>
                <w:sz w:val="20"/>
                <w:szCs w:val="20"/>
              </w:rPr>
              <w:t xml:space="preserve">Two mechanisms. First: reconstructed memories are labeled everywhere they appear -- in the globe, in the memory card, in the delivery text, in the JSON-LD schema. The label is not optional. Second: the family controls every reconstructed memory. They approve it before it enters the system. They can edit it. They can delete it. A deceased person cannot consent -- so we give that control to the people who loved them.</w:t>
            </w:r>
          </w:p>
          <w:p>
            <w:r>
              <w:rPr>
                <w:rFonts w:ascii="Arial" w:cs="Arial" w:eastAsia="Arial" w:hAnsi="Arial"/>
                <w:b w:val="false"/>
                <w:bCs w:val="false"/>
                <w:i/>
                <w:iCs/>
                <w:color w:val="0D6E6E"/>
                <w:sz w:val="17"/>
                <w:szCs w:val="17"/>
              </w:rPr>
              <w:t xml:space="preserve">Addresses: UT Law Policy Award + Track Criteria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1B2A4A" w:val="clear"/>
            <w:tcMar>
              <w:top w:type="dxa" w:w="100"/>
              <w:left w:type="dxa" w:w="200"/>
              <w:bottom w:type="dxa" w:w="100"/>
              <w:right w:type="dxa" w:w="200"/>
            </w:tcMar>
          </w:tcPr>
          <w:p>
            <w:r>
              <w:rPr>
                <w:rFonts w:ascii="Arial" w:cs="Arial" w:eastAsia="Arial" w:hAnsi="Arial"/>
                <w:b/>
                <w:bCs/>
                <w:i w:val="false"/>
                <w:iCs w:val="false"/>
                <w:color w:val="B8860B"/>
                <w:sz w:val="20"/>
                <w:szCs w:val="20"/>
              </w:rPr>
              <w:t xml:space="preserve">Q3: "What stops someone from putting false memories into a departed elder's passport?"</w:t>
            </w:r>
          </w:p>
        </w:tc>
      </w:tr>
      <w:tr>
        <w:tc>
          <w:tcPr>
            <w:tcW w:type="dxa" w:w="9360"/>
            <w:tcBorders>
              <w:top w:val="single" w:color="E2E8F0" w:sz="4"/>
              <w:left w:val="single" w:color="E2E8F0" w:sz="4"/>
              <w:bottom w:val="single" w:color="E2E8F0" w:sz="4"/>
              <w:right w:val="single" w:color="E2E8F0" w:sz="4"/>
            </w:tcBorders>
            <w:shd w:fill="F8F8F6"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111111"/>
                <w:sz w:val="20"/>
                <w:szCs w:val="20"/>
              </w:rPr>
              <w:t xml:space="preserve">The same thing that stops someone from writing a false memoir: nothing in the law, and everything in the design. Reconstructed memories are labeled as family testimony. They are not presented as fact. The deceased person's own recorded words -- if they exist -- are separate and clearly distinguished. And: families have strong social incentives not to falsify. This is their grandmother. The system does not prevent abuse -- it makes abuse visible.</w:t>
            </w:r>
          </w:p>
          <w:p>
            <w:r>
              <w:rPr>
                <w:rFonts w:ascii="Arial" w:cs="Arial" w:eastAsia="Arial" w:hAnsi="Arial"/>
                <w:b w:val="false"/>
                <w:bCs w:val="false"/>
                <w:i/>
                <w:iCs/>
                <w:color w:val="0D6E6E"/>
                <w:sz w:val="17"/>
                <w:szCs w:val="17"/>
              </w:rPr>
              <w:t xml:space="preserve">Addresses: UT Law Policy Award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1B2A4A" w:val="clear"/>
            <w:tcMar>
              <w:top w:type="dxa" w:w="100"/>
              <w:left w:type="dxa" w:w="200"/>
              <w:bottom w:type="dxa" w:w="100"/>
              <w:right w:type="dxa" w:w="200"/>
            </w:tcMar>
          </w:tcPr>
          <w:p>
            <w:r>
              <w:rPr>
                <w:rFonts w:ascii="Arial" w:cs="Arial" w:eastAsia="Arial" w:hAnsi="Arial"/>
                <w:b/>
                <w:bCs/>
                <w:i w:val="false"/>
                <w:iCs w:val="false"/>
                <w:color w:val="B8860B"/>
                <w:sz w:val="20"/>
                <w:szCs w:val="20"/>
              </w:rPr>
              <w:t xml:space="preserve">Q4: "How is this different from a chatbot pretending to be my dead grandmother?"</w:t>
            </w:r>
          </w:p>
        </w:tc>
      </w:tr>
      <w:tr>
        <w:tc>
          <w:tcPr>
            <w:tcW w:type="dxa" w:w="9360"/>
            <w:tcBorders>
              <w:top w:val="single" w:color="E2E8F0" w:sz="4"/>
              <w:left w:val="single" w:color="E2E8F0" w:sz="4"/>
              <w:bottom w:val="single" w:color="E2E8F0" w:sz="4"/>
              <w:right w:val="single" w:color="E2E8F0" w:sz="4"/>
            </w:tcBorders>
            <w:shd w:fill="F8F8F6"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111111"/>
                <w:sz w:val="20"/>
                <w:szCs w:val="20"/>
              </w:rPr>
              <w:t xml:space="preserve">Completely different architecture. A chatbot generates responses from scratch using its training data -- it can say anything. KATHA's Wisdom Engine is constrained to source-anchored LMOs. It cannot say something Sunita did not already express in her data. The prompt instructs: do not advise, do not invent, transmit what is there. And every delivery logs exactly which source memory was used. You can audit every word.</w:t>
            </w:r>
          </w:p>
          <w:p>
            <w:r>
              <w:rPr>
                <w:rFonts w:ascii="Arial" w:cs="Arial" w:eastAsia="Arial" w:hAnsi="Arial"/>
                <w:b w:val="false"/>
                <w:bCs w:val="false"/>
                <w:i/>
                <w:iCs/>
                <w:color w:val="0D6E6E"/>
                <w:sz w:val="17"/>
                <w:szCs w:val="17"/>
              </w:rPr>
              <w:t xml:space="preserve">Addresses: Human-Centric Design + Innovation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1B2A4A" w:val="clear"/>
            <w:tcMar>
              <w:top w:type="dxa" w:w="100"/>
              <w:left w:type="dxa" w:w="200"/>
              <w:bottom w:type="dxa" w:w="100"/>
              <w:right w:type="dxa" w:w="200"/>
            </w:tcMar>
          </w:tcPr>
          <w:p>
            <w:r>
              <w:rPr>
                <w:rFonts w:ascii="Arial" w:cs="Arial" w:eastAsia="Arial" w:hAnsi="Arial"/>
                <w:b/>
                <w:bCs/>
                <w:i w:val="false"/>
                <w:iCs w:val="false"/>
                <w:color w:val="B8860B"/>
                <w:sz w:val="20"/>
                <w:szCs w:val="20"/>
              </w:rPr>
              <w:t xml:space="preserve">Q5: "What about cultural appropriation -- could this be used to misrepresent Tamil culture?"</w:t>
            </w:r>
          </w:p>
        </w:tc>
      </w:tr>
      <w:tr>
        <w:tc>
          <w:tcPr>
            <w:tcW w:type="dxa" w:w="9360"/>
            <w:tcBorders>
              <w:top w:val="single" w:color="E2E8F0" w:sz="4"/>
              <w:left w:val="single" w:color="E2E8F0" w:sz="4"/>
              <w:bottom w:val="single" w:color="E2E8F0" w:sz="4"/>
              <w:right w:val="single" w:color="E2E8F0" w:sz="4"/>
            </w:tcBorders>
            <w:shd w:fill="F8F8F6"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111111"/>
                <w:sz w:val="20"/>
                <w:szCs w:val="20"/>
              </w:rPr>
              <w:t xml:space="preserve">This is a real risk with horizontal AI systems. KATHA is not horizontal -- it is built specifically for Tamil diaspora families first, by someone from that community. The situational trigger taxonomy is grounded in Tamil family dynamics and values. The heritage module is parent-editable so families can correct cultural misrepresentation in real time. Scaling to other cultures requires community input for each culture -- not a generic model assumption.</w:t>
            </w:r>
          </w:p>
          <w:p>
            <w:r>
              <w:rPr>
                <w:rFonts w:ascii="Arial" w:cs="Arial" w:eastAsia="Arial" w:hAnsi="Arial"/>
                <w:b w:val="false"/>
                <w:bCs w:val="false"/>
                <w:i/>
                <w:iCs/>
                <w:color w:val="0D6E6E"/>
                <w:sz w:val="17"/>
                <w:szCs w:val="17"/>
              </w:rPr>
              <w:t xml:space="preserve">Addresses: Human-Centric Design Award + Innovation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1B2A4A" w:val="clear"/>
            <w:tcMar>
              <w:top w:type="dxa" w:w="100"/>
              <w:left w:type="dxa" w:w="200"/>
              <w:bottom w:type="dxa" w:w="100"/>
              <w:right w:type="dxa" w:w="200"/>
            </w:tcMar>
          </w:tcPr>
          <w:p>
            <w:r>
              <w:rPr>
                <w:rFonts w:ascii="Arial" w:cs="Arial" w:eastAsia="Arial" w:hAnsi="Arial"/>
                <w:b/>
                <w:bCs/>
                <w:i w:val="false"/>
                <w:iCs w:val="false"/>
                <w:color w:val="B8860B"/>
                <w:sz w:val="20"/>
                <w:szCs w:val="20"/>
              </w:rPr>
              <w:t xml:space="preserve">Q6: "Children's data is sensitive. How do you handle COPPA?"</w:t>
            </w:r>
          </w:p>
        </w:tc>
      </w:tr>
      <w:tr>
        <w:tc>
          <w:tcPr>
            <w:tcW w:type="dxa" w:w="9360"/>
            <w:tcBorders>
              <w:top w:val="single" w:color="E2E8F0" w:sz="4"/>
              <w:left w:val="single" w:color="E2E8F0" w:sz="4"/>
              <w:bottom w:val="single" w:color="E2E8F0" w:sz="4"/>
              <w:right w:val="single" w:color="E2E8F0" w:sz="4"/>
            </w:tcBorders>
            <w:shd w:fill="F8F8F6"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111111"/>
                <w:sz w:val="20"/>
                <w:szCs w:val="20"/>
              </w:rPr>
              <w:t xml:space="preserve">Children in KATHA are recipients, not contributors. They do not deposit data. COPPA compliance flag is in every JWT constraint. ContentBounds module is enforced on every child-directed delivery. Children cannot access the full passport until the parent enables it at the appropriate age. The only child data in the system is what the parent explicitly adds about the relationship.</w:t>
            </w:r>
          </w:p>
          <w:p>
            <w:r>
              <w:rPr>
                <w:rFonts w:ascii="Arial" w:cs="Arial" w:eastAsia="Arial" w:hAnsi="Arial"/>
                <w:b w:val="false"/>
                <w:bCs w:val="false"/>
                <w:i/>
                <w:iCs/>
                <w:color w:val="0D6E6E"/>
                <w:sz w:val="17"/>
                <w:szCs w:val="17"/>
              </w:rPr>
              <w:t xml:space="preserve">Addresses: UT Law Policy Award + Completeness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1B2A4A" w:val="clear"/>
            <w:tcMar>
              <w:top w:type="dxa" w:w="100"/>
              <w:left w:type="dxa" w:w="200"/>
              <w:bottom w:type="dxa" w:w="100"/>
              <w:right w:type="dxa" w:w="200"/>
            </w:tcMar>
          </w:tcPr>
          <w:p>
            <w:r>
              <w:rPr>
                <w:rFonts w:ascii="Arial" w:cs="Arial" w:eastAsia="Arial" w:hAnsi="Arial"/>
                <w:b/>
                <w:bCs/>
                <w:i w:val="false"/>
                <w:iCs w:val="false"/>
                <w:color w:val="B8860B"/>
                <w:sz w:val="20"/>
                <w:szCs w:val="20"/>
              </w:rPr>
              <w:t xml:space="preserve">Q7: "What happens to the data if KATHA the company shuts down?"</w:t>
            </w:r>
          </w:p>
        </w:tc>
      </w:tr>
      <w:tr>
        <w:tc>
          <w:tcPr>
            <w:tcW w:type="dxa" w:w="9360"/>
            <w:tcBorders>
              <w:top w:val="single" w:color="E2E8F0" w:sz="4"/>
              <w:left w:val="single" w:color="E2E8F0" w:sz="4"/>
              <w:bottom w:val="single" w:color="E2E8F0" w:sz="4"/>
              <w:right w:val="single" w:color="E2E8F0" w:sz="4"/>
            </w:tcBorders>
            <w:shd w:fill="F8F8F6"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111111"/>
                <w:sz w:val="20"/>
                <w:szCs w:val="20"/>
              </w:rPr>
              <w:t xml:space="preserve">Nothing. The passport is a local-first SQLite database on the family's own machine. We do not hold the data. The export is a self-contained JSON-LD bundle that any KATHA-compatible tool can import -- the schema is Apache-2.0 open source. Shutdown means we stop offering the hosted service. The family keeps everything. That is the whole point.</w:t>
            </w:r>
          </w:p>
          <w:p>
            <w:r>
              <w:rPr>
                <w:rFonts w:ascii="Arial" w:cs="Arial" w:eastAsia="Arial" w:hAnsi="Arial"/>
                <w:b w:val="false"/>
                <w:bCs w:val="false"/>
                <w:i/>
                <w:iCs/>
                <w:color w:val="0D6E6E"/>
                <w:sz w:val="17"/>
                <w:szCs w:val="17"/>
              </w:rPr>
              <w:t xml:space="preserve">Addresses: DTI Interoperability Award + Track Criteria</w:t>
            </w:r>
          </w:p>
        </w:tc>
      </w:tr>
    </w:tbl>
    <w:p>
      <w:pPr>
        <w:spacing w:before="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none" w:color="FFFFFF" w:sz="0"/>
              <w:bottom w:val="none" w:color="FFFFFF" w:sz="0"/>
              <w:right w:val="none" w:color="FFFFFF" w:sz="0"/>
            </w:tcBorders>
            <w:shd w:fill="F8F8F6" w:val="clear"/>
            <w:tcMar>
              <w:top w:type="dxa" w:w="180"/>
              <w:left w:type="dxa" w:w="400"/>
              <w:bottom w:type="dxa" w:w="180"/>
              <w:right w:type="dxa" w:w="400"/>
            </w:tcMar>
          </w:tcPr>
          <w:p>
            <w:pPr>
              <w:jc w:val="center"/>
            </w:pPr>
            <w:r>
              <w:rPr>
                <w:rFonts w:ascii="Arial" w:cs="Arial" w:eastAsia="Arial" w:hAnsi="Arial"/>
                <w:b/>
                <w:bCs/>
                <w:i w:val="false"/>
                <w:iCs w:val="false"/>
                <w:color w:val="7B1C1C"/>
                <w:sz w:val="20"/>
                <w:szCs w:val="20"/>
              </w:rPr>
              <w:t xml:space="preserve">KATHA -- Guardrails and Ethics Addendum</w:t>
            </w:r>
          </w:p>
          <w:p>
            <w:pPr>
              <w:jc w:val="center"/>
            </w:pPr>
            <w:r>
              <w:rPr>
                <w:rFonts w:ascii="Arial" w:cs="Arial" w:eastAsia="Arial" w:hAnsi="Arial"/>
                <w:b w:val="false"/>
                <w:bCs w:val="false"/>
                <w:i w:val="false"/>
                <w:iCs w:val="false"/>
                <w:color w:val="475569"/>
                <w:sz w:val="17"/>
                <w:szCs w:val="17"/>
              </w:rPr>
              <w:t xml:space="preserve">Murai Labs  |  Data Portability Hackathon 2026</w:t>
            </w:r>
          </w:p>
          <w:p>
            <w:pPr>
              <w:spacing w:before="30" w:after="0"/>
            </w:pPr>
            <w:r>
              <w:t xml:space="preserve"/>
            </w:r>
          </w:p>
          <w:p>
            <w:pPr>
              <w:jc w:val="center"/>
            </w:pPr>
            <w:r>
              <w:rPr>
                <w:rFonts w:ascii="Arial" w:cs="Arial" w:eastAsia="Arial" w:hAnsi="Arial"/>
                <w:b w:val="false"/>
                <w:bCs w:val="false"/>
                <w:i/>
                <w:iCs/>
                <w:color w:val="475569"/>
                <w:sz w:val="18"/>
                <w:szCs w:val="18"/>
              </w:rPr>
              <w:t xml:space="preserve">Handling it honestly is stronger than pretending the risks do not exist.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B2A4A"/>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B2A4A"/>
      <w:sz w:val="24"/>
      <w:szCs w:val="24"/>
    </w:rPr>
  </w:style>
  <w:style w:type="paragraph" w:styleId="Heading3">
    <w:name w:val="Heading 3"/>
    <w:basedOn w:val="Normal"/>
    <w:next w:val="Normal"/>
    <w:qFormat/>
    <w:pPr>
      <w:spacing w:before="160" w:after="60"/>
      <w:outlineLvl w:val="2"/>
    </w:pPr>
    <w:rPr>
      <w:rFonts w:ascii="Arial" w:cs="Arial" w:eastAsia="Arial" w:hAnsi="Arial"/>
      <w:b/>
      <w:bCs/>
      <w:color w:val="0D6E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2026-02-26T05:10:25.712Z</dcterms:created>
  <dcterms:modified xsi:type="dcterms:W3CDTF">2026-02-26T05:10:25.713Z</dcterms:modified>
</cp:coreProperties>
</file>

<file path=docProps/custom.xml><?xml version="1.0" encoding="utf-8"?>
<Properties xmlns="http://schemas.openxmlformats.org/officeDocument/2006/custom-properties" xmlns:vt="http://schemas.openxmlformats.org/officeDocument/2006/docPropsVTypes"/>
</file>