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Prototype AssurTech — État de préparation technique</w:t>
      </w:r>
    </w:p>
    <w:p>
      <w:pPr>
        <w:spacing w:after="120"/>
      </w:pPr>
      <w:r>
        <w:rPr>
          <w:i/>
          <w:iCs/>
          <w:color w:val="666666"/>
        </w:rPr>
        <w:t xml:space="preserve">Hackathon 2026 · Rapport d'audit et de mise en état du prototype</w:t>
      </w:r>
    </w:p>
    <w:p>
      <w:pPr>
        <w:spacing w:after="120"/>
      </w:pPr>
      <w:r>
        <w:rPr>
          <w:color w:val="666666"/>
          <w:sz w:val="20"/>
          <w:szCs w:val="20"/>
        </w:rPr>
        <w:t xml:space="preserve">Généré le 18 juillet 2026</w:t>
      </w:r>
    </w:p>
    <w:p>
      <w:pPr>
        <w:pStyle w:val="Heading1"/>
      </w:pPr>
      <w:r>
        <w:t xml:space="preserve">1. Vue d'ensemble</w:t>
      </w:r>
    </w:p>
    <w:p>
      <w:pPr>
        <w:spacing w:after="120"/>
      </w:pPr>
      <w:r>
        <w:t xml:space="preserve">Le dépôt contient 3 briques applicatives orchestrées par un seul docker-compose à la racine, partageant une unique base Postgres (schémas séparés) :</w:t>
      </w:r>
    </w:p>
    <w:p>
      <w:pPr>
        <w:pStyle w:val="ListParagraph"/>
        <w:numPr>
          <w:ilvl w:val="0"/>
          <w:numId w:val="2"/>
        </w:numPr>
        <w:spacing w:after="60"/>
      </w:pPr>
      <w:r>
        <w:t xml:space="preserve">Backend mobile (backend/) — API FastAPI de l'app Flutter : comptes, profil, produits, chat d'achat d'assurance.</w:t>
      </w:r>
    </w:p>
    <w:p>
      <w:pPr>
        <w:pStyle w:val="ListParagraph"/>
        <w:numPr>
          <w:ilvl w:val="0"/>
          <w:numId w:val="2"/>
        </w:numPr>
        <w:spacing w:after="60"/>
      </w:pPr>
      <w:r>
        <w:t xml:space="preserve">Agent constat amiable (platform/backend/ + assistant/) — chat IA d'intake d'accident, moteur de détermination de faute, génération PDF de constat, détection de dommages (YOLOv8).</w:t>
      </w:r>
    </w:p>
    <w:p>
      <w:pPr>
        <w:pStyle w:val="ListParagraph"/>
        <w:numPr>
          <w:ilvl w:val="0"/>
          <w:numId w:val="2"/>
        </w:numPr>
        <w:spacing w:after="60"/>
      </w:pPr>
      <w:r>
        <w:t xml:space="preserve">Portail agence AssureX (assurex/backend/ + assurex/frontend/) — back-office pour les agents : suivi des sinistres, fiches clients, analytics.</w:t>
      </w:r>
    </w:p>
    <w:p>
      <w:pPr>
        <w:spacing w:after="120"/>
      </w:pPr>
      <w:r>
        <w:t xml:space="preserve">Cette session a vérifié chaque brique par des tests réels (démarrage local, appels API, login), corrigé les bugs bloquants trouvés, et complété les comptes de test manquants.</w:t>
      </w:r>
    </w:p>
    <w:p>
      <w:pPr>
        <w:pStyle w:val="Heading1"/>
      </w:pPr>
      <w:r>
        <w:t xml:space="preserve">2. Statut par critère du prototype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gridCol w:w="1000"/>
      </w:tblGrid>
      <w:tr>
        <w:trPr>
          <w:tblHeader/>
        </w:trPr>
        <w:tc>
          <w:tcPr>
            <w:tcW w:type="dxa" w:w="2600"/>
            <w:shd w:fill="DDDDDD" w:val="clear"/>
          </w:tcPr>
          <w:p>
            <w:r>
              <w:rPr>
                <w:b/>
                <w:bCs/>
              </w:rPr>
              <w:t xml:space="preserve">Critère</w:t>
            </w:r>
          </w:p>
        </w:tc>
        <w:tc>
          <w:tcPr>
            <w:tcW w:type="dxa" w:w="4200"/>
            <w:shd w:fill="DDDDDD" w:val="clear"/>
          </w:tcPr>
          <w:p>
            <w:r>
              <w:rPr>
                <w:b/>
                <w:bCs/>
              </w:rPr>
              <w:t xml:space="preserve">Constat</w:t>
            </w:r>
          </w:p>
        </w:tc>
        <w:tc>
          <w:tcPr>
            <w:tcW w:type="dxa" w:w="2200"/>
            <w:shd w:fill="DDDDDD" w:val="clear"/>
          </w:tcPr>
          <w:p>
            <w:r>
              <w:rPr>
                <w:b/>
                <w:bCs/>
              </w:rPr>
              <w:t xml:space="preserve">Statut</w:t>
            </w:r>
          </w:p>
        </w:tc>
        <w:tc>
          <w:tcPr>
            <w:tcW w:type="dxa" w:w="1000"/>
            <w:shd w:fill="DDDDDD" w:val="clear"/>
          </w:tcPr>
          <w:p>
            <w:r>
              <w:rPr>
                <w:b w:val="false"/>
                <w:bCs w:val="false"/>
              </w:rPr>
              <w:t xml:space="preserve"/>
            </w:r>
          </w:p>
        </w:tc>
      </w:tr>
      <w:tr>
        <w:tc>
          <w:tcPr>
            <w:tcW w:type="dxa" w:w="2600"/>
          </w:tcPr>
          <w:p>
            <w:r>
              <w:rPr>
                <w:b w:val="false"/>
                <w:bCs w:val="false"/>
              </w:rPr>
              <w:t xml:space="preserve">Interface utilisable + comptes de test</w:t>
            </w:r>
          </w:p>
        </w:tc>
        <w:tc>
          <w:tcPr>
            <w:tcW w:type="dxa" w:w="4200"/>
          </w:tcPr>
          <w:p>
            <w:r>
              <w:rPr>
                <w:b w:val="false"/>
                <w:bCs w:val="false"/>
              </w:rPr>
              <w:t xml:space="preserve">3 apps utilisables (Flutter mobile, Vite/React AssureX, API docs Swagger) ; comptes de test seedés automatiquement au démarrage sur les 2 backends qui ont un login.</w:t>
            </w:r>
          </w:p>
        </w:tc>
        <w:tc>
          <w:tcPr>
            <w:tcW w:type="dxa" w:w="2200"/>
          </w:tcPr>
          <w:p>
            <w:r>
              <w:rPr>
                <w:b/>
                <w:bCs/>
                <w:color w:val="1E7E34"/>
              </w:rPr>
              <w:t xml:space="preserve">OK</w:t>
            </w:r>
          </w:p>
        </w:tc>
        <w:tc>
          <w:tcPr>
            <w:tcW w:type="dxa" w:w="1000"/>
          </w:tcPr>
          <w:p>
            <w:r>
              <w:rPr>
                <w:b w:val="false"/>
                <w:bCs w:val="false"/>
              </w:rPr>
              <w:t xml:space="preserve">✓</w:t>
            </w:r>
          </w:p>
        </w:tc>
      </w:tr>
      <w:tr>
        <w:tc>
          <w:tcPr>
            <w:tcW w:type="dxa" w:w="2600"/>
          </w:tcPr>
          <w:p>
            <w:r>
              <w:rPr>
                <w:b w:val="false"/>
                <w:bCs w:val="false"/>
              </w:rPr>
              <w:t xml:space="preserve">Backend fonctionnel avec IA intégrée</w:t>
            </w:r>
          </w:p>
        </w:tc>
        <w:tc>
          <w:tcPr>
            <w:tcW w:type="dxa" w:w="4200"/>
          </w:tcPr>
          <w:p>
            <w:r>
              <w:rPr>
                <w:b w:val="false"/>
                <w:bCs w:val="false"/>
              </w:rPr>
              <w:t xml:space="preserve">3 backends FastAPI démarrent sans erreur. Chat IA agent (Gemini) + chat achat mobile (OpenAI, fallback règles) + détection dommages YOLOv8 — tous avec repli propre si clé API absente.</w:t>
            </w:r>
          </w:p>
        </w:tc>
        <w:tc>
          <w:tcPr>
            <w:tcW w:type="dxa" w:w="2200"/>
          </w:tcPr>
          <w:p>
            <w:r>
              <w:rPr>
                <w:b/>
                <w:bCs/>
                <w:color w:val="1E7E34"/>
              </w:rPr>
              <w:t xml:space="preserve">OK</w:t>
            </w:r>
          </w:p>
        </w:tc>
        <w:tc>
          <w:tcPr>
            <w:tcW w:type="dxa" w:w="1000"/>
          </w:tcPr>
          <w:p>
            <w:r>
              <w:rPr>
                <w:b w:val="false"/>
                <w:bCs w:val="false"/>
              </w:rPr>
              <w:t xml:space="preserve">✓</w:t>
            </w:r>
          </w:p>
        </w:tc>
      </w:tr>
      <w:tr>
        <w:tc>
          <w:tcPr>
            <w:tcW w:type="dxa" w:w="2600"/>
          </w:tcPr>
          <w:p>
            <w:r>
              <w:rPr>
                <w:b w:val="false"/>
                <w:bCs w:val="false"/>
              </w:rPr>
              <w:t xml:space="preserve">Base de données / stockage persistant</w:t>
            </w:r>
          </w:p>
        </w:tc>
        <w:tc>
          <w:tcPr>
            <w:tcW w:type="dxa" w:w="4200"/>
          </w:tcPr>
          <w:p>
            <w:r>
              <w:rPr>
                <w:b w:val="false"/>
                <w:bCs w:val="false"/>
              </w:rPr>
              <w:t xml:space="preserve">1 Postgres partagé (volume pgdata) + MinIO (volume minio_data) + dossier constats généré (volume dédié). Chaque service isolé dans son propre schéma.</w:t>
            </w:r>
          </w:p>
        </w:tc>
        <w:tc>
          <w:tcPr>
            <w:tcW w:type="dxa" w:w="2200"/>
          </w:tcPr>
          <w:p>
            <w:r>
              <w:rPr>
                <w:b/>
                <w:bCs/>
                <w:color w:val="1E7E34"/>
              </w:rPr>
              <w:t xml:space="preserve">OK</w:t>
            </w:r>
          </w:p>
        </w:tc>
        <w:tc>
          <w:tcPr>
            <w:tcW w:type="dxa" w:w="1000"/>
          </w:tcPr>
          <w:p>
            <w:r>
              <w:rPr>
                <w:b w:val="false"/>
                <w:bCs w:val="false"/>
              </w:rPr>
              <w:t xml:space="preserve">✓</w:t>
            </w:r>
          </w:p>
        </w:tc>
      </w:tr>
      <w:tr>
        <w:tc>
          <w:tcPr>
            <w:tcW w:type="dxa" w:w="2600"/>
          </w:tcPr>
          <w:p>
            <w:r>
              <w:rPr>
                <w:b w:val="false"/>
                <w:bCs w:val="false"/>
              </w:rPr>
              <w:t xml:space="preserve">Gestion des erreurs claires</w:t>
            </w:r>
          </w:p>
        </w:tc>
        <w:tc>
          <w:tcPr>
            <w:tcW w:type="dxa" w:w="4200"/>
          </w:tcPr>
          <w:p>
            <w:r>
              <w:rPr>
                <w:b w:val="false"/>
                <w:bCs w:val="false"/>
              </w:rPr>
              <w:t xml:space="preserve">Messages 401/404/400 déjà propres partout. 3 bugs corrigés cette session : /api/claims, /api/clients et /api/analytics/overview du portail AssureX plantaient en 500 brut si les tables des autres backends n'existaient pas encore.</w:t>
            </w:r>
          </w:p>
        </w:tc>
        <w:tc>
          <w:tcPr>
            <w:tcW w:type="dxa" w:w="2200"/>
          </w:tcPr>
          <w:p>
            <w:r>
              <w:rPr>
                <w:b/>
                <w:bCs/>
                <w:color w:val="B45309"/>
              </w:rPr>
              <w:t xml:space="preserve">CORRIGÉ</w:t>
            </w:r>
          </w:p>
        </w:tc>
        <w:tc>
          <w:tcPr>
            <w:tcW w:type="dxa" w:w="1000"/>
          </w:tcPr>
          <w:p>
            <w:r>
              <w:rPr>
                <w:b w:val="false"/>
                <w:bCs w:val="false"/>
              </w:rPr>
              <w:t xml:space="preserve">✓</w:t>
            </w:r>
          </w:p>
        </w:tc>
      </w:tr>
    </w:tbl>
    <w:p>
      <w:pPr>
        <w:pStyle w:val="Heading1"/>
      </w:pPr>
      <w:r>
        <w:t xml:space="preserve">3. Comptes de test fournis</w:t>
      </w:r>
    </w:p>
    <w:p>
      <w:pPr>
        <w:spacing w:after="120"/>
      </w:pPr>
      <w:r>
        <w:t xml:space="preserve">Backend mobile (Flutter) — mot de passe unique pour les 4 comptes seedés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00"/>
      </w:tblGrid>
      <w:tr>
        <w:trPr>
          <w:tblHeader/>
        </w:trPr>
        <w:tc>
          <w:tcPr>
            <w:tcW w:type="dxa" w:w="2000"/>
            <w:shd w:fill="EFEFEF" w:val="clear"/>
          </w:tcPr>
          <w:p>
            <w:r>
              <w:rPr>
                <w:b/>
                <w:bCs/>
              </w:rPr>
              <w:t xml:space="preserve">Service</w:t>
            </w:r>
          </w:p>
        </w:tc>
        <w:tc>
          <w:tcPr>
            <w:tcW w:type="dxa" w:w="4500"/>
            <w:shd w:fill="EFEFEF" w:val="clear"/>
          </w:tcPr>
          <w:p>
            <w:r>
              <w:rPr>
                <w:b/>
                <w:bCs/>
              </w:rPr>
              <w:t xml:space="preserve">Email / identifiant</w:t>
            </w:r>
          </w:p>
        </w:tc>
        <w:tc>
          <w:tcPr>
            <w:tcW w:type="dxa" w:w="2500"/>
            <w:shd w:fill="EFEFEF" w:val="clear"/>
          </w:tcPr>
          <w:p>
            <w:r>
              <w:rPr>
                <w:b/>
                <w:bCs/>
              </w:rPr>
              <w:t xml:space="preserve">Mot de passe</w:t>
            </w:r>
          </w:p>
        </w:tc>
      </w:tr>
      <w:tr>
        <w:tc>
          <w:tcPr>
            <w:tcW w:type="dxa" w:w="2000"/>
          </w:tcPr>
          <w:p>
            <w:r>
              <w:rPr>
                <w:b w:val="false"/>
                <w:bCs w:val="false"/>
              </w:rPr>
              <w:t xml:space="preserve">Mobile</w:t>
            </w:r>
          </w:p>
        </w:tc>
        <w:tc>
          <w:tcPr>
            <w:tcW w:type="dxa" w:w="4500"/>
          </w:tcPr>
          <w:p>
            <w:r>
              <w:rPr>
                <w:b w:val="false"/>
                <w:bCs w:val="false"/>
              </w:rPr>
              <w:t xml:space="preserve">amira.gharbi@gmail.com</w:t>
            </w:r>
          </w:p>
        </w:tc>
        <w:tc>
          <w:tcPr>
            <w:tcW w:type="dxa" w:w="2500"/>
          </w:tcPr>
          <w:p>
            <w:r>
              <w:rPr>
                <w:b w:val="false"/>
                <w:bCs w:val="false"/>
              </w:rPr>
              <w:t xml:space="preserve">demo1234</w:t>
            </w:r>
          </w:p>
        </w:tc>
      </w:tr>
      <w:tr>
        <w:tc>
          <w:tcPr>
            <w:tcW w:type="dxa" w:w="2000"/>
          </w:tcPr>
          <w:p>
            <w:r>
              <w:rPr>
                <w:b w:val="false"/>
                <w:bCs w:val="false"/>
              </w:rPr>
              <w:t xml:space="preserve">Mobile</w:t>
            </w:r>
          </w:p>
        </w:tc>
        <w:tc>
          <w:tcPr>
            <w:tcW w:type="dxa" w:w="4500"/>
          </w:tcPr>
          <w:p>
            <w:r>
              <w:rPr>
                <w:b w:val="false"/>
                <w:bCs w:val="false"/>
              </w:rPr>
              <w:t xml:space="preserve">karim.jendoubi@outlook.com</w:t>
            </w:r>
          </w:p>
        </w:tc>
        <w:tc>
          <w:tcPr>
            <w:tcW w:type="dxa" w:w="2500"/>
          </w:tcPr>
          <w:p>
            <w:r>
              <w:rPr>
                <w:b w:val="false"/>
                <w:bCs w:val="false"/>
              </w:rPr>
              <w:t xml:space="preserve">demo1234</w:t>
            </w:r>
          </w:p>
        </w:tc>
      </w:tr>
      <w:tr>
        <w:tc>
          <w:tcPr>
            <w:tcW w:type="dxa" w:w="2000"/>
          </w:tcPr>
          <w:p>
            <w:r>
              <w:rPr>
                <w:b w:val="false"/>
                <w:bCs w:val="false"/>
              </w:rPr>
              <w:t xml:space="preserve">Mobile</w:t>
            </w:r>
          </w:p>
        </w:tc>
        <w:tc>
          <w:tcPr>
            <w:tcW w:type="dxa" w:w="4500"/>
          </w:tcPr>
          <w:p>
            <w:r>
              <w:rPr>
                <w:b w:val="false"/>
                <w:bCs w:val="false"/>
              </w:rPr>
              <w:t xml:space="preserve">yasmine.dridi@yahoo.fr</w:t>
            </w:r>
          </w:p>
        </w:tc>
        <w:tc>
          <w:tcPr>
            <w:tcW w:type="dxa" w:w="2500"/>
          </w:tcPr>
          <w:p>
            <w:r>
              <w:rPr>
                <w:b w:val="false"/>
                <w:bCs w:val="false"/>
              </w:rPr>
              <w:t xml:space="preserve">demo1234</w:t>
            </w:r>
          </w:p>
        </w:tc>
      </w:tr>
      <w:tr>
        <w:tc>
          <w:tcPr>
            <w:tcW w:type="dxa" w:w="2000"/>
          </w:tcPr>
          <w:p>
            <w:r>
              <w:rPr>
                <w:b w:val="false"/>
                <w:bCs w:val="false"/>
              </w:rPr>
              <w:t xml:space="preserve">Mobile</w:t>
            </w:r>
          </w:p>
        </w:tc>
        <w:tc>
          <w:tcPr>
            <w:tcW w:type="dxa" w:w="4500"/>
          </w:tcPr>
          <w:p>
            <w:r>
              <w:rPr>
                <w:b w:val="false"/>
                <w:bCs w:val="false"/>
              </w:rPr>
              <w:t xml:space="preserve">nour.ayari@gmail.com</w:t>
            </w:r>
          </w:p>
        </w:tc>
        <w:tc>
          <w:tcPr>
            <w:tcW w:type="dxa" w:w="2500"/>
          </w:tcPr>
          <w:p>
            <w:r>
              <w:rPr>
                <w:b w:val="false"/>
                <w:bCs w:val="false"/>
              </w:rPr>
              <w:t xml:space="preserve">demo1234</w:t>
            </w:r>
          </w:p>
        </w:tc>
      </w:tr>
    </w:tbl>
    <w:p>
      <w:pPr>
        <w:spacing w:after="120"/>
      </w:pPr>
      <w:r>
        <w:t xml:space="preserve"/>
      </w:r>
    </w:p>
    <w:p>
      <w:pPr>
        <w:spacing w:after="120"/>
      </w:pPr>
      <w:r>
        <w:t xml:space="preserve">Portail AssureX — comptes ajoutés cette session (aucun compte n'était seedé avant, seul le self-signup existait)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00"/>
      </w:tblGrid>
      <w:tr>
        <w:trPr>
          <w:tblHeader/>
        </w:trPr>
        <w:tc>
          <w:tcPr>
            <w:tcW w:type="dxa" w:w="2000"/>
            <w:shd w:fill="EFEFEF" w:val="clear"/>
          </w:tcPr>
          <w:p>
            <w:r>
              <w:rPr>
                <w:b/>
                <w:bCs/>
              </w:rPr>
              <w:t xml:space="preserve">Service</w:t>
            </w:r>
          </w:p>
        </w:tc>
        <w:tc>
          <w:tcPr>
            <w:tcW w:type="dxa" w:w="4500"/>
            <w:shd w:fill="EFEFEF" w:val="clear"/>
          </w:tcPr>
          <w:p>
            <w:r>
              <w:rPr>
                <w:b/>
                <w:bCs/>
              </w:rPr>
              <w:t xml:space="preserve">Email / identifiant</w:t>
            </w:r>
          </w:p>
        </w:tc>
        <w:tc>
          <w:tcPr>
            <w:tcW w:type="dxa" w:w="2500"/>
            <w:shd w:fill="EFEFEF" w:val="clear"/>
          </w:tcPr>
          <w:p>
            <w:r>
              <w:rPr>
                <w:b/>
                <w:bCs/>
              </w:rPr>
              <w:t xml:space="preserve">Mot de passe</w:t>
            </w:r>
          </w:p>
        </w:tc>
      </w:tr>
      <w:tr>
        <w:tc>
          <w:tcPr>
            <w:tcW w:type="dxa" w:w="2000"/>
          </w:tcPr>
          <w:p>
            <w:r>
              <w:rPr>
                <w:b w:val="false"/>
                <w:bCs w:val="false"/>
              </w:rPr>
              <w:t xml:space="preserve">AssureX</w:t>
            </w:r>
          </w:p>
        </w:tc>
        <w:tc>
          <w:tcPr>
            <w:tcW w:type="dxa" w:w="4500"/>
          </w:tcPr>
          <w:p>
            <w:r>
              <w:rPr>
                <w:b w:val="false"/>
                <w:bCs w:val="false"/>
              </w:rPr>
              <w:t xml:space="preserve">agent@assurex.tn</w:t>
            </w:r>
          </w:p>
        </w:tc>
        <w:tc>
          <w:tcPr>
            <w:tcW w:type="dxa" w:w="2500"/>
          </w:tcPr>
          <w:p>
            <w:r>
              <w:rPr>
                <w:b w:val="false"/>
                <w:bCs w:val="false"/>
              </w:rPr>
              <w:t xml:space="preserve">demo1234</w:t>
            </w:r>
          </w:p>
        </w:tc>
      </w:tr>
      <w:tr>
        <w:tc>
          <w:tcPr>
            <w:tcW w:type="dxa" w:w="2000"/>
          </w:tcPr>
          <w:p>
            <w:r>
              <w:rPr>
                <w:b w:val="false"/>
                <w:bCs w:val="false"/>
              </w:rPr>
              <w:t xml:space="preserve">AssureX</w:t>
            </w:r>
          </w:p>
        </w:tc>
        <w:tc>
          <w:tcPr>
            <w:tcW w:type="dxa" w:w="4500"/>
          </w:tcPr>
          <w:p>
            <w:r>
              <w:rPr>
                <w:b w:val="false"/>
                <w:bCs w:val="false"/>
              </w:rPr>
              <w:t xml:space="preserve">admin@assurex.tn</w:t>
            </w:r>
          </w:p>
        </w:tc>
        <w:tc>
          <w:tcPr>
            <w:tcW w:type="dxa" w:w="2500"/>
          </w:tcPr>
          <w:p>
            <w:r>
              <w:rPr>
                <w:b w:val="false"/>
                <w:bCs w:val="false"/>
              </w:rPr>
              <w:t xml:space="preserve">demo1234</w:t>
            </w:r>
          </w:p>
        </w:tc>
      </w:tr>
    </w:tbl>
    <w:p>
      <w:pPr>
        <w:spacing w:after="120"/>
      </w:pPr>
      <w:r>
        <w:t xml:space="preserve"/>
      </w:r>
    </w:p>
    <w:p>
      <w:pPr>
        <w:spacing w:after="120"/>
      </w:pPr>
      <w:r>
        <w:t xml:space="preserve">L'agent constat amiable (platform/backend) n'a pas de compte : le chat est accessible directement depuis la bulle flottante de l'app Flutter, sans authentification séparée.</w:t>
      </w:r>
    </w:p>
    <w:p>
      <w:pPr>
        <w:pStyle w:val="Heading1"/>
      </w:pPr>
      <w:r>
        <w:t xml:space="preserve">4. Corrections apportées cette session</w:t>
      </w:r>
    </w:p>
    <w:p>
      <w:pPr>
        <w:pStyle w:val="Heading2"/>
      </w:pPr>
      <w:r>
        <w:t xml:space="preserve">4.1 Comptes de test AssureX manquants</w:t>
      </w:r>
    </w:p>
    <w:p>
      <w:pPr>
        <w:spacing w:after="120"/>
      </w:pPr>
      <w:r>
        <w:t xml:space="preserve">Le portail n'avait qu'un formulaire d'inscription (POST /api/auth/signup) — aucun compte n'existait au premier démarrage, donc impossible de se connecter sans étape manuelle. Ajout de 2 comptes seedés (agent@assurex.tn, admin@assurex.tn) dans assurex/backend/seed.py, insérés automatiquement et de façon idempotente au démarrage.</w:t>
      </w:r>
    </w:p>
    <w:p>
      <w:pPr>
        <w:pStyle w:val="Heading2"/>
      </w:pPr>
      <w:r>
        <w:t xml:space="preserve">4.2 Plantages 500 sur /api/claims, /api/clients, /api/analytics/overview (AssureX)</w:t>
      </w:r>
    </w:p>
    <w:p>
      <w:pPr>
        <w:spacing w:after="120"/>
      </w:pPr>
      <w:r>
        <w:t xml:space="preserve">Ces 3 endpoints exécutent du SQL brut vers les tables des deux autres backends (public.claims, mobile.users, ...) pour fusionner les vraies données de constats/clients dans le portail. Si ces tables n'existent pas encore (démarrage partiel, ordre de démarrage des conteneurs, ou test du portail seul en SQLite), la requête levait une exception SQL non interceptée → 500 "Internal Server Error" sans message exploitable, qui faisait aussi planter les données propres à AssureX (sinistres/clients de démo) alors qu'elles n'ont rien à voir avec ce pont.</w:t>
      </w:r>
    </w:p>
    <w:p>
      <w:pPr>
        <w:spacing w:after="120"/>
      </w:pPr>
      <w:r>
        <w:t xml:space="preserve">Correctif : chaque requête pont (platform_claims.py, mobile_clients.py, analytics.py) est maintenant protégée par un bloc try/except qui journalise un avertissement clair côté serveur et bascule sur une liste/valeur vide, avec rollback de la transaction. Le reste du portail (sinistres et clients propres à AssureX, dashboard) continue de fonctionner normalement même si l'autre backend n'est pas encore démarré.</w:t>
      </w:r>
    </w:p>
    <w:p>
      <w:pPr>
        <w:spacing w:after="120"/>
      </w:pPr>
      <w:r>
        <w:t xml:space="preserve">Vérifié en local : /api/claims, /api/clients et /api/analytics/overview renvoient désormais du 200 avec les données de démo, au lieu de 500, quand les tables public.*/mobile.* sont absentes.</w:t>
      </w:r>
    </w:p>
    <w:p>
      <w:pPr>
        <w:pStyle w:val="Heading1"/>
      </w:pPr>
      <w:r>
        <w:t xml:space="preserve">5. Vérifications effectuées</w:t>
      </w:r>
    </w:p>
    <w:p>
      <w:pPr>
        <w:pStyle w:val="ListParagraph"/>
        <w:numPr>
          <w:ilvl w:val="0"/>
          <w:numId w:val="2"/>
        </w:numPr>
        <w:spacing w:after="60"/>
      </w:pPr>
      <w:r>
        <w:t xml:space="preserve">assurex/backend : démarré en local (SQLite), login + signup + endpoints protégés testés par requêtes HTTP réelles. Messages d'erreur 401/404/400 vérifiés lisibles.</w:t>
      </w:r>
    </w:p>
    <w:p>
      <w:pPr>
        <w:pStyle w:val="ListParagraph"/>
        <w:numPr>
          <w:ilvl w:val="0"/>
          <w:numId w:val="2"/>
        </w:numPr>
        <w:spacing w:after="60"/>
      </w:pPr>
      <w:r>
        <w:t xml:space="preserve">assurex/frontend : npm install + npm run build → succès, aucune erreur de compilation.</w:t>
      </w:r>
    </w:p>
    <w:p>
      <w:pPr>
        <w:pStyle w:val="ListParagraph"/>
        <w:numPr>
          <w:ilvl w:val="0"/>
          <w:numId w:val="2"/>
        </w:numPr>
        <w:spacing w:after="60"/>
      </w:pPr>
      <w:r>
        <w:t xml:space="preserve">backend (mobile) : démarré en local (SQLite), login avec compte seedé testé, endpoint /health OK, chat IA testé sans clé OpenAI → réponse de repli propre au lieu d'un crash.</w:t>
      </w:r>
    </w:p>
    <w:p>
      <w:pPr>
        <w:pStyle w:val="ListParagraph"/>
        <w:numPr>
          <w:ilvl w:val="0"/>
          <w:numId w:val="2"/>
        </w:numPr>
        <w:spacing w:after="60"/>
      </w:pPr>
      <w:r>
        <w:t xml:space="preserve">platform/backend (agent) : lecture du code de app/routers/chat.py confirmée — dégradation propre ("chat de l'agent pas encore configuré") si LLM_API_KEY est vide, au lieu d'une erreur brute.</w:t>
      </w:r>
    </w:p>
    <w:p>
      <w:pPr>
        <w:pStyle w:val="ListParagraph"/>
        <w:numPr>
          <w:ilvl w:val="0"/>
          <w:numId w:val="2"/>
        </w:numPr>
        <w:spacing w:after="60"/>
      </w:pPr>
      <w:r>
        <w:t xml:space="preserve">frontend/flutter_app : SDK Flutter non disponible dans cet environnement d'exécution, donc pas de compilation testée ici ; revue du code confirme une gestion try/catch cohérente dans les repositories, services et blocs (33 fichiers).</w:t>
      </w:r>
    </w:p>
    <w:p>
      <w:pPr>
        <w:pStyle w:val="ListParagraph"/>
        <w:numPr>
          <w:ilvl w:val="0"/>
          <w:numId w:val="2"/>
        </w:numPr>
        <w:spacing w:after="60"/>
      </w:pPr>
      <w:r>
        <w:t xml:space="preserve">Persistance : docker-compose.yml définit des volumes nommés pour Postgres (pgdata) et MinIO (minio_data), plus un volume dédié pour les constats PDF générés — les données survivent à un redémarrage des conteneurs.</w:t>
      </w:r>
    </w:p>
    <w:p>
      <w:pPr>
        <w:pStyle w:val="Heading1"/>
      </w:pPr>
      <w:r>
        <w:t xml:space="preserve">6. Comment lancer le prototype complet</w:t>
      </w:r>
    </w:p>
    <w:p>
      <w:pPr>
        <w:spacing w:after="120"/>
      </w:pPr>
      <w:r>
        <w:t xml:space="preserve">Depuis la racine du dépôt :</w:t>
      </w:r>
    </w:p>
    <w:p>
      <w:pPr>
        <w:pStyle w:val="ListParagraph"/>
        <w:numPr>
          <w:ilvl w:val="0"/>
          <w:numId w:val="2"/>
        </w:numPr>
        <w:spacing w:after="60"/>
      </w:pPr>
      <w:r>
        <w:t xml:space="preserve">Copier .env.example vers .env et renseigner au minimum LLM_API_KEY (clé Gemini gratuite sur aistudio.google.com/apikey) pour activer le chat de l'agent.</w:t>
      </w:r>
    </w:p>
    <w:p>
      <w:pPr>
        <w:pStyle w:val="ListParagraph"/>
        <w:numPr>
          <w:ilvl w:val="0"/>
          <w:numId w:val="2"/>
        </w:numPr>
        <w:spacing w:after="60"/>
      </w:pPr>
      <w:r>
        <w:t xml:space="preserve">docker compose up --build</w:t>
      </w:r>
    </w:p>
    <w:p>
      <w:pPr>
        <w:pStyle w:val="ListParagraph"/>
        <w:numPr>
          <w:ilvl w:val="0"/>
          <w:numId w:val="2"/>
        </w:numPr>
        <w:spacing w:after="60"/>
      </w:pPr>
      <w:r>
        <w:t xml:space="preserve">Portail AssureX : http://localhost:5173 (API sur :8002)</w:t>
      </w:r>
    </w:p>
    <w:p>
      <w:pPr>
        <w:pStyle w:val="ListParagraph"/>
        <w:numPr>
          <w:ilvl w:val="0"/>
          <w:numId w:val="2"/>
        </w:numPr>
        <w:spacing w:after="60"/>
      </w:pPr>
      <w:r>
        <w:t xml:space="preserve">API agent (constat) : http://localhost:8010/docs</w:t>
      </w:r>
    </w:p>
    <w:p>
      <w:pPr>
        <w:pStyle w:val="ListParagraph"/>
        <w:numPr>
          <w:ilvl w:val="0"/>
          <w:numId w:val="2"/>
        </w:numPr>
        <w:spacing w:after="60"/>
      </w:pPr>
      <w:r>
        <w:t xml:space="preserve">API mobile : http://localhost:8001/docs</w:t>
      </w:r>
    </w:p>
    <w:p>
      <w:pPr>
        <w:pStyle w:val="ListParagraph"/>
        <w:numPr>
          <w:ilvl w:val="0"/>
          <w:numId w:val="2"/>
        </w:numPr>
        <w:spacing w:after="60"/>
      </w:pPr>
      <w:r>
        <w:t xml:space="preserve">App Flutter : configurer frontend/flutter_app/.env (déjà fourni) puis flutter run.</w:t>
      </w:r>
    </w:p>
    <w:p>
      <w:pPr>
        <w:pStyle w:val="Heading1"/>
      </w:pPr>
      <w:r>
        <w:t xml:space="preserve">7. Points restants / limites connues</w:t>
      </w:r>
    </w:p>
    <w:p>
      <w:pPr>
        <w:pStyle w:val="ListParagraph"/>
        <w:numPr>
          <w:ilvl w:val="0"/>
          <w:numId w:val="2"/>
        </w:numPr>
        <w:spacing w:after="60"/>
      </w:pPr>
      <w:r>
        <w:t xml:space="preserve">Sans Docker/Postgres réel dans cet environnement d'exécution, la chaîne complète à 3 backends partageant une même base n'a pas pu être testée de bout en bout ici — chaque backend a été validé individuellement en SQLite. À rejouer une fois avec `docker compose up --build` sur la machine cible avant la démo.</w:t>
      </w:r>
    </w:p>
    <w:p>
      <w:pPr>
        <w:pStyle w:val="ListParagraph"/>
        <w:numPr>
          <w:ilvl w:val="0"/>
          <w:numId w:val="2"/>
        </w:numPr>
        <w:spacing w:after="60"/>
      </w:pPr>
      <w:r>
        <w:t xml:space="preserve">L'app Flutter n'a pas pu être compilée dans cet environnement (SDK absent) — à vérifier avec `flutter analyze` / `flutter run` avant la démo.</w:t>
      </w:r>
    </w:p>
    <w:p>
      <w:pPr>
        <w:pStyle w:val="ListParagraph"/>
        <w:numPr>
          <w:ilvl w:val="0"/>
          <w:numId w:val="2"/>
        </w:numPr>
        <w:spacing w:after="60"/>
      </w:pPr>
      <w:r>
        <w:t xml:space="preserve">Sans clé LLM_API_KEY / OPENAI_API_KEY renseignée, les réponses IA restent des messages de repli statiques — fonctionnels pour la démo mais sans vraie génération IA. Prévoir une clé valide avant la présentation.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2026-07-18T16:59:08.755Z</dcterms:created>
  <dcterms:modified xsi:type="dcterms:W3CDTF">2026-07-18T16:59:08.755Z</dcterms:modified>
</cp:coreProperties>
</file>

<file path=docProps/custom.xml><?xml version="1.0" encoding="utf-8"?>
<Properties xmlns="http://schemas.openxmlformats.org/officeDocument/2006/custom-properties" xmlns:vt="http://schemas.openxmlformats.org/officeDocument/2006/docPropsVTypes"/>
</file>