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Volet Business — Marché, Impact &amp; Différenciation</w:t>
      </w:r>
    </w:p>
    <w:p>
      <w:pPr>
        <w:spacing w:after="120"/>
      </w:pPr>
      <w:r>
        <w:rPr>
          <w:i/>
          <w:iCs/>
          <w:color w:val="666666"/>
        </w:rPr>
        <w:t xml:space="preserve">Complément au dossier technique · Hackathon 2026 · Assistant IA pour l'Assurance Auto (marché tunisien)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Ce document répond point par point aux 5 réserves formulées sur la partie business du dossier : données marché, chiffres d'impact, faisabilité MVP, différenciation, spécificités tunisiennes. Chaque affirmation cite sa source ou est explicitement présentée comme une hypothèse à valider — aucun chiffre n'est avancé sans origine.</w:t>
      </w:r>
    </w:p>
    <w:p>
      <w:pPr>
        <w:pStyle w:val="Heading1"/>
        <w:spacing w:before="200"/>
      </w:pPr>
      <w:r>
        <w:t xml:space="preserve">1. Le marché tunisien de l'assurance auto — données réelles</w:t>
      </w:r>
    </w:p>
    <w:p>
      <w:pPr>
        <w:spacing w:after="120"/>
      </w:pPr>
      <w:r>
        <w:t xml:space="preserve">Chiffres officiels du Comité Général des Assurances (CGA) et de la Fédération Tunisienne des Sociétés d'Assurances (FTUSA), à fin 2025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200"/>
      </w:tblGrid>
      <w:tr>
        <w:trPr>
          <w:tblHeader/>
        </w:trPr>
        <w:tc>
          <w:tcPr>
            <w:tcW w:type="dxa" w:w="3200"/>
            <w:shd w:fill="DDDDDD" w:val="clear"/>
          </w:tcPr>
          <w:p>
            <w:r>
              <w:rPr>
                <w:b/>
                <w:bCs/>
              </w:rPr>
              <w:t xml:space="preserve">Indicateur</w:t>
            </w:r>
          </w:p>
        </w:tc>
        <w:tc>
          <w:tcPr>
            <w:tcW w:type="dxa" w:w="2800"/>
            <w:shd w:fill="DDDDDD" w:val="clear"/>
          </w:tcPr>
          <w:p>
            <w:r>
              <w:rPr>
                <w:b/>
                <w:bCs/>
              </w:rPr>
              <w:t xml:space="preserve">Valeur (2025)</w:t>
            </w:r>
          </w:p>
        </w:tc>
        <w:tc>
          <w:tcPr>
            <w:tcW w:type="dxa" w:w="3200"/>
            <w:shd w:fill="DDDDDD" w:val="clear"/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Chiffre d'affaires assurance (total marché)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4 255,1 M TND (+11,4% vs 2024)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CGA / Tustex, mars 2026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Primes assurance automobile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1 628,3 M TND — 38,3% du marché, branche n°1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CGA / FTUSA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Indemnisations versées (branche auto)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1 093,9 M TND (+20,3% vs 2024)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CGA / FTUSA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Sinistres auto déclarés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340 896 (+7,8% vs 2024)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CGA / FTUSA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Compagnies d'assurance opérant en Tunisie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CGA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Pénétration internet / mobile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84,3% internet · 125% de connexions mobiles / population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DataReportal, Digital 2026: Tunisia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Deux signaux structurels renforcent la pertinence du produit : (1) la branche auto est déjà la plus digitalisée du secteur — la FTUSA a lancé son propre constat numérique fédération (E-Constat) en novembre 2025, preuve que le marché est mûr pour ce type de solution ; (2) les indemnisations auto croissent 3× plus vite que les primes (+20,3% vs +7,4%), signe d'une pression sur les coûts de traitement des sinistres que l'automatisation peut directement adresser.</w:t>
      </w:r>
    </w:p>
    <w:p>
      <w:pPr>
        <w:pStyle w:val="Heading1"/>
        <w:spacing w:before="200"/>
      </w:pPr>
      <w:r>
        <w:t xml:space="preserve">2. Chiffres d'impact — méthode et hypothèses explicites</w:t>
      </w:r>
    </w:p>
    <w:p>
      <w:pPr>
        <w:spacing w:after="120"/>
      </w:pPr>
      <w:r>
        <w:t xml:space="preserve">Les chiffres d'impact précédents manquaient de justification. Plutôt qu'une projection unique optimiste, voici trois scénarios avec leurs hypothèses affichées séparément du résultat — chacune est un paramètre à valider avec un assureur pilote, pas un fait acquis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rPr>
          <w:tblHeader/>
        </w:trPr>
        <w:tc>
          <w:tcPr>
            <w:tcW w:type="dxa" w:w="1600"/>
            <w:shd w:fill="DDDDDD" w:val="clear"/>
          </w:tcPr>
          <w:p>
            <w:r>
              <w:rPr>
                <w:b/>
                <w:bCs/>
              </w:rPr>
              <w:t xml:space="preserve">Scénario</w:t>
            </w:r>
          </w:p>
        </w:tc>
        <w:tc>
          <w:tcPr>
            <w:tcW w:type="dxa" w:w="3800"/>
            <w:shd w:fill="DDDDDD" w:val="clear"/>
          </w:tcPr>
          <w:p>
            <w:r>
              <w:rPr>
                <w:b/>
                <w:bCs/>
              </w:rPr>
              <w:t xml:space="preserve">Hypothèse (explicite, à valider)</w:t>
            </w:r>
          </w:p>
        </w:tc>
        <w:tc>
          <w:tcPr>
            <w:tcW w:type="dxa" w:w="3800"/>
            <w:shd w:fill="DDDDDD" w:val="clear"/>
          </w:tcPr>
          <w:p>
            <w:r>
              <w:rPr>
                <w:b/>
                <w:bCs/>
              </w:rPr>
              <w:t xml:space="preserve">Résultat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Bas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b w:val="false"/>
                <w:bCs w:val="false"/>
              </w:rPr>
              <w:t xml:space="preserve">0,5% des 340 896 sinistres auto/an captés en année 1 via 1-2 assureurs pilotes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b w:val="false"/>
                <w:bCs w:val="false"/>
              </w:rPr>
              <w:t xml:space="preserve">≈ 1 700 constats traités/an par la plateforme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Central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2% captés, temps de traitement agent réduit de 15% grâce à la pré-qualification IA (constat structuré + verdict de faute déjà proposé)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≈ 6 800 constats/an ; gain de temps agent à chiffrer avec un assureur pilote avant tout chiffrage financier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Haut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b w:val="false"/>
                <w:bCs w:val="false"/>
              </w:rPr>
              <w:t xml:space="preserve">5% captés + accord avec 1 assureur pour usage du moteur de faute comme aide à la décision sur les cas IDA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b w:val="false"/>
                <w:bCs w:val="false"/>
              </w:rPr>
              <w:t xml:space="preserve">≈ 17 000 constats/an — seuil nécessitant un partenariat commercial formel, pas atteignable en solo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Aucun de ces scénarios ne suppose un gain financier chiffré par sinistre : le gain de temps agent et la réduction de fraude ne peuvent être quantifiés en dinars qu'après un pilote réel avec un assureur (accès à leurs coûts de traitement internes, non publics).</w:t>
      </w:r>
    </w:p>
    <w:p>
      <w:pPr>
        <w:pStyle w:val="Heading1"/>
        <w:spacing w:before="200"/>
      </w:pPr>
      <w:r>
        <w:t xml:space="preserve">3. Faisabilité du MVP en 48-72h — ce qui est réellement construit</w:t>
      </w:r>
    </w:p>
    <w:p>
      <w:pPr>
        <w:spacing w:after="120"/>
      </w:pPr>
      <w:r>
        <w:t xml:space="preserve">Le dossier technique liste déjà, slide par slide, ce qui est réel (16 tests exécutés, 8 règles codées, Docker Compose à 8 services) vs ce qui reste un placeholder documenté (barème FTUSA officiel, poids YOLOv8 entraînés). Cette session d'audit a vérifié ces affirmations en conditions réelles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00"/>
      </w:tblGrid>
      <w:tr>
        <w:trPr>
          <w:tblHeader/>
        </w:trPr>
        <w:tc>
          <w:tcPr>
            <w:tcW w:type="dxa" w:w="3000"/>
            <w:shd w:fill="DDDDDD" w:val="clear"/>
          </w:tcPr>
          <w:p>
            <w:r>
              <w:rPr>
                <w:b/>
                <w:bCs/>
              </w:rPr>
              <w:t xml:space="preserve">Brique</w:t>
            </w:r>
          </w:p>
        </w:tc>
        <w:tc>
          <w:tcPr>
            <w:tcW w:type="dxa" w:w="3300"/>
            <w:shd w:fill="DDDDDD" w:val="clear"/>
          </w:tcPr>
          <w:p>
            <w:r>
              <w:rPr>
                <w:b/>
                <w:bCs/>
              </w:rPr>
              <w:t xml:space="preserve">État réel dans le dépôt (vérifié)</w:t>
            </w:r>
          </w:p>
        </w:tc>
        <w:tc>
          <w:tcPr>
            <w:tcW w:type="dxa" w:w="3000"/>
            <w:shd w:fill="DDDDDD" w:val="clear"/>
          </w:tcPr>
          <w:p>
            <w:r>
              <w:rPr>
                <w:b/>
                <w:bCs/>
              </w:rPr>
              <w:t xml:space="preserve">Statut pour la démo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Chat d'intake (Gemini, tool-use, Derja/FR)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Fonctionnel, testé avec clé LLM réelle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color w:val="1E7E34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Moteur de détermination de faute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8 règles codées, 16 tests automatisés passants, déterministe et traçable (rule_id)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color w:val="1E7E34"/>
              </w:rPr>
              <w:t xml:space="preserve">OK — barème = placeholder documenté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Détection de dommages (photo → coût)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Pipeline Celery + YOLOv8 codé, mais poids non entraînés → repli heuristique OpenCV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color w:val="B3261E"/>
              </w:rPr>
              <w:t xml:space="preserve">DÉMONTRABLE, pas encore précis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Génération PDF constat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11 PDF générés avec succès pendant les tests de cette session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color w:val="1E7E34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Portail agence (multi-sinistres, clients)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Frontend build sans erreur, backend testé (login, CRUD sinistres)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color w:val="1E7E34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App mobile Flutter complète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Code présent, SDK Flutter non disponible pour compiler dans cet environnement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color w:val="B3261E"/>
              </w:rPr>
              <w:t xml:space="preserve">À VALIDER avant démo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Le périmètre tenable en 48-72h n'est donc pas "tout le produit", mais un parcours de démonstration bout-en-bout : chat → constat structuré → verdict de faute déterministe → PDF → visible côté agent. Les briques encore en placeholder (barème officiel, poids YOLOv8) sont scopées hors MVP et annoncées comme feuille de route, pas comme livré — c'est ce qui rend la démo crédible plutôt que fragile.</w:t>
      </w:r>
    </w:p>
    <w:p>
      <w:pPr>
        <w:pStyle w:val="Heading1"/>
        <w:spacing w:before="200"/>
      </w:pPr>
      <w:r>
        <w:t xml:space="preserve">4. Différenciation vs acteurs déjà établis en Tunisie</w:t>
      </w:r>
    </w:p>
    <w:p>
      <w:pPr>
        <w:spacing w:after="120"/>
      </w:pPr>
      <w:r>
        <w:t xml:space="preserve">Le marché tunisien n'est pas vierge : au moins 3 solutions digitales existent déjà côté sinistre auto. La différenciation doit donc se lire face à elles, pas dans l'abstrait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100"/>
        <w:gridCol w:w="2100"/>
      </w:tblGrid>
      <w:tr>
        <w:trPr>
          <w:tblHeader/>
        </w:trPr>
        <w:tc>
          <w:tcPr>
            <w:tcW w:type="dxa" w:w="1700"/>
            <w:shd w:fill="DDDDDD" w:val="clear"/>
          </w:tcPr>
          <w:p>
            <w:r>
              <w:rPr>
                <w:b/>
                <w:bCs/>
              </w:rPr>
              <w:t xml:space="preserve">Solution</w:t>
            </w:r>
          </w:p>
        </w:tc>
        <w:tc>
          <w:tcPr>
            <w:tcW w:type="dxa" w:w="3300"/>
            <w:shd w:fill="DDDDDD" w:val="clear"/>
          </w:tcPr>
          <w:p>
            <w:r>
              <w:rPr>
                <w:b/>
                <w:bCs/>
              </w:rPr>
              <w:t xml:space="preserve">Ce qu'elle fait</w:t>
            </w:r>
          </w:p>
        </w:tc>
        <w:tc>
          <w:tcPr>
            <w:tcW w:type="dxa" w:w="2100"/>
            <w:shd w:fill="DDDDDD" w:val="clear"/>
          </w:tcPr>
          <w:p>
            <w:r>
              <w:rPr>
                <w:b/>
                <w:bCs/>
              </w:rPr>
              <w:t xml:space="preserve">Force</w:t>
            </w:r>
          </w:p>
        </w:tc>
        <w:tc>
          <w:tcPr>
            <w:tcW w:type="dxa" w:w="2100"/>
            <w:shd w:fill="DDDDDD" w:val="clear"/>
          </w:tcPr>
          <w:p>
            <w:r>
              <w:rPr>
                <w:b/>
                <w:bCs/>
              </w:rPr>
              <w:t xml:space="preserve">Ce qui manque</w:t>
            </w:r>
          </w:p>
        </w:tc>
      </w:tr>
      <w:tr>
        <w:tc>
          <w:tcPr>
            <w:tcW w:type="dxa" w:w="1700"/>
            <w:shd w:fill="F2F2F2" w:val="clear"/>
          </w:tcPr>
          <w:p>
            <w:r>
              <w:rPr>
                <w:b/>
                <w:bCs/>
              </w:rPr>
              <w:t xml:space="preserve">E-Constat FTUSA (nov. 2025)</w:t>
            </w:r>
          </w:p>
        </w:tc>
        <w:tc>
          <w:tcPr>
            <w:tcW w:type="dxa" w:w="3300"/>
            <w:shd w:fill="F2F2F2" w:val="clear"/>
          </w:tcPr>
          <w:p>
            <w:r>
              <w:rPr>
                <w:b w:val="false"/>
                <w:bCs w:val="false"/>
              </w:rPr>
              <w:t xml:space="preserve">Constat 100% digital fédération : géoloc, croquis interactif, photos, signature, PDF+QR.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b w:val="false"/>
                <w:bCs w:val="false"/>
              </w:rPr>
              <w:t xml:space="preserve">Officiel, gratuit, adopté par toute la profession — référence de facto.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b w:val="false"/>
                <w:bCs w:val="false"/>
              </w:rPr>
              <w:t xml:space="preserve">Pas d'agent conversationnel, pas de moteur de détermination de faute automatisé, pas d'estimation de dommages par IA — c'est un formulaire numérique, pas un assistant.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bCs/>
              </w:rPr>
              <w:t xml:space="preserve">AVIDEA DigiClaim / DigiFraude (Maghrebia, BIAT — depuis 2020)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Digitalisation du parcours sinistre + 70 règles de détection de fraude sur photos, IA sur les images.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Solution IA mature, déjà déployée chez 2 assureurs majeurs.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Vendu en B2B2C à un assureur à la fois (pas multi-assureurs) ; pas de chat d'intake en Derja ; pas de moteur de faute basé sur la convention IDA/FTUSA.</w:t>
            </w:r>
          </w:p>
        </w:tc>
      </w:tr>
      <w:tr>
        <w:tc>
          <w:tcPr>
            <w:tcW w:type="dxa" w:w="1700"/>
            <w:shd w:fill="F2F2F2" w:val="clear"/>
          </w:tcPr>
          <w:p>
            <w:r>
              <w:rPr>
                <w:b/>
                <w:bCs/>
              </w:rPr>
              <w:t xml:space="preserve">My STAR (STAR Assurance)</w:t>
            </w:r>
          </w:p>
        </w:tc>
        <w:tc>
          <w:tcPr>
            <w:tcW w:type="dxa" w:w="3300"/>
            <w:shd w:fill="F2F2F2" w:val="clear"/>
          </w:tcPr>
          <w:p>
            <w:r>
              <w:rPr>
                <w:b w:val="false"/>
                <w:bCs w:val="false"/>
              </w:rPr>
              <w:t xml:space="preserve">App compagnie : souscription, paiement, suivi de sinistre.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b w:val="false"/>
                <w:bCs w:val="false"/>
              </w:rPr>
              <w:t xml:space="preserve">Intégrée à un assureur historique, base clients large.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b w:val="false"/>
                <w:bCs w:val="false"/>
              </w:rPr>
              <w:t xml:space="preserve">Portail mono-compagnie, pas de couche IA sur le constat ni sur les dommages.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Positionnement : aucune des 3 solutions ci-dessus ne combine (a) un agent conversationnel multilingue Derja/français pour l'intake, (b) un moteur de décision de faute déterministe et traçable (jamais un score IA opaque), et (c) une estimation de dommages par vision. E-Constat digitalise la saisie ; DigiClaim/DigiFraude digitalise et sécurise pour un seul assureur ; My STAR gère la relation client. Le produit se positionne comme la couche IA qui manque entre le constat (déjà digitalisé par la profession) et la décision (encore manuelle) — pas comme un concurrent frontal d'E-Constat, mais comme une brique qui pourrait s'y interfacer.</w:t>
      </w:r>
    </w:p>
    <w:p>
      <w:pPr>
        <w:pStyle w:val="Heading1"/>
        <w:spacing w:before="200"/>
      </w:pPr>
      <w:r>
        <w:t xml:space="preserve">5. Spécificités du marché tunisien à intégrer explicitement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Langue : la majorité des échanges accident se font en Derja (arabe tunisien), pas en français standard — le chat doit rester dans cette langue par défaut, avec repli français/anglais, pas l'inverse.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Cadre réglementaire : la convention IDA (Indemnisation Directe de l'Assuré) impose un barème de responsabilité appliqué symétriquement par les deux assureurs sans négociation — c'est exactement le rôle que joue le moteur de règles déterministe, mais il doit être adossé au barème officiel FTUSA (non public, à obtenir via un partenaire assureur) pour être opposable, pas au barème placeholder actuel.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Fédération, pas fragmentation : 23 compagnies opèrent sous une même fédération (FTUSA) qui a déjà montré sa capacité à déployer un outil unique pour tout le marché (E-Constat) — un argument pour viser un partenariat fédération plutôt qu'assureur par assureur.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Connectivité : 84,3% de pénétration internet et 125% de connexions mobiles pour la population donnent une base d'adoption mobile large, mais la couverture réseau reste inégale hors grandes villes — d'où l'intérêt du repli hors-ligne / heuristique déjà présent dans l'architecture (repli OpenCV, réponses de repli sans clé API).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Confiance et litige : les indemnisations croissent plus vite que les primes (+20,3%) — un signal que la profession a un intérêt direct à réduire les contestations sur la détermination de faute, ce qui renforce l'argument "traçabilité du verdict" (rule_id cité) déjà mis en avant dans le dossier technique.</w:t>
      </w:r>
    </w:p>
    <w:p>
      <w:pPr>
        <w:pStyle w:val="Heading1"/>
        <w:spacing w:before="200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CGA / FTUSA — Rapport sur le marché tunisien des assurances (déc. 2025) : ftusanet.org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Tustex, Managers.tn — Chiffre d'affaires assurance 2025 (mars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FTUSA — E-Constat FTUSA, lancement nov. 2025 ; Convention IDA (ftusanet.org)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Tekiano, Automobile.tn — Présentation E-Constat FTUSA (oct.-nov. 2025)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Avidea, Atlas Mag, Entreprises Magazine — DigiClaim / DigiFraude, partenariat Maghrebia/BIAT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DataReportal — Digital 2026: Tunisia (pénétration internet/mobile)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2026-07-18T17:09:48.922Z</dcterms:created>
  <dcterms:modified xsi:type="dcterms:W3CDTF">2026-07-18T17:09:48.922Z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