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Жизненный цикл проекта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ИНФОРМАЦИЯ О ДОКУМЕНТЕ</w:t>
      </w:r>
    </w:p>
    <w:tbl>
      <w:tblPr>
        <w:tblW w:type="dxa" w:w="92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6468"/>
      </w:tblGrid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Шифр проекта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МБ-2026</w:t>
            </w:r>
          </w:p>
        </w:tc>
      </w:tr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проекта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«Медбратишка» — платформа дистанционного взаимодействия пациента и личного врача</w:t>
            </w:r>
          </w:p>
        </w:tc>
      </w:tr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Автор документа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[Фамилия И. О.]</w:t>
            </w:r>
          </w:p>
        </w:tc>
      </w:tr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28.09.2026</w:t>
            </w:r>
          </w:p>
        </w:tc>
      </w:tr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 версии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 w:before="0"/>
        <w:jc w:val="both"/>
      </w:pP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АНАЛИЗ ПРИМЕНИМОСТИ МЕТОДОЛОГИЙ И МОДЕЛЕЙ ЖИЗНЕННОГО ЦИКЛА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Проект: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«Медбратишка» — веб-платформа «личный врач как услуга» для частной клиники: пациент после очного приёма подписывается на своего врача и ведёт с ним переписку.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Вывод анализа: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гибридный жизненный цикл — предиктивные инициация и планирование (фазы 2–4), затем четыре двухнедельные итерации в режиме Scrumban (фазы 5–8). Срок и бюджет фиксируются, объём внутри итераций адаптируется.</w:t>
      </w:r>
    </w:p>
    <w:p>
      <w:pPr>
        <w:keepNext/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Методика оценок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Все оценки в документе (Cynefin, ASM) даны пятью участниками команды итеративно: независимая оценка → обсуждение расхождений → повтор. Процедура останавливалась, когда разброс по критерию становился не больше 2 баллов; итог — среднее последнего раунда, округлённое до целого. Медиана не использовалась: при пяти экспертах она скрывает обоснованное мнение меньшинства, которое мы обсуждали явно.</w:t>
      </w:r>
    </w:p>
    <w:p>
      <w:pPr>
        <w:keepNext/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Модель Cynefin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Категория проекта — «Сложный» (Complicated) с отдельными элементами «Запутанного» (Complex).</w:t>
      </w:r>
    </w:p>
    <w:p>
      <w:pPr>
        <w:keepNext/>
        <w:spacing w:after="20" w:before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1. Категоризация областей работ по модели Cynefin</w:t>
      </w:r>
    </w:p>
    <w:tbl>
      <w:tblPr>
        <w:tblW w:type="dxa" w:w="92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1179"/>
        <w:gridCol w:w="3057"/>
        <w:gridCol w:w="2621"/>
      </w:tblGrid>
      <w:tr>
        <w:trPr>
          <w:cantSplit/>
          <w:tblHeader/>
        </w:trPr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Область работ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Домен</w:t>
            </w:r>
          </w:p>
        </w:tc>
        <w:tc>
          <w:tcPr>
            <w:tcW w:type="dxa" w:w="30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Подход</w:t>
            </w:r>
          </w:p>
        </w:tc>
      </w:tr>
      <w:tr>
        <w:trPr>
          <w:cantSplit/>
          <w:tblHeader w:val="false"/>
        </w:trPr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Архитектура, модель данных, REST API, аутентификация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Сложный</w:t>
            </w:r>
          </w:p>
        </w:tc>
        <w:tc>
          <w:tcPr>
            <w:tcW w:type="dxa" w:w="30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Причинно-следственные связи известны экспертам; стек (Go, PostgreSQL, React) стандартен, есть готовые практики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Анализ → решение → реакция: проектируем заранее</w:t>
            </w:r>
          </w:p>
        </w:tc>
      </w:tr>
      <w:tr>
        <w:trPr>
          <w:cantSplit/>
          <w:tblHeader w:val="false"/>
        </w:trPr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Правовые ограничения (152-ФЗ, телемедицина)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Сложный</w:t>
            </w:r>
          </w:p>
        </w:tc>
        <w:tc>
          <w:tcPr>
            <w:tcW w:type="dxa" w:w="30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Требования известны и устойчивы, нужна экспертиза для правильной трактовки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Фиксируем в уставе как неизменяемые ограничения</w:t>
            </w:r>
          </w:p>
        </w:tc>
      </w:tr>
      <w:tr>
        <w:trPr>
          <w:cantSplit/>
          <w:tblHeader w:val="false"/>
        </w:trPr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UX чата, сценарий подписки, назначения и напоминания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Запутанный</w:t>
            </w:r>
          </w:p>
        </w:tc>
        <w:tc>
          <w:tcPr>
            <w:tcW w:type="dxa" w:w="30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Реакцию заказчика и пользователей нельзя предсказать заранее, она выясняется только на демонстрации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Проба → оценка → реакция: короткие итерации, демо каждые 2 недели</w:t>
            </w:r>
          </w:p>
        </w:tc>
      </w:tr>
      <w:tr>
        <w:trPr>
          <w:cantSplit/>
          <w:tblHeader w:val="false"/>
        </w:trPr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Инфраструктура разработки (репозиторий, Docker, трекер)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Простой</w:t>
            </w:r>
          </w:p>
        </w:tc>
        <w:tc>
          <w:tcPr>
            <w:tcW w:type="dxa" w:w="30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Типовые действия по инструкции</w:t>
            </w:r>
          </w:p>
        </w:tc>
        <w:tc>
          <w:tcPr>
            <w:tcW w:type="dxa" w:w="2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Лучшие практики, чек-лист</w:t>
            </w:r>
          </w:p>
        </w:tc>
      </w:tr>
    </w:tbl>
    <w:p>
      <w:pPr>
        <w:spacing w:after="80" w:before="0"/>
        <w:jc w:val="both"/>
      </w:pPr>
    </w:p>
    <w:p>
      <w:pPr>
        <w:keepNext/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Agile Suitability Model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Шкала 0–10: 0–3 — зона Agile, 4–6 — гибрид, 7–10 — предиктивный подход.</w:t>
      </w:r>
    </w:p>
    <w:p>
      <w:pPr>
        <w:keepNext/>
        <w:spacing w:after="20" w:before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2. Оценка проекта по Agile Suitability Model</w:t>
      </w:r>
    </w:p>
    <w:tbl>
      <w:tblPr>
        <w:tblW w:type="dxa" w:w="92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8"/>
        <w:gridCol w:w="1443"/>
        <w:gridCol w:w="4568"/>
      </w:tblGrid>
      <w:tr>
        <w:trPr>
          <w:cantSplit/>
          <w:tblHeader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Культура: поддержка подхода спонсором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Преподаватель-куратор и регламент дисциплины прямо требуют итераций и демо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Культура: доверие к команде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Заказчик принимает результат по чек-листу, а не контролирует каждую задачу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Культура: самостоятельность решений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Команда сама выбирает инструменты и порядок работ внутри итерации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Команда: размер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человек — оптимально для Agile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Команда: опыт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Технический опыт в стеке есть, опыт гибких практик у части команды небольшой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Команда: доступ к заказчику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Заказчик доступен на паре раз в 2 недели, между парами — только асинхронно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Проект: вероятность изменений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Детали интерфейса и приоритеты функций будут уточняться после демо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Проект: критичность продукта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Прототип без реальных пациентов, но предметная область регулируется законом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Проект: поэтапная поставка</w:t>
            </w:r>
          </w:p>
        </w:tc>
        <w:tc>
          <w:tcPr>
            <w:tcW w:type="dxa" w:w="1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Модули (доступ, подписка, чат, назначения) поставляются независимо</w:t>
            </w:r>
          </w:p>
        </w:tc>
      </w:tr>
    </w:tbl>
    <w:p>
      <w:pPr>
        <w:spacing w:after="80" w:before="0"/>
        <w:jc w:val="both"/>
      </w:pP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Средние по группам: культура — 2,7, команда — 3,7, проект — 2,7. Большинство критериев в зоне Agile; доступ к заказчику и критичность — в гибридной зоне.</w:t>
      </w:r>
    </w:p>
    <w:p>
      <w:pPr>
        <w:keepNext/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Дополнительные факторы</w:t>
      </w:r>
    </w:p>
    <w:p>
      <w:pPr>
        <w:pStyle w:val="ListParagraph"/>
        <w:numPr>
          <w:ilvl w:val="0"/>
          <w:numId w:val="2"/>
        </w:numPr>
        <w:spacing w:after="3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Жёсткие даты пар и аттестаций.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Сроки неподвижны → фиксируем время (timebox), варьируем объём.</w:t>
      </w:r>
    </w:p>
    <w:p>
      <w:pPr>
        <w:pStyle w:val="ListParagraph"/>
        <w:numPr>
          <w:ilvl w:val="0"/>
          <w:numId w:val="2"/>
        </w:numPr>
        <w:spacing w:after="3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Регуляторные ограничения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(персональные и медицинские данные). Их нельзя «пересмотреть на демо» → закрепляются в уставе до разработки.</w:t>
      </w:r>
    </w:p>
    <w:p>
      <w:pPr>
        <w:pStyle w:val="ListParagraph"/>
        <w:numPr>
          <w:ilvl w:val="0"/>
          <w:numId w:val="2"/>
        </w:numPr>
        <w:spacing w:after="3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Частичная занятость команды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(параллельная учёба, 6–8 ч в неделю на человека). Ежедневные стендапы избыточны → Kanban-доска, WIP-лимит 2 задачи на человека, синхронизация 2 раза в неделю.</w:t>
      </w:r>
    </w:p>
    <w:p>
      <w:pPr>
        <w:pStyle w:val="ListParagraph"/>
        <w:numPr>
          <w:ilvl w:val="0"/>
          <w:numId w:val="2"/>
        </w:numPr>
        <w:spacing w:after="3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Требование освоенного объёма (EVM).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Нужна базовая ИСР с оценками → предиктивное планирование верхнего уровня обязательно.</w:t>
      </w:r>
    </w:p>
    <w:p>
      <w:pPr>
        <w:keepNext/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Модель жизненного цикла</w:t>
      </w:r>
    </w:p>
    <w:p>
      <w:pPr>
        <w:keepNext/>
        <w:spacing w:before="80" w:line="240" w:lineRule="auto"/>
        <w:jc w:val="center"/>
      </w:pPr>
      <w:r>
        <w:drawing>
          <wp:inline distT="0" distB="0" distL="0" distR="0">
            <wp:extent cx="589597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1. Модель жизненного цикла проекта: 7 фаз, 7 контрольных точек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После каждой итерации обновляются бэклог, реестр рисков и журнал изменений; объём следующей итерации подбирается по фактической velocity.</w:t>
      </w:r>
    </w:p>
    <w:p>
      <w:pPr>
        <w:keepNext/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Как мы ведём проект</w:t>
      </w:r>
    </w:p>
    <w:p>
      <w:pPr>
        <w:keepNext/>
        <w:spacing w:after="20" w:before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3. Фиксируемые и адаптируемые элементы проекта</w:t>
      </w:r>
    </w:p>
    <w:tbl>
      <w:tblPr>
        <w:tblW w:type="dxa" w:w="92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5019"/>
      </w:tblGrid>
      <w:tr>
        <w:trPr>
          <w:cantSplit/>
          <w:tblHeader/>
        </w:trPr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Фиксируется заранее (предиктивно)</w:t>
            </w:r>
          </w:p>
        </w:tc>
        <w:tc>
          <w:tcPr>
            <w:tcW w:type="dxa" w:w="5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Адаптируется по итерациям</w:t>
            </w:r>
          </w:p>
        </w:tc>
      </w:tr>
      <w:tr>
        <w:trPr>
          <w:cantSplit/>
          <w:tblHeader w:val="false"/>
        </w:trPr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Цели, срок (21.12.2026), бюджет, фонд времени</w:t>
            </w:r>
          </w:p>
        </w:tc>
        <w:tc>
          <w:tcPr>
            <w:tcW w:type="dxa" w:w="5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Состав и порядок пользовательских историй</w:t>
            </w:r>
          </w:p>
        </w:tc>
      </w:tr>
      <w:tr>
        <w:trPr>
          <w:cantSplit/>
          <w:tblHeader w:val="false"/>
        </w:trPr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Must-поставки и критерии приёмки</w:t>
            </w:r>
          </w:p>
        </w:tc>
        <w:tc>
          <w:tcPr>
            <w:tcW w:type="dxa" w:w="5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Детали интерфейса и текстов</w:t>
            </w:r>
          </w:p>
        </w:tc>
      </w:tr>
      <w:tr>
        <w:trPr>
          <w:cantSplit/>
          <w:tblHeader w:val="false"/>
        </w:trPr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Правовые ограничения и допущения (заглушки)</w:t>
            </w:r>
          </w:p>
        </w:tc>
        <w:tc>
          <w:tcPr>
            <w:tcW w:type="dxa" w:w="5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Should/Could-функции, при нехватке времени — исключаются первыми</w:t>
            </w:r>
          </w:p>
        </w:tc>
      </w:tr>
      <w:tr>
        <w:trPr>
          <w:cantSplit/>
          <w:tblHeader w:val="false"/>
        </w:trPr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ИСР и базовый план по пакетам работ</w:t>
            </w:r>
          </w:p>
        </w:tc>
        <w:tc>
          <w:tcPr>
            <w:tcW w:type="dxa" w:w="5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Разбиение пакетов на задачи и оценка в story points</w:t>
            </w:r>
          </w:p>
        </w:tc>
      </w:tr>
    </w:tbl>
    <w:p>
      <w:pPr>
        <w:spacing w:after="80" w:before="0"/>
        <w:jc w:val="both"/>
      </w:pP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Изменения Must-объёма, сроков вех и бюджета проходят только через запрос на изменение и согласование с заказчиком.</w:t>
      </w:r>
    </w:p>
    <w:p>
      <w:pPr>
        <w:keepNext/>
        <w:spacing w:after="60" w:before="4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УТВЕРЖДЕНО:</w:t>
      </w:r>
    </w:p>
    <w:p>
      <w:pPr>
        <w:tabs>
          <w:tab w:val="left" w:pos="4500"/>
          <w:tab w:val="left" w:pos="6800"/>
        </w:tabs>
        <w:spacing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Руководитель проекта </w:t>
      </w:r>
      <w:r>
        <w:rPr>
          <w:rFonts w:ascii="Times New Roman" w:cs="Times New Roman" w:eastAsia="Times New Roman" w:hAnsi="Times New Roman"/>
          <w:b/>
          <w:bCs/>
          <w:sz w:val="20"/>
          <w:szCs w:val="20"/>
          <w:highlight w:val="yellow"/>
          <w:highlightCs w:val="yellow"/>
        </w:rPr>
        <w:t xml:space="preserve">[Фамилия И. О.]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Дата	Подпись</w:t>
      </w:r>
    </w:p>
    <w:p>
      <w:pPr>
        <w:keepNext/>
        <w:spacing w:after="60" w:before="3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СОГЛАСОВАНО:</w:t>
      </w:r>
    </w:p>
    <w:p>
      <w:pPr>
        <w:tabs>
          <w:tab w:val="left" w:pos="4500"/>
          <w:tab w:val="left" w:pos="6800"/>
        </w:tabs>
        <w:spacing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Заказчик (команда-заказчик)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  <w:highlight w:val="yellow"/>
          <w:highlightCs w:val="yellow"/>
        </w:rPr>
        <w:t xml:space="preserve">[Фамилия И. О.]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Дата	Подпись</w:t>
      </w:r>
    </w:p>
    <w:p>
      <w:pPr>
        <w:tabs>
          <w:tab w:val="left" w:pos="4500"/>
          <w:tab w:val="left" w:pos="6800"/>
        </w:tabs>
        <w:spacing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Куратор (преподаватель)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  <w:highlight w:val="yellow"/>
          <w:highlightCs w:val="yellow"/>
        </w:rPr>
        <w:t xml:space="preserve">[Фамилия И. О.]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Дата	Подпись</w:t>
      </w:r>
    </w:p>
    <w:sectPr>
      <w:headerReference w:type="default" r:id="rId7"/>
      <w:footerReference w:type="default" r:id="rId8"/>
      <w:pgSz w:w="11906" w:h="16838" w:orient="portrait"/>
      <w:pgMar w:top="1134" w:right="926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279"/>
      </w:tabs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Дата: 28.09.2026</w:t>
    </w: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	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Проект «Медбратишка»</w:t>
    </w:r>
  </w:p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Дисциплина «Управление проектами»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3e31ff8f0787b131e1c6fe67b9d4ec5244209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2026-09-27T12:48:17.675Z</dcterms:created>
  <dcterms:modified xsi:type="dcterms:W3CDTF">2026-09-27T12:48:17.675Z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