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УСТАВ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документы, ссылки на которые содержатся в настоящем документе, являются его неотъемлемой частью: реестр заинтересованных сторон, ИСР, отчёт «Жизненный цикл проекта».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проекта: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«Медбратишка» — платформа дистанционного взаимодействия пациента и личного врача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Менеджер проекта: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[Фамилия Имя Отчество]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Дата: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28.09.2026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838"/>
      </w:tblGrid>
      <w:tr>
        <w:tc>
          <w:tcPr>
            <w:tcW w:type="dxa" w:w="96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Версии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(строки добавляются по необходимости):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28.09.2026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Первая версия для согласования с заказчиком (фаза 2)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</w:p>
        </w:tc>
      </w:tr>
    </w:tbl>
    <w:p>
      <w:pPr>
        <w:pageBreakBefore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00000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 Краткое описание проекта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1.1 Название проекта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«Медбратишка» — платформа дистанционного взаимодействия пациента и личного врача.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1.2 Суть проекта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Разработка рабочего прототипа веб-платформы «личный врач как услуга» для частной клиники: пациент после очного приёма подписывается на своего врача и ведёт с ним переписку, получает назначения и напоминания.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реализации: рабочий прототип — реальные серверная часть (Go, PostgreSQL) и веб-интерфейс (React); внешние сервисы заменены заглушками; работает на локальном демо-стенде.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1.3 Бизнес-окружение проекта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Пациенты премиум-клиники хотят постоянную связь со «своим» врачом. Сейчас она идёт через личные мессенджеры: история теряется, клиника не контролирует общение и не монетизирует его. Массовые сервисы (SmartMed, «Доктор Рядом», Яндекс Здоровье) дают разовые консультации с разными врачами.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Клиника хочет продавать подписку на конкретного врача после очного приёма и заказывает прототип, на котором проверит сценарии и решит вопрос о промышленной разработке. Для клиники это новый источник дохода и удержание пациентов.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1.4. Цели проекта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Продуктовая. До 21.12.2026 поставить рабочий прототип с тремя ролями (пациент, врач, администратор клиники), на котором сквозной сценарий «администратор добавляет врача → врач выдаёт код → пациент активирует подписку → переписка с вложением → назначение и напоминание» выполняется без ошибок и принят заказчиком по всем Must-пунктам чек-листа (п. 2.4).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Инкрементальная. К каждой из 4 демонстраций (09.11, 23.11, 07.12, 21.12) показать работающий инкремент и получить приёмку не менее 80 % запланированных историй итерации.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Ресурсная. Уложиться в фонд 476 ч и бюджет 284 900 руб. (включая резерв 10 %); индексы CPI и SPI на конец проекта — не хуже 0,9.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1.5. Риски проекта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Совокупный уровень риска — средний: технические риски (Р-01, Р-02) сняты уклонением на этапе инициации, остаются организационные — загрузка команды и расширение требований (Р-03, Р-04). Подробный реестр рисков — в фазе 3.</w:t>
            </w:r>
          </w:p>
          <w:tbl>
            <w:tblPr>
              <w:tblW w:type="dxa" w:w="94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43"/>
              <w:gridCol w:w="3775"/>
              <w:gridCol w:w="4720"/>
            </w:tblGrid>
            <w:tr>
              <w:trPr>
                <w:cantSplit/>
                <w:tblHeader/>
              </w:trPr>
              <w:tc>
                <w:tcPr>
                  <w:tcW w:type="dxa" w:w="94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ID</w:t>
                  </w:r>
                </w:p>
              </w:tc>
              <w:tc>
                <w:tcPr>
                  <w:tcW w:type="dxa" w:w="377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Риск</w:t>
                  </w:r>
                </w:p>
              </w:tc>
              <w:tc>
                <w:tcPr>
                  <w:tcW w:type="dxa" w:w="47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Ответ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4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Р-01</w:t>
                  </w:r>
                </w:p>
              </w:tc>
              <w:tc>
                <w:tcPr>
                  <w:tcW w:type="dxa" w:w="377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FCM недоступен или ограничен в РФ</w:t>
                  </w:r>
                </w:p>
              </w:tc>
              <w:tc>
                <w:tcPr>
                  <w:tcW w:type="dxa" w:w="47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Уклонение: уведомления через WebSocket, внешний push — заглушка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4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Р-02</w:t>
                  </w:r>
                </w:p>
              </w:tc>
              <w:tc>
                <w:tcPr>
                  <w:tcW w:type="dxa" w:w="377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Облачный хостинг требует карту или недоступен</w:t>
                  </w:r>
                </w:p>
              </w:tc>
              <w:tc>
                <w:tcPr>
                  <w:tcW w:type="dxa" w:w="47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Уклонение: локальный стенд на Docker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4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Р-03</w:t>
                  </w:r>
                </w:p>
              </w:tc>
              <w:tc>
                <w:tcPr>
                  <w:tcW w:type="dxa" w:w="377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Перегрузка команды в аттестацию</w:t>
                  </w:r>
                </w:p>
              </w:tc>
              <w:tc>
                <w:tcPr>
                  <w:tcW w:type="dxa" w:w="47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Снижение: резерв 10 %, Could-истории в конце бэклога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4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Р-04</w:t>
                  </w:r>
                </w:p>
              </w:tc>
              <w:tc>
                <w:tcPr>
                  <w:tcW w:type="dxa" w:w="377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Расширение требований заказчиком</w:t>
                  </w:r>
                </w:p>
              </w:tc>
              <w:tc>
                <w:tcPr>
                  <w:tcW w:type="dxa" w:w="47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Снижение: чек-лист и журнал изменений, обмен нового на менее важное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4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Р-05</w:t>
                  </w:r>
                </w:p>
              </w:tc>
              <w:tc>
                <w:tcPr>
                  <w:tcW w:type="dxa" w:w="377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Неверная трактовка правовых требований</w:t>
                  </w:r>
                </w:p>
              </w:tc>
              <w:tc>
                <w:tcPr>
                  <w:tcW w:type="dxa" w:w="47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Снижение: требования согласованы с заказчиком в уставе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4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Р-06</w:t>
                  </w:r>
                </w:p>
              </w:tc>
              <w:tc>
                <w:tcPr>
                  <w:tcW w:type="dxa" w:w="377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Разногласия при приёмке</w:t>
                  </w:r>
                </w:p>
              </w:tc>
              <w:tc>
                <w:tcPr>
                  <w:tcW w:type="dxa" w:w="472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Снижение: проверяемые критерии; эскалация куратору</w:t>
                  </w:r>
                </w:p>
              </w:tc>
            </w:tr>
          </w:tbl>
          <w:p>
            <w:pPr>
              <w:spacing w:after="60"/>
            </w:pP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00000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 Описание продукта и поставок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2.1 Продуктом проекта является (перечень поставок)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tbl>
            <w:tblPr>
              <w:tblW w:type="dxa" w:w="94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9"/>
              <w:gridCol w:w="5898"/>
              <w:gridCol w:w="2951"/>
            </w:tblGrid>
            <w:tr>
              <w:trPr>
                <w:cantSplit/>
                <w:tblHeader/>
              </w:trPr>
              <w:tc>
                <w:tcPr>
                  <w:tcW w:type="dxa" w:w="58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№</w:t>
                  </w:r>
                </w:p>
              </w:tc>
              <w:tc>
                <w:tcPr>
                  <w:tcW w:type="dxa" w:w="589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Поставка</w:t>
                  </w:r>
                </w:p>
              </w:tc>
              <w:tc>
                <w:tcPr>
                  <w:tcW w:type="dxa" w:w="295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Вид и место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8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589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Веб-приложение: вход пациента и отдельный вход персонала, кабинеты пациента, врача, администратора</w:t>
                  </w:r>
                </w:p>
              </w:tc>
              <w:tc>
                <w:tcPr>
                  <w:tcW w:type="dxa" w:w="295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Исходный код в репозитории GitHub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8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589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Серверная часть: REST API и WebSocket, БД с миграциями</w:t>
                  </w:r>
                </w:p>
              </w:tc>
              <w:tc>
                <w:tcPr>
                  <w:tcW w:type="dxa" w:w="295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Исходный код + спецификация OpenAPI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8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589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Функции: роли и доступ, профиль клиники, управление врачами, коды активации и подписка, чат с вложениями, уведомления в приложении, назначения и напоминания, 2FA для персонала</w:t>
                  </w:r>
                </w:p>
              </w:tc>
              <w:tc>
                <w:tcPr>
                  <w:tcW w:type="dxa" w:w="295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В составе поставок 1–2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8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589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Заглушки: оплата подписки (срок задаёт врач/администратор), внешние push, почта/СМС, МИС</w:t>
                  </w:r>
                </w:p>
              </w:tc>
              <w:tc>
                <w:tcPr>
                  <w:tcW w:type="dxa" w:w="295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Модули с описанием в README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8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589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Демо-стенд: Docker Compose (приложение, PostgreSQL, MinIO)</w:t>
                  </w:r>
                </w:p>
              </w:tc>
              <w:tc>
                <w:tcPr>
                  <w:tcW w:type="dxa" w:w="295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Файлы в репозитории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8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589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Демонстрационные данные: 2 клиники, 6 врачей, 20 пациентов, переписка и назначения</w:t>
                  </w:r>
                </w:p>
              </w:tc>
              <w:tc>
                <w:tcPr>
                  <w:tcW w:type="dxa" w:w="295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SQL-скрипт заполнения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8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589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Руководство пользователя по трём ролям и инструкция по развёртыванию</w:t>
                  </w:r>
                </w:p>
              </w:tc>
              <w:tc>
                <w:tcPr>
                  <w:tcW w:type="dxa" w:w="295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PDF / Markdown в репозитории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8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589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Приёмочные материалы: программа и протокол испытаний по чек-листу</w:t>
                  </w:r>
                </w:p>
              </w:tc>
              <w:tc>
                <w:tcPr>
                  <w:tcW w:type="dxa" w:w="295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Документ в облаке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8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589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Управленческие артефакты: устав, реестры, ИСР, планы, отчёты по итерациям, итоговый отчёт</w:t>
                  </w:r>
                </w:p>
              </w:tc>
              <w:tc>
                <w:tcPr>
                  <w:tcW w:type="dxa" w:w="295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Облако и таск-трекер</w:t>
                  </w:r>
                </w:p>
              </w:tc>
            </w:tr>
          </w:tbl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2.2 Главными требованиями к продукту являются (продукт позволяет):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Т-01 Согласие на обработку ПД при регистрации (ЗС-07).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Т-02 Подписка только по коду, выданному врачом на очном приёме (ЗС-04, ЗС-08).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Т-03 Три роли с разграничением доступа, отдельный вход персонала (ЗС-06).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Т-04 Чат только для чтения после окончания подписки (ЗС-04).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Т-05 Пароли хранятся в хешированном виде; для персонала — 2FA.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Т-06 Пациент закреплён за конкретным врачом; врач видит только своих пациентов (ЗС-05, ЗС-11).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Т-07 Данные не удаляются физически, история переписки сохраняется (ЗС-07).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Т-08 Назначения врача и напоминания пациенту о приёме препаратов (ЗС-05).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2.3 Требованиями к продукту НЕ являются (продукт не включает):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Реальные платежи, онлайн-касса, интеграция с банком и страховыми (ДМС).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Интеграция с МИС клиники, ЕГИСЗ, Госуслугами.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Видео- и аудиосвязь, электронная медицинская карта, запись на приём.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Нативные мобильные приложения (только адаптивный веб).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Промышленное развёртывание, аттестация ИСПДн, нагрузочное тестирование.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Обучение персонала клиники, перенос данных, поддержка и доработки после 21.12.2026.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Юридические документы (оферта, политика ПД): в прототипе — шаблонный текст.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2.4 Правила приемки поставок: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Приёмку проводит команда-заказчик на паре в присутствии куратора — по итогам каждой итерации (инкремент) и 21.12.2026 (итоговая приёмка). Проверка — на демо-стенде с демонстрационными данными по чек-листу ниже; результат каждого пункта фиксируется в протоколе испытаний (поставка 8). Результат принимается, если выполнены все пункты Must и не менее 2 из 3 пунктов Should. Спорные пункты эскалируются куратору.</w:t>
            </w:r>
          </w:p>
          <w:tbl>
            <w:tblPr>
              <w:tblW w:type="dxa" w:w="94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5"/>
              <w:gridCol w:w="6477"/>
              <w:gridCol w:w="1202"/>
              <w:gridCol w:w="1204"/>
            </w:tblGrid>
            <w:tr>
              <w:trPr>
                <w:cantSplit/>
                <w:tblHeader/>
              </w:trPr>
              <w:tc>
                <w:tcPr>
                  <w:tcW w:type="dxa" w:w="55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№</w:t>
                  </w:r>
                </w:p>
              </w:tc>
              <w:tc>
                <w:tcPr>
                  <w:tcW w:type="dxa" w:w="64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Критерий приёмки</w:t>
                  </w:r>
                </w:p>
              </w:tc>
              <w:tc>
                <w:tcPr>
                  <w:tcW w:type="dxa" w:w="120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Приоритет</w:t>
                  </w:r>
                </w:p>
              </w:tc>
              <w:tc>
                <w:tcPr>
                  <w:tcW w:type="dxa" w:w="12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Отметка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5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64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Пациент регистрируется с отметкой согласия на обработку ПД и входит; без отметки регистрация невозможна.</w:t>
                  </w:r>
                </w:p>
              </w:tc>
              <w:tc>
                <w:tcPr>
                  <w:tcW w:type="dxa" w:w="120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Must</w:t>
                  </w:r>
                </w:p>
              </w:tc>
              <w:tc>
                <w:tcPr>
                  <w:tcW w:type="dxa" w:w="12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5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64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Врач и администратор входят через отдельную страницу входа персонала.</w:t>
                  </w:r>
                </w:p>
              </w:tc>
              <w:tc>
                <w:tcPr>
                  <w:tcW w:type="dxa" w:w="120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Must</w:t>
                  </w:r>
                </w:p>
              </w:tc>
              <w:tc>
                <w:tcPr>
                  <w:tcW w:type="dxa" w:w="12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5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64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Пользователь одной роли не получает данные другой роли: прямой запрос к чужому API возвращает 403.</w:t>
                  </w:r>
                </w:p>
              </w:tc>
              <w:tc>
                <w:tcPr>
                  <w:tcW w:type="dxa" w:w="120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Must</w:t>
                  </w:r>
                </w:p>
              </w:tc>
              <w:tc>
                <w:tcPr>
                  <w:tcW w:type="dxa" w:w="12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5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64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Администратор редактирует профиль клиники, приглашает врача и меняет его статус (активен / приостановлен).</w:t>
                  </w:r>
                </w:p>
              </w:tc>
              <w:tc>
                <w:tcPr>
                  <w:tcW w:type="dxa" w:w="120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Must</w:t>
                  </w:r>
                </w:p>
              </w:tc>
              <w:tc>
                <w:tcPr>
                  <w:tcW w:type="dxa" w:w="12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5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64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Врач задаёт код активации; пациент вводит его — врач появляется в списке пациента, пациент — в списке врача.</w:t>
                  </w:r>
                </w:p>
              </w:tc>
              <w:tc>
                <w:tcPr>
                  <w:tcW w:type="dxa" w:w="120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Must</w:t>
                  </w:r>
                </w:p>
              </w:tc>
              <w:tc>
                <w:tcPr>
                  <w:tcW w:type="dxa" w:w="12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5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64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Неверный код даёт понятное сообщение об ошибке, подписка не создаётся.</w:t>
                  </w:r>
                </w:p>
              </w:tc>
              <w:tc>
                <w:tcPr>
                  <w:tcW w:type="dxa" w:w="120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Must</w:t>
                  </w:r>
                </w:p>
              </w:tc>
              <w:tc>
                <w:tcPr>
                  <w:tcW w:type="dxa" w:w="12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5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64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Сообщение в чате появляется у собеседника без перезагрузки страницы не позднее чем через 3 с.</w:t>
                  </w:r>
                </w:p>
              </w:tc>
              <w:tc>
                <w:tcPr>
                  <w:tcW w:type="dxa" w:w="120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Must</w:t>
                  </w:r>
                </w:p>
              </w:tc>
              <w:tc>
                <w:tcPr>
                  <w:tcW w:type="dxa" w:w="12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5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64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Файл PDF или JPG до 10 МБ отправляется в чат и открывается у получателя.</w:t>
                  </w:r>
                </w:p>
              </w:tc>
              <w:tc>
                <w:tcPr>
                  <w:tcW w:type="dxa" w:w="120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Must</w:t>
                  </w:r>
                </w:p>
              </w:tc>
              <w:tc>
                <w:tcPr>
                  <w:tcW w:type="dxa" w:w="12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5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64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После окончания подписки чат доступен только для чтения, история сохраняется.</w:t>
                  </w:r>
                </w:p>
              </w:tc>
              <w:tc>
                <w:tcPr>
                  <w:tcW w:type="dxa" w:w="120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Must</w:t>
                  </w:r>
                </w:p>
              </w:tc>
              <w:tc>
                <w:tcPr>
                  <w:tcW w:type="dxa" w:w="12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5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64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При новом сообщении получатель видит уведомление и счётчик непрочитанных.</w:t>
                  </w:r>
                </w:p>
              </w:tc>
              <w:tc>
                <w:tcPr>
                  <w:tcW w:type="dxa" w:w="120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Must</w:t>
                  </w:r>
                </w:p>
              </w:tc>
              <w:tc>
                <w:tcPr>
                  <w:tcW w:type="dxa" w:w="12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5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64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Стенд разворачивается по инструкции одной командой на чистой машине менее чем за 15 минут, демо-данные загружаются.</w:t>
                  </w:r>
                </w:p>
              </w:tc>
              <w:tc>
                <w:tcPr>
                  <w:tcW w:type="dxa" w:w="120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Must</w:t>
                  </w:r>
                </w:p>
              </w:tc>
              <w:tc>
                <w:tcPr>
                  <w:tcW w:type="dxa" w:w="12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5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64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Руководство пользователя описывает все сценарии трёх ролей.</w:t>
                  </w:r>
                </w:p>
              </w:tc>
              <w:tc>
                <w:tcPr>
                  <w:tcW w:type="dxa" w:w="120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Must</w:t>
                  </w:r>
                </w:p>
              </w:tc>
              <w:tc>
                <w:tcPr>
                  <w:tcW w:type="dxa" w:w="12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5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64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Врач создаёт назначение (препарат, доза, время приёма); пациент видит его и список напоминаний на сегодня.</w:t>
                  </w:r>
                </w:p>
              </w:tc>
              <w:tc>
                <w:tcPr>
                  <w:tcW w:type="dxa" w:w="120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Should</w:t>
                  </w:r>
                </w:p>
              </w:tc>
              <w:tc>
                <w:tcPr>
                  <w:tcW w:type="dxa" w:w="12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5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14</w:t>
                  </w:r>
                </w:p>
              </w:tc>
              <w:tc>
                <w:tcPr>
                  <w:tcW w:type="dxa" w:w="64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Персонал включает 2FA и входит с кодом TOTP или резервным кодом.</w:t>
                  </w:r>
                </w:p>
              </w:tc>
              <w:tc>
                <w:tcPr>
                  <w:tcW w:type="dxa" w:w="120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Should</w:t>
                  </w:r>
                </w:p>
              </w:tc>
              <w:tc>
                <w:tcPr>
                  <w:tcW w:type="dxa" w:w="12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555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647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В чате показывается предупреждение, что переписка не заменяет очный приём.</w:t>
                  </w:r>
                </w:p>
              </w:tc>
              <w:tc>
                <w:tcPr>
                  <w:tcW w:type="dxa" w:w="120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Should</w:t>
                  </w:r>
                </w:p>
              </w:tc>
              <w:tc>
                <w:tcPr>
                  <w:tcW w:type="dxa" w:w="120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</w:tbl>
          <w:p>
            <w:pPr>
              <w:spacing w:after="60"/>
            </w:pP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00000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 Ограничения проекта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3.1 Вехи и дата завершения проекта: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Начало проекта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14.09.2026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Устав согласован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28.09.2026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план утверждён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12.10.2026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 к разработке (спринт 0)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26.10.2026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Демо итерации 1 принято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09.11.2026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Демо итерации 2 принято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23.11.2026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Демо итерации 3 принято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07.12.2026</w:t>
            </w:r>
          </w:p>
        </w:tc>
      </w:tr>
      <w:tr>
        <w:trPr>
          <w:cantSplit/>
        </w:trPr>
        <w:tc>
          <w:tcPr>
            <w:tcW w:type="dxa" w:w="5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Завершение проекта (итоговая приёмка)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21.12.2026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3.2  Общий бюджет проекта: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284 900 руб. (условный): стоимость работ команды 259 000 руб. (476 ч, расчёт — п. 5.5) + управленческий резерв 10 % — 25 900 руб. Программные средства бесплатные, прочих расходов нет. Детальная оценка по пакетам ИСР — в фазе 3.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3.3  Ограничения по выполнению и организации работ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О-01 Только демо-данные, стенд локальный; при промышленном запуске серверы БД — в РФ (152-ФЗ).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О-02 Платформа не ставит диагнозы и не заменяет очный приём (323-ФЗ).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О-03 Без интеграции с МИС.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О-04 Внешние push, почта и СМС — заглушки.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О-05 Срок — 21.12.2026, фонд — 476 ч, бюджет — 284 900 руб.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О-06 Сроки сдачи артефактов и демонстраций определяются графиком пар (ЗС-02).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Стек: Go, PostgreSQL, React; таск-трекер и репозиторий открыты куратору.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3.4  Допущения проекта (в т. ч. заглушки)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Оплата подписки происходит в клинике вне системы; факт оплаты подтверждается выдачей кода (заглушка оплаты).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 доставляются внутри открытого приложения; внешняя отправка фиксируется в журнале (заглушка push/СМС).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Врачей и клиники заводит администратор вручную (заглушка МИС).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Файлы хранятся в локальном S3-совместимом хранилище MinIO.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 присутствует на всех демо и отвечает на вопросы не дольше 2 рабочих дней.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Участники сохраняют заявленные часы в неделю все 14 недель.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00000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 Руководитель проекта и его полномочия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4.1  Назначенный руководитель проекта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[Фамилия Имя Отчество]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участник команды-исполнителя в роли руководителя проекта; отвечает за реализацию проекта в срок, в пределах бюджета и с заданным качеством.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4.2  Полномочия руководителя проекта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tbl>
            <w:tblPr>
              <w:tblW w:type="dxa" w:w="94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46"/>
              <w:gridCol w:w="3146"/>
              <w:gridCol w:w="3146"/>
            </w:tblGrid>
            <w:tr>
              <w:trPr>
                <w:cantSplit/>
                <w:tblHeader/>
              </w:trPr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Самостоятельно</w:t>
                  </w:r>
                </w:p>
              </w:tc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Согласует с заказчиком</w:t>
                  </w:r>
                </w:p>
              </w:tc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Согласует с куратором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Распределяет задачи и назначает ответственных</w:t>
                  </w:r>
                </w:p>
              </w:tc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Изменение состава поставок и Must-пунктов</w:t>
                  </w:r>
                </w:p>
              </w:tc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Изменение состава команды и ролей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Меняет порядок работ внутри итерации</w:t>
                  </w:r>
                </w:p>
              </w:tc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Сдвиг дат вех и демо</w:t>
                  </w:r>
                </w:p>
              </w:tc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Конфликты с заказчиком (эскалация)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Использует резерв до 10 ч за итерацию</w:t>
                  </w:r>
                </w:p>
              </w:tc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Изменение критериев приёмки</w:t>
                  </w:r>
                </w:p>
              </w:tc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Изменение графика сдачи артефактов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Выбирает инструменты и технические решения</w:t>
                  </w:r>
                </w:p>
              </w:tc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Перерасход бюджета сверх резерва</w:t>
                  </w:r>
                </w:p>
              </w:tc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Исключает Could-истории при нехватке времени (с уведомлением заказчика)</w:t>
                  </w:r>
                </w:p>
              </w:tc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Исключение Should-историй</w:t>
                  </w:r>
                </w:p>
              </w:tc>
              <w:tc>
                <w:tcPr>
                  <w:tcW w:type="dxa" w:w="314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</w:tr>
          </w:tbl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Команда формируется из 5 участников, закреплённых за проектом при распределении; привлекать людей извне руководитель не может, помощника нет.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Отчётность: раз в 2 недели на паре заказчику и куратору — отклонения CV и SV, прогноз EAC и VAC, velocity, сработавшие риски, принятые изменения. Внепланово — при прогнозе перерасхода резерва или сдвига вехи.</w:t>
            </w:r>
          </w:p>
          <w:p>
            <w:pPr>
              <w:spacing w:after="60"/>
            </w:pP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00000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 Заинтересованные лица и ресурсы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 Заказчик проекта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Руководство частной клиники премиум-сегмента; роль исполняет команда-заказчик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[название / номер команды]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 Ключевые пользователи результатов проекта: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Пациенты клиники — подписка на врача, переписка, назначения и напоминания.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Врачи клиники — коды активации, список своих пациентов, чат, назначения.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Администраторы клиники — профиль клиники, управление врачами.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5.3 Спонсор проекта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Преподаватель практики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[Фамилия И. О.]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дисциплина «Управление проектами».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5.4 Куратор проекта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Преподаватель практики: утверждает изменения состава команды и графика сдачи, выступает арбитром в конфликтах с заказчиком. Полный перечень заинтересованных сторон — в реестре заинтересованных сторон.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5.5 Команда проекта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человек, внешний найм и субподрядчики не предусмотрены. Фонд времени учитывает параллельную учёбу; ставки соответствуют уровню младшего специалиста.</w:t>
            </w:r>
          </w:p>
          <w:tbl>
            <w:tblPr>
              <w:tblW w:type="dxa" w:w="94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21"/>
              <w:gridCol w:w="1324"/>
              <w:gridCol w:w="2649"/>
              <w:gridCol w:w="662"/>
              <w:gridCol w:w="910"/>
              <w:gridCol w:w="993"/>
              <w:gridCol w:w="1079"/>
            </w:tblGrid>
            <w:tr>
              <w:trPr>
                <w:cantSplit/>
                <w:tblHeader/>
              </w:trPr>
              <w:tc>
                <w:tcPr>
                  <w:tcW w:type="dxa" w:w="182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Роль</w:t>
                  </w:r>
                </w:p>
              </w:tc>
              <w:tc>
                <w:tcPr>
                  <w:tcW w:type="dxa" w:w="132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Участник</w:t>
                  </w:r>
                </w:p>
              </w:tc>
              <w:tc>
                <w:tcPr>
                  <w:tcW w:type="dxa" w:w="264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Зона ответственности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ч/нед</w:t>
                  </w:r>
                </w:p>
              </w:tc>
              <w:tc>
                <w:tcPr>
                  <w:tcW w:type="dxa" w:w="9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Ставка, руб./ч</w:t>
                  </w:r>
                </w:p>
              </w:tc>
              <w:tc>
                <w:tcPr>
                  <w:tcW w:type="dxa" w:w="99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Фонд за 14 нед, ч</w:t>
                  </w:r>
                </w:p>
              </w:tc>
              <w:tc>
                <w:tcPr>
                  <w:tcW w:type="dxa" w:w="107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2F2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Стоимость, руб.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2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Руководитель проекта</w:t>
                  </w:r>
                </w:p>
              </w:tc>
              <w:tc>
                <w:tcPr>
                  <w:tcW w:type="dxa" w:w="132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  <w:highlight w:val="yellow"/>
                      <w:highlightCs w:val="yellow"/>
                    </w:rPr>
                    <w:t xml:space="preserve">[ФИО]</w:t>
                  </w:r>
                </w:p>
              </w:tc>
              <w:tc>
                <w:tcPr>
                  <w:tcW w:type="dxa" w:w="264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Планирование, трекер, отчёты, коммуникации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9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600</w:t>
                  </w:r>
                </w:p>
              </w:tc>
              <w:tc>
                <w:tcPr>
                  <w:tcW w:type="dxa" w:w="99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84</w:t>
                  </w:r>
                </w:p>
              </w:tc>
              <w:tc>
                <w:tcPr>
                  <w:tcW w:type="dxa" w:w="107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50 400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2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Аналитик</w:t>
                  </w:r>
                </w:p>
              </w:tc>
              <w:tc>
                <w:tcPr>
                  <w:tcW w:type="dxa" w:w="132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  <w:highlight w:val="yellow"/>
                      <w:highlightCs w:val="yellow"/>
                    </w:rPr>
                    <w:t xml:space="preserve">[ФИО]</w:t>
                  </w:r>
                </w:p>
              </w:tc>
              <w:tc>
                <w:tcPr>
                  <w:tcW w:type="dxa" w:w="264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Требования, story map, документация, приёмочные материалы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9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500</w:t>
                  </w:r>
                </w:p>
              </w:tc>
              <w:tc>
                <w:tcPr>
                  <w:tcW w:type="dxa" w:w="99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84</w:t>
                  </w:r>
                </w:p>
              </w:tc>
              <w:tc>
                <w:tcPr>
                  <w:tcW w:type="dxa" w:w="107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42 000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2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Backend-разработчик</w:t>
                  </w:r>
                </w:p>
              </w:tc>
              <w:tc>
                <w:tcPr>
                  <w:tcW w:type="dxa" w:w="132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  <w:highlight w:val="yellow"/>
                      <w:highlightCs w:val="yellow"/>
                    </w:rPr>
                    <w:t xml:space="preserve">[ФИО]</w:t>
                  </w:r>
                </w:p>
              </w:tc>
              <w:tc>
                <w:tcPr>
                  <w:tcW w:type="dxa" w:w="264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Серверная часть, БД, инфраструктура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9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600</w:t>
                  </w:r>
                </w:p>
              </w:tc>
              <w:tc>
                <w:tcPr>
                  <w:tcW w:type="dxa" w:w="99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112</w:t>
                  </w:r>
                </w:p>
              </w:tc>
              <w:tc>
                <w:tcPr>
                  <w:tcW w:type="dxa" w:w="107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67 200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2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Frontend-разработчик</w:t>
                  </w:r>
                </w:p>
              </w:tc>
              <w:tc>
                <w:tcPr>
                  <w:tcW w:type="dxa" w:w="132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  <w:highlight w:val="yellow"/>
                      <w:highlightCs w:val="yellow"/>
                    </w:rPr>
                    <w:t xml:space="preserve">[ФИО]</w:t>
                  </w:r>
                </w:p>
              </w:tc>
              <w:tc>
                <w:tcPr>
                  <w:tcW w:type="dxa" w:w="264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Интерфейс, интеграция с API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9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550</w:t>
                  </w:r>
                </w:p>
              </w:tc>
              <w:tc>
                <w:tcPr>
                  <w:tcW w:type="dxa" w:w="99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112</w:t>
                  </w:r>
                </w:p>
              </w:tc>
              <w:tc>
                <w:tcPr>
                  <w:tcW w:type="dxa" w:w="107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61 600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2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Тестировщик / дизайнер</w:t>
                  </w:r>
                </w:p>
              </w:tc>
              <w:tc>
                <w:tcPr>
                  <w:tcW w:type="dxa" w:w="132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  <w:highlight w:val="yellow"/>
                      <w:highlightCs w:val="yellow"/>
                    </w:rPr>
                    <w:t xml:space="preserve">[ФИО]</w:t>
                  </w:r>
                </w:p>
              </w:tc>
              <w:tc>
                <w:tcPr>
                  <w:tcW w:type="dxa" w:w="264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UI-прототипы, тестирование, демо-данные</w:t>
                  </w: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9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450</w:t>
                  </w:r>
                </w:p>
              </w:tc>
              <w:tc>
                <w:tcPr>
                  <w:tcW w:type="dxa" w:w="99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84</w:t>
                  </w:r>
                </w:p>
              </w:tc>
              <w:tc>
                <w:tcPr>
                  <w:tcW w:type="dxa" w:w="107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37 800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2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Итого</w:t>
                  </w:r>
                </w:p>
              </w:tc>
              <w:tc>
                <w:tcPr>
                  <w:tcW w:type="dxa" w:w="132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  <w:tc>
                <w:tcPr>
                  <w:tcW w:type="dxa" w:w="264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left"/>
                  </w:pPr>
                </w:p>
              </w:tc>
              <w:tc>
                <w:tcPr>
                  <w:tcW w:type="dxa" w:w="66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34</w:t>
                  </w:r>
                </w:p>
              </w:tc>
              <w:tc>
                <w:tcPr>
                  <w:tcW w:type="dxa" w:w="91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99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476</w:t>
                  </w:r>
                </w:p>
              </w:tc>
              <w:tc>
                <w:tcPr>
                  <w:tcW w:type="dxa" w:w="1079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8"/>
                      <w:szCs w:val="18"/>
                    </w:rPr>
                    <w:t xml:space="preserve">259 000</w:t>
                  </w:r>
                </w:p>
              </w:tc>
            </w:tr>
          </w:tbl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5.6 Инфраструктура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Личные компьютеры участников, репозиторий GitHub, трекер YouGile, Docker, VS Code. Лицензионное программное обеспечение и специальное оборудование не требуются; бюджет на инфраструктуру не выделяется.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5.7 Соисполнители проекта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привлекаются. Внешние сервисы (оплата, push-уведомления, почта и СМС, МИС) заменены заглушками — п. 3.4.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200"/>
        <w:gridCol w:w="1838"/>
      </w:tblGrid>
      <w:tr>
        <w:tc>
          <w:tcPr>
            <w:tcW w:type="dxa" w:w="9638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00000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 Согласовательные подписи</w:t>
            </w:r>
          </w:p>
        </w:tc>
      </w:tr>
      <w:tr>
        <w:tc>
          <w:tcPr>
            <w:tcW w:type="dxa" w:w="9638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УТВЕРЖДАЮ: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Имя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Подпись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Дата</w:t>
            </w:r>
          </w:p>
        </w:tc>
      </w:tr>
      <w:tr>
        <w:trPr>
          <w:trHeight w:val="560" w:hRule="atLeast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[ФИО]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Спонсор проекта (преподаватель практики)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</w:p>
        </w:tc>
      </w:tr>
      <w:tr>
        <w:trPr>
          <w:trHeight w:val="560" w:hRule="atLeast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[ФИО]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Представитель заказчика (команда-заказчик)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</w:p>
        </w:tc>
      </w:tr>
      <w:tr>
        <w:trPr>
          <w:trHeight w:val="560" w:hRule="atLeast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[ФИО]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Руководитель проекта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40" w:before="20"/>
            </w:pP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Подпись означает согласие подписавшего со всеми положениями настоящего документа.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2"/>
      </w:pBdr>
      <w:tabs>
        <w:tab w:val="right" w:pos="9638"/>
      </w:tabs>
    </w:pPr>
    <w:r>
      <w:rPr>
        <w:rFonts w:ascii="Arial" w:cs="Arial" w:eastAsia="Arial" w:hAnsi="Arial"/>
        <w:sz w:val="16"/>
        <w:szCs w:val="16"/>
      </w:rPr>
      <w:t xml:space="preserve">Устав проекта (Project Charter)</w:t>
    </w:r>
    <w:r>
      <w:rPr>
        <w:rFonts w:ascii="Arial" w:cs="Arial" w:eastAsia="Arial" w:hAnsi="Arial"/>
        <w:sz w:val="16"/>
        <w:szCs w:val="16"/>
      </w:rPr>
      <w:t xml:space="preserve">	Страница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6" w:space="2"/>
      </w:pBdr>
      <w:jc w:val="center"/>
    </w:pPr>
    <w:r>
      <w:rPr>
        <w:rFonts w:ascii="Arial" w:cs="Arial" w:eastAsia="Arial" w:hAnsi="Arial"/>
        <w:sz w:val="16"/>
        <w:szCs w:val="16"/>
      </w:rPr>
      <w:t xml:space="preserve">«Медбратишка»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2026-09-27T12:48:17.507Z</dcterms:created>
  <dcterms:modified xsi:type="dcterms:W3CDTF">2026-09-27T12:48:17.507Z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