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400"/>
        <w:jc w:val="center"/>
      </w:pPr>
      <w:r>
        <w:rPr>
          <w:rFonts w:ascii="Times New Roman" w:cs="Times New Roman" w:eastAsia="Times New Roman" w:hAnsi="Times New Roman"/>
          <w:b/>
          <w:bCs/>
          <w:color w:val="1B3A5C"/>
          <w:sz w:val="40"/>
          <w:szCs w:val="40"/>
        </w:rPr>
        <w:t xml:space="preserve">Case Study: Advantages of Using AI in</w:t>
      </w:r>
    </w:p>
    <w:p>
      <w:pPr>
        <w:spacing w:after="800"/>
        <w:jc w:val="center"/>
      </w:pPr>
      <w:r>
        <w:rPr>
          <w:rFonts w:ascii="Times New Roman" w:cs="Times New Roman" w:eastAsia="Times New Roman" w:hAnsi="Times New Roman"/>
          <w:b/>
          <w:bCs/>
          <w:color w:val="1B3A5C"/>
          <w:sz w:val="40"/>
          <w:szCs w:val="40"/>
        </w:rPr>
        <w:t xml:space="preserve">Government and Public Sector</w:t>
      </w:r>
    </w:p>
    <w:p>
      <w:pPr>
        <w:pBdr>
          <w:top w:val="single" w:color="9C7A29" w:sz="12"/>
        </w:pBdr>
        <w:spacing w:after="100"/>
        <w:jc w:val="center"/>
      </w:pPr>
    </w:p>
    <w:p>
      <w:pPr>
        <w:spacing w:after="900"/>
      </w:pPr>
    </w:p>
    <w:p>
      <w:pPr>
        <w:spacing w:after="120"/>
        <w:jc w:val="center"/>
      </w:pPr>
      <w:r>
        <w:rPr>
          <w:rFonts w:ascii="Times New Roman" w:cs="Times New Roman" w:eastAsia="Times New Roman" w:hAnsi="Times New Roman"/>
          <w:b/>
          <w:bCs/>
          <w:color w:val="000000"/>
          <w:sz w:val="28"/>
          <w:szCs w:val="28"/>
        </w:rPr>
        <w:t xml:space="preserve">Francisco Medina</w:t>
      </w:r>
    </w:p>
    <w:p>
      <w:pPr>
        <w:spacing w:after="60"/>
        <w:jc w:val="center"/>
      </w:pPr>
      <w:r>
        <w:rPr>
          <w:rFonts w:ascii="Times New Roman" w:cs="Times New Roman" w:eastAsia="Times New Roman" w:hAnsi="Times New Roman"/>
          <w:color w:val="595959"/>
          <w:sz w:val="24"/>
          <w:szCs w:val="24"/>
        </w:rPr>
        <w:t xml:space="preserve">ITAI 2372: Artificial Intelligence Applications</w:t>
      </w:r>
    </w:p>
    <w:p>
      <w:pPr>
        <w:spacing w:after="60"/>
        <w:jc w:val="center"/>
      </w:pPr>
      <w:r>
        <w:rPr>
          <w:rFonts w:ascii="Times New Roman" w:cs="Times New Roman" w:eastAsia="Times New Roman" w:hAnsi="Times New Roman"/>
          <w:color w:val="595959"/>
          <w:sz w:val="24"/>
          <w:szCs w:val="24"/>
        </w:rPr>
        <w:t xml:space="preserve">Professor Sridhar Ganti</w:t>
      </w:r>
    </w:p>
    <w:p>
      <w:pPr>
        <w:spacing w:after="60"/>
        <w:jc w:val="center"/>
      </w:pPr>
      <w:r>
        <w:rPr>
          <w:rFonts w:ascii="Times New Roman" w:cs="Times New Roman" w:eastAsia="Times New Roman" w:hAnsi="Times New Roman"/>
          <w:color w:val="595959"/>
          <w:sz w:val="24"/>
          <w:szCs w:val="24"/>
        </w:rPr>
        <w:t xml:space="preserve">Houston Community College</w:t>
      </w:r>
    </w:p>
    <w:p>
      <w:pPr>
        <w:spacing w:after="900"/>
        <w:jc w:val="center"/>
      </w:pPr>
      <w:r>
        <w:rPr>
          <w:rFonts w:ascii="Times New Roman" w:cs="Times New Roman" w:eastAsia="Times New Roman" w:hAnsi="Times New Roman"/>
          <w:color w:val="595959"/>
          <w:sz w:val="24"/>
          <w:szCs w:val="24"/>
        </w:rPr>
        <w:t xml:space="preserve">July 2026</w:t>
      </w:r>
    </w:p>
    <w:p>
      <w:pPr>
        <w:pBdr>
          <w:top w:val="single" w:color="BFBFBF" w:sz="4"/>
        </w:pBdr>
        <w:spacing w:after="0" w:before="1200"/>
        <w:ind w:left="900" w:right="900"/>
        <w:jc w:val="center"/>
      </w:pPr>
      <w:r>
        <w:rPr>
          <w:rFonts w:ascii="Times New Roman" w:cs="Times New Roman" w:eastAsia="Times New Roman" w:hAnsi="Times New Roman"/>
          <w:i/>
          <w:iCs/>
          <w:color w:val="595959"/>
          <w:sz w:val="20"/>
          <w:szCs w:val="20"/>
        </w:rPr>
        <w:t xml:space="preserve">AI Assistance Statement: This report was researched and drafted with the assistance of Claude (Anthropic). Sources were located and verified through web research, and all claims are cited to their original reporting. The analysis, proposal, and conclusions reflect the student's own reasoning.</w:t>
      </w:r>
    </w:p>
    <w:p>
      <w:r>
        <w:br w:type="page"/>
      </w:r>
    </w:p>
    <w:p>
      <w:pPr>
        <w:spacing w:after="150" w:before="300"/>
        <w:ind w:firstLine="0"/>
      </w:pPr>
      <w:r>
        <w:rPr>
          <w:rFonts w:ascii="Times New Roman" w:cs="Times New Roman" w:eastAsia="Times New Roman" w:hAnsi="Times New Roman"/>
          <w:b/>
          <w:bCs/>
          <w:color w:val="1B3A5C"/>
          <w:sz w:val="28"/>
          <w:szCs w:val="28"/>
        </w:rPr>
        <w:t xml:space="preserve">Introduction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Artificial intelligence has moved from a research topic into a working part of everyday government operations. Federal, state, and municipal authorities increasingly rely on machine learning and predictive analytics to manage tasks that used to depend entirely on manual review, from screening tax returns to running chatbots that answer resident questions (“Legacy Procurement Practices”). Government use cases documented in recent research range from fraud detection and law enforcement decision support to service-delivery tools that make it easier for residents to interact with the systems meant to serve them (“Legacy Procurement Practices”). Much of this shift is driven by scale: public agencies handle enormous volumes of data and cases, and no team of human reviewers can keep pace with the caseloads modern governments face.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This report examines the United Kingdom’s HM Revenue and Customs (HMRC) deployment of its Connect system, a data-matching and AI-assisted platform that has become one of the most established examples of AI used to close a national tax gap. Connect illustrates the real advantages AI can bring to public sector work, along with the limitations that come with running data-hungry systems inside institutions built on public trust. Building on the lessons Connect offers, this report then proposes an original application of the same underlying approach: a proactive benefits-enrollment system aimed not at catching fraud, but at helping eligible citizens claim support they are already entitled to but currently miss.</w:t>
      </w:r>
    </w:p>
    <w:p>
      <w:pPr>
        <w:spacing w:after="150" w:before="300"/>
        <w:ind w:firstLine="0"/>
      </w:pPr>
      <w:r>
        <w:rPr>
          <w:rFonts w:ascii="Times New Roman" w:cs="Times New Roman" w:eastAsia="Times New Roman" w:hAnsi="Times New Roman"/>
          <w:b/>
          <w:bCs/>
          <w:color w:val="1B3A5C"/>
          <w:sz w:val="28"/>
          <w:szCs w:val="28"/>
        </w:rPr>
        <w:t xml:space="preserve">Case Study Analysis: HMRC’s Connect System</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Problem or Need Addressed</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HMRC has struggled for years with a persistent “tax gap,” the difference between the tax that should legally be collected and what the Treasury actually receives. Official estimates place this gap at roughly £46.8 billion a year, with several billion pounds more attributed specifically to deliberate evasion (“HMRC’s Use of AI”). Traditional compliance work relied on manual audits and public tip-offs, an approach that could not realistically scale to the millions of tax returns filed each year, let alone keep pace with taxpayers hiding income across multiple bank accounts, rental platforms, and offshore structures. HMRC needed a way to cross-reference enormous volumes of financial and lifestyle data fast enough to flag likely evasion before an officer ever opened a case file.</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AI Tools or Techniques Implemented</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HMRC’s answer was Connect, a data-matching platform first rolled out in 2010 and developed with the defense contractor BAE Systems at a cost of roughly £80 to £100 million (“HMRC’s Connect Computer”). Connect applies predictive modeling and anomaly detection to cross-reference more than a billion data items pulled from upwards of thirty sources, including bank records, property registries, card processors, and online marketplaces such as eBay and Airbnb (“What Is HMRC’s Connect”). The system assigns each taxpayer a risk score based on how declared income compares with observable financial behavior, then routes the highest-risk profiles to a human investigator for review. In HMRC’s own description, the tool identifies “hidden” relationships between people, organizations, and data that manual review could never have surfaced (“HMRC’s Connect Computer”). More recently, HMRC has layered new capability on top of Connect, including automated scanning of public social media activity to check declared income against a taxpayer’s visible lifestyle, and a 2026 decade-long, £175 million partnership with the analytics firm Quantexa to build a broader “Decision Intelligence” platform (“UK: HMRC to Use AI”). Throughout, HMRC maintains that a human officer must review any AI-generated lead before an investigation proceeds.</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Outcomes and Benefits Achieved</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financial return has been substantial. Connect had recovered more than £3 billion in previously unpaid tax by 2020, and leads it generated contributed an additional £4.6 billion in tax revenue in the 2024/25 financial year alone, a return of roughly 30 to 40 times what the system originally cost to build (“HMRC’s Connect Computer”; “What Is HMRC’s Connect”). Over the period Connect has been operating, the overall UK tax gap has fallen from about 7.5 percent of total liabilities in 2005-06 to roughly 4.7 percent more recently (“HMRC’s Connect Computer”). Beyond the revenue recovered, Connect changed how quickly HMRC can act: work that once required investigators to manually cross-check records across separate institutions can now happen in a fraction of the time, freeing staff to focus on the cases that most need a human judgment call (“What Is HMRC’s Connect”).</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Challenges or Limitations Observed</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Connect’s scale is also its biggest liability. Because the system pulls from so many sources automatically, it can generate false positives that draw innocent taxpayers into lengthy, stressful investigations, and civil liberties advocates have warned that heavy reliance on automated flags without careful human oversight risks becoming a troubling expansion of state monitoring (“HMRC’s Use of AI”). Parliament’s House of Lords Economic Affairs Committee has separately called for a review of HMRC’s investigative powers over concerns that open-ended, technology-driven inquiries can become disproportionately aggressive (“HMRC’s Connect Computer”). There are transparency questions as well: a 2025 tribunal ordered HMRC to disclose whether AI was influencing decisions on research and development tax credit claims after a Freedom of Information request questioned how much authority the algorithm actually held (“HMRC’s Use of AI”). Finally, because Connect depends on the quality of the data feeding it, unverified tips submitted through fraud hotlines can enter the system and produce an inaccurate risk profile that then costs an innocent taxpayer real time and money to correct (“HMRC’s Connect Computer”). These issues show that a system delivering genuine financial benefits can still raise legitimate questions about proportionality, accountability, and consent.</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 different form of public resistance to UK enforcement technology offers a useful parallel. Since 2023, a self-described vigilante group calling itself the “Blade Runners” has vandalized and disabled hundreds of Automatic Number Plate Recognition (ANPR) cameras that enforce London’s Ultra Low Emission Zone (ULEZ), cutting down camera poles with saws and slashing tires on enforcement vans (“Shadowy ‘Blade Runner’ Vandals”). The Metropolitan Police recorded 795 ULEZ-camera-related crimes in a single six-month period, including roughly 200 thefts and nearly 600 cases of damage, prompting a dedicated investigation known as Operation Eremon (“‘Blade Runners’ Fell Ulez Cameras”). Unlike Connect, ULEZ enforcement relies on physical hardware rather than a data-matching program, but the underlying pattern of resistance is similar: when residents feel a government technology enforces a policy they see as unfair or invasive, some will try to disable the system itself rather than work through official channels. Despite this resistance, the policy still achieved its aims: ULEZ-compliant vehicles rose from 39 percent in 2017 to 96.7 percent by 2024, and nitrogen dioxide fell as much as 46 percent in central London (“London-Wide Ultra Low Emission Zone”). The vandalism was not free, though; replacing nearly 1,000 destroyed cameras cost close to £10 million by late 2023, a bill taxpayers absorbed rather than the vandals themselves (“Ulez: Bill for Fixing”). The lesson carries over to Connect: resistance to a data-driven system can be loud and costly without stopping it from delivering results, a reminder that public buy-in shapes how smoothly these systems operate.</w:t>
      </w:r>
    </w:p>
    <w:p>
      <w:pPr>
        <w:spacing w:after="80" w:before="200"/>
        <w:ind w:firstLine="0"/>
      </w:pPr>
      <w:r>
        <w:rPr>
          <w:rFonts w:ascii="Times New Roman" w:cs="Times New Roman" w:eastAsia="Times New Roman" w:hAnsi="Times New Roman"/>
          <w:b/>
          <w:bCs/>
          <w:i/>
          <w:iCs/>
          <w:color w:val="1B3A5C"/>
          <w:sz w:val="24"/>
          <w:szCs w:val="24"/>
        </w:rPr>
        <w:t xml:space="preserve">Table 1. Evolution of HMRC’s Connect System</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500"/>
        <w:gridCol w:w="5300"/>
        <w:gridCol w:w="2440"/>
      </w:tblGrid>
      <w:tr>
        <w:trPr>
          <w:tblHeader/>
        </w:trPr>
        <w:tc>
          <w:tcPr>
            <w:tcW w:type="dxa" w:w="1500"/>
            <w:shd w:fill="1B3A5C"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FFFFFF"/>
                <w:sz w:val="20"/>
                <w:szCs w:val="20"/>
              </w:rPr>
              <w:t xml:space="preserve">Year</w:t>
            </w:r>
          </w:p>
        </w:tc>
        <w:tc>
          <w:tcPr>
            <w:tcW w:type="dxa" w:w="5300"/>
            <w:shd w:fill="1B3A5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Development</w:t>
            </w:r>
          </w:p>
        </w:tc>
        <w:tc>
          <w:tcPr>
            <w:tcW w:type="dxa" w:w="2440"/>
            <w:shd w:fill="1B3A5C"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FFFFFF"/>
                <w:sz w:val="20"/>
                <w:szCs w:val="20"/>
              </w:rPr>
              <w:t xml:space="preserve">Reported Revenue Impact</w:t>
            </w:r>
          </w:p>
        </w:tc>
      </w:tr>
      <w:tr>
        <w:tc>
          <w:tcPr>
            <w:tcW w:type="dxa" w:w="1500"/>
            <w:shd w:fill="EAF0F6"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2010</w:t>
            </w:r>
          </w:p>
        </w:tc>
        <w:tc>
          <w:tcPr>
            <w:tcW w:type="dxa" w:w="5300"/>
            <w:shd w:fill="EAF0F6"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Connect launched; built with defense contractor BAE Systems</w:t>
            </w:r>
          </w:p>
        </w:tc>
        <w:tc>
          <w:tcPr>
            <w:tcW w:type="dxa" w:w="2440"/>
            <w:shd w:fill="EAF0F6"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N/A</w:t>
            </w:r>
          </w:p>
        </w:tc>
      </w:tr>
      <w:tr>
        <w:tc>
          <w:tcPr>
            <w:tcW w:type="dxa" w:w="150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2010–2020</w:t>
            </w:r>
          </w:p>
        </w:tc>
        <w:tc>
          <w:tcPr>
            <w:tcW w:type="dxa" w:w="53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Full rollout cost reaches roughly £80–100 million</w:t>
            </w:r>
          </w:p>
        </w:tc>
        <w:tc>
          <w:tcPr>
            <w:tcW w:type="dxa" w:w="244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£3+ billion recovered</w:t>
            </w:r>
          </w:p>
        </w:tc>
      </w:tr>
      <w:tr>
        <w:tc>
          <w:tcPr>
            <w:tcW w:type="dxa" w:w="1500"/>
            <w:shd w:fill="EAF0F6"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2024/25</w:t>
            </w:r>
          </w:p>
        </w:tc>
        <w:tc>
          <w:tcPr>
            <w:tcW w:type="dxa" w:w="5300"/>
            <w:shd w:fill="EAF0F6"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Leads generated by Connect analyzed against tax returns</w:t>
            </w:r>
          </w:p>
        </w:tc>
        <w:tc>
          <w:tcPr>
            <w:tcW w:type="dxa" w:w="2440"/>
            <w:shd w:fill="EAF0F6"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£4.6 billion (single year)</w:t>
            </w:r>
          </w:p>
        </w:tc>
      </w:tr>
      <w:tr>
        <w:tc>
          <w:tcPr>
            <w:tcW w:type="dxa" w:w="150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2025</w:t>
            </w:r>
          </w:p>
        </w:tc>
        <w:tc>
          <w:tcPr>
            <w:tcW w:type="dxa" w:w="53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Social media scanning added; AI use in R&amp;D credit claims disclosed under FOI tribunal order</w:t>
            </w:r>
          </w:p>
        </w:tc>
        <w:tc>
          <w:tcPr>
            <w:tcW w:type="dxa" w:w="244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Under review</w:t>
            </w:r>
          </w:p>
        </w:tc>
      </w:tr>
      <w:tr>
        <w:tc>
          <w:tcPr>
            <w:tcW w:type="dxa" w:w="1500"/>
            <w:shd w:fill="FBF4E4"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2026</w:t>
            </w:r>
          </w:p>
        </w:tc>
        <w:tc>
          <w:tcPr>
            <w:tcW w:type="dxa" w:w="5300"/>
            <w:shd w:fill="FBF4E4"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£175 million, decade-long Quantexa “Decision Intelligence” partnership announced</w:t>
            </w:r>
          </w:p>
        </w:tc>
        <w:tc>
          <w:tcPr>
            <w:tcW w:type="dxa" w:w="2440"/>
            <w:shd w:fill="FBF4E4"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Aimed at £46.8B tax gap</w:t>
            </w:r>
          </w:p>
        </w:tc>
      </w:tr>
    </w:tbl>
    <w:p>
      <w:pPr>
        <w:spacing w:after="300" w:before="80"/>
        <w:ind w:firstLine="0"/>
      </w:pPr>
      <w:r>
        <w:rPr>
          <w:rFonts w:ascii="Times New Roman" w:cs="Times New Roman" w:eastAsia="Times New Roman" w:hAnsi="Times New Roman"/>
          <w:i/>
          <w:iCs/>
          <w:color w:val="595959"/>
          <w:sz w:val="20"/>
          <w:szCs w:val="20"/>
        </w:rPr>
        <w:t xml:space="preserve">Source: compiled from “HMRC’s Connect Computer and Investigations,” “What Is HMRC’s Connect AI System?,” “HMRC’s Use of AI in Social Media Tax Investigations,” and “UK: HMRC to Use AI from British Tech Firm.”</w:t>
      </w:r>
    </w:p>
    <w:p>
      <w:pPr>
        <w:spacing w:after="150" w:before="300"/>
        <w:ind w:firstLine="0"/>
      </w:pPr>
      <w:r>
        <w:rPr>
          <w:rFonts w:ascii="Times New Roman" w:cs="Times New Roman" w:eastAsia="Times New Roman" w:hAnsi="Times New Roman"/>
          <w:b/>
          <w:bCs/>
          <w:color w:val="1B3A5C"/>
          <w:sz w:val="28"/>
          <w:szCs w:val="28"/>
        </w:rPr>
        <w:t xml:space="preserve">Innovative Proposal: Proactive Benefits Enrollment System</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Proposed Application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Connect was purpose-built to find people who owe the government money. The same underlying capability, cross-referencing government and third-party data to detect a mismatch between a person’s circumstances and their official record, could just as easily point in the opposite direction: finding people the government owes money to. I propose a Proactive Benefits Enrollment System (PBES) that reuses Connect-style data-matching infrastructure to identify citizens who almost certainly qualify for a public benefit but have never claimed it, then routes those cases to a caseworker for a supportive, opt-in outreach contact rather than an audit.</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In the UK context, this would mean matching Department for Work and Pensions eligibility rules against HMRC income records, property and council tax data, and existing benefit caseloads to flag pensioners who appear eligible for Pension Credit, working families who look entitled to Universal Credit top-ups, or households likely eligible for Council Tax Support, without requiring the citizen to apply first. A caseworker, not an algorithm, would make first contact and confirm eligibility before any payment changed hands.</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Justification and Expected Outcomes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This is not purely hypothetical. In October 2025, DWP piloted nearly this mechanism at a small scale, working with Age UK and Independent Age to send letters to 2,000 pensioners identified through data analysis as likely eligible for Pension Credit but not currently claiming it (“Fresh Drive to Boost Pension Credit”). A similar campaign in London, built on Housing Benefit and council tax data, had already produced more than 4,200 successful Pension Credit claims (“Benefit Uptake Campaigns”). PBES would apply the same logic DWP is already testing at the scale Connect already operates.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scale of the problem justifies going further. Policy in Practice estimates that more than £24 billion in benefits and social tariffs goes unclaimed in Great Britain every year, including over £1.6 billion in Pension Credit missed by more than 760,000 eligible pensioners (“Missing Out 2025”). Government’s own figures show that even for a benefit as long-established as Pension Credit, only around two-thirds of eligible households actually claim it, and take-up is measurably lower among the oldest pensioners, who are often the most in need (“Income-Related Benefits”). Researchers consistently point to the same barriers: people do not know what they qualify for, application processes are complicated, and stigma discourages people from applying even when they meet every criterion. A matching system built on infrastructure the government already operates for Connect would sidestep the awareness barrier entirely, since it would not depend on the citizen finding the program first. Even a modest improvement in take-up would return real money to the households who need it most, largely through data agencies already lawfully hold rather than new spending on outreach campaigns.</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Potential Challenges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proposal inherits some of the same tensions that surround Connect. Citizens would need a genuine ability to opt out of proactive contact, and agencies would need new legal gateways to share eligibility data across departments the way Connect already shares tax data, a process reviews have flagged as slow-moving (“Missing Out 2025”). There is also a risk that a matching algorithm trained on existing claimant data could underperform for populations that interact with government systems less often, reproducing exactly the kind of gap it is meant to close. This risk falls hardest on the people PBES is meant to help: those with unstable addresses or thin records are hardest for an algorithm to find. Getting this right would require close collaboration between the technical team and caseworkers who understand the human side of benefit stigma, along with regular audits to confirm the system is reaching, rather than overlooking, the people who need it most.</w:t>
      </w:r>
    </w:p>
    <w:p>
      <w:pPr>
        <w:spacing w:after="80" w:before="200"/>
        <w:ind w:firstLine="0"/>
      </w:pPr>
      <w:r>
        <w:rPr>
          <w:rFonts w:ascii="Times New Roman" w:cs="Times New Roman" w:eastAsia="Times New Roman" w:hAnsi="Times New Roman"/>
          <w:b/>
          <w:bCs/>
          <w:i/>
          <w:iCs/>
          <w:color w:val="1B3A5C"/>
          <w:sz w:val="24"/>
          <w:szCs w:val="24"/>
        </w:rPr>
        <w:t xml:space="preserve">Table 2. Traditional Application Model vs. Proposed PBES Model</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3420"/>
        <w:gridCol w:w="3420"/>
      </w:tblGrid>
      <w:tr>
        <w:trPr>
          <w:tblHeader/>
        </w:trPr>
        <w:tc>
          <w:tcPr>
            <w:tcW w:type="dxa" w:w="2400"/>
            <w:shd w:fill="9C7A2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Feature</w:t>
            </w:r>
          </w:p>
        </w:tc>
        <w:tc>
          <w:tcPr>
            <w:tcW w:type="dxa" w:w="3420"/>
            <w:shd w:fill="9C7A2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Traditional Application Model</w:t>
            </w:r>
          </w:p>
        </w:tc>
        <w:tc>
          <w:tcPr>
            <w:tcW w:type="dxa" w:w="3420"/>
            <w:shd w:fill="9C7A2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Proposed PBES Model</w:t>
            </w:r>
          </w:p>
        </w:tc>
      </w:tr>
      <w:tr>
        <w:tc>
          <w:tcPr>
            <w:tcW w:type="dxa" w:w="2400"/>
            <w:shd w:fill="EAF0F6"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Who initiates contact</w:t>
            </w:r>
          </w:p>
        </w:tc>
        <w:tc>
          <w:tcPr>
            <w:tcW w:type="dxa" w:w="3420"/>
            <w:shd w:fill="EAF0F6"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Citizen must find and apply</w:t>
            </w:r>
          </w:p>
        </w:tc>
        <w:tc>
          <w:tcPr>
            <w:tcW w:type="dxa" w:w="3420"/>
            <w:shd w:fill="EAF0F6"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Agency initiates contact after a data match</w:t>
            </w:r>
          </w:p>
        </w:tc>
      </w:tr>
      <w:tr>
        <w:tc>
          <w:tcPr>
            <w:tcW w:type="dxa" w:w="24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Primary data used</w:t>
            </w:r>
          </w:p>
        </w:tc>
        <w:tc>
          <w:tcPr>
            <w:tcW w:type="dxa" w:w="34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Self-reported application data</w:t>
            </w:r>
          </w:p>
        </w:tc>
        <w:tc>
          <w:tcPr>
            <w:tcW w:type="dxa" w:w="34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Existing cross-agency records (income, property, caseload)</w:t>
            </w:r>
          </w:p>
        </w:tc>
      </w:tr>
      <w:tr>
        <w:tc>
          <w:tcPr>
            <w:tcW w:type="dxa" w:w="2400"/>
            <w:shd w:fill="EAF0F6"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Main risk</w:t>
            </w:r>
          </w:p>
        </w:tc>
        <w:tc>
          <w:tcPr>
            <w:tcW w:type="dxa" w:w="3420"/>
            <w:shd w:fill="EAF0F6"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Eligible people never apply (non-take-up)</w:t>
            </w:r>
          </w:p>
        </w:tc>
        <w:tc>
          <w:tcPr>
            <w:tcW w:type="dxa" w:w="3420"/>
            <w:shd w:fill="EAF0F6"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False match requiring caseworker correction</w:t>
            </w:r>
          </w:p>
        </w:tc>
      </w:tr>
      <w:tr>
        <w:tc>
          <w:tcPr>
            <w:tcW w:type="dxa" w:w="24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Human role</w:t>
            </w:r>
          </w:p>
        </w:tc>
        <w:tc>
          <w:tcPr>
            <w:tcW w:type="dxa" w:w="34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Reviews applications submitted</w:t>
            </w:r>
          </w:p>
        </w:tc>
        <w:tc>
          <w:tcPr>
            <w:tcW w:type="dxa" w:w="34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Confirms eligibility before any contact or payment change</w:t>
            </w:r>
          </w:p>
        </w:tc>
      </w:tr>
    </w:tbl>
    <w:p>
      <w:pPr>
        <w:spacing w:after="150" w:before="300"/>
        <w:ind w:firstLine="0"/>
      </w:pPr>
      <w:r>
        <w:rPr>
          <w:rFonts w:ascii="Times New Roman" w:cs="Times New Roman" w:eastAsia="Times New Roman" w:hAnsi="Times New Roman"/>
          <w:b/>
          <w:bCs/>
          <w:color w:val="1B3A5C"/>
          <w:sz w:val="28"/>
          <w:szCs w:val="28"/>
        </w:rPr>
        <w:t xml:space="preserve">Conclusion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HMRC’s Connect system demonstrates both sides of AI’s promise for the public sector. Real revenue was recovered and investigators moved faster, but that efficiency depends on mass data collection and carries a genuine risk of false positives and diminished privacy. The lesson is not that AI should be avoided in public sector work, but that its underlying capability, matching disparate data at scale, is a tool that can be pointed at different goals. A Proactive Benefits Enrollment System would apply the exact mechanics that catch tax evaders to close the opposite gap: billions in support that eligible citizens never receive because no one told them they qualified. As governments continue expanding their use of AI, the more interesting question may not be whether to build these systems, but which direction to point them once they exist.</w:t>
      </w:r>
    </w:p>
    <spacingAfter>200</spacingAfter>
    <w:p>
      <w:r>
        <w:br w:type="page"/>
      </w:r>
    </w:p>
    <w:p>
      <w:pPr>
        <w:spacing w:after="240"/>
        <w:ind w:firstLine="0"/>
        <w:jc w:val="center"/>
      </w:pPr>
      <w:r>
        <w:rPr>
          <w:rFonts w:ascii="Times New Roman" w:cs="Times New Roman" w:eastAsia="Times New Roman" w:hAnsi="Times New Roman"/>
          <w:b/>
          <w:bCs/>
          <w:color w:val="1B3A5C"/>
          <w:sz w:val="28"/>
          <w:szCs w:val="28"/>
        </w:rPr>
        <w:t xml:space="preserve">Works Cited</w:t>
      </w:r>
    </w:p>
    <w:p>
      <w:pPr>
        <w:spacing w:after="200" w:line="480" w:lineRule="auto"/>
        <w:ind w:left="720" w:hanging="720"/>
      </w:pPr>
      <w:r>
        <w:rPr>
          <w:rFonts w:ascii="Times New Roman" w:cs="Times New Roman" w:eastAsia="Times New Roman" w:hAnsi="Times New Roman"/>
          <w:sz w:val="24"/>
          <w:szCs w:val="24"/>
        </w:rPr>
        <w:t xml:space="preserve">“Benefit Uptake Campaigns.”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London City Hall</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24 Oct. 2024, https://www.london.gov.uk/programmes-strategies/communities-and-social-justice/financial-hardship/benefit-uptake-campaigns.</w:t>
      </w:r>
    </w:p>
    <w:p>
      <w:pPr>
        <w:spacing w:after="200" w:line="480" w:lineRule="auto"/>
        <w:ind w:left="720" w:hanging="720"/>
      </w:pPr>
      <w:r>
        <w:rPr>
          <w:rFonts w:ascii="Times New Roman" w:cs="Times New Roman" w:eastAsia="Times New Roman" w:hAnsi="Times New Roman"/>
          <w:sz w:val="24"/>
          <w:szCs w:val="24"/>
        </w:rPr>
        <w:t xml:space="preserve">“‘Blade Runners’ Fell Ulez Cameras after Sadiq Khan’s Re-election.”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Yahoo News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5 May 2024, https://www.yahoo.com/news/blade-runners-fell-ulez-cameras-172908062.html.</w:t>
      </w:r>
    </w:p>
    <w:p>
      <w:pPr>
        <w:spacing w:after="200" w:line="480" w:lineRule="auto"/>
        <w:ind w:left="720" w:hanging="720"/>
      </w:pPr>
      <w:r>
        <w:rPr>
          <w:rFonts w:ascii="Times New Roman" w:cs="Times New Roman" w:eastAsia="Times New Roman" w:hAnsi="Times New Roman"/>
          <w:sz w:val="24"/>
          <w:szCs w:val="24"/>
        </w:rPr>
        <w:t xml:space="preserve">Department for Work and Pensions. </w:t>
      </w:r>
      <w:r>
        <w:rPr>
          <w:rFonts w:ascii="Times New Roman" w:cs="Times New Roman" w:eastAsia="Times New Roman" w:hAnsi="Times New Roman"/>
          <w:sz w:val="24"/>
          <w:szCs w:val="24"/>
        </w:rPr>
        <w:t xml:space="preserve">“Income-Related Benefits: Estimates of Take-Up: Financial Year 2019 to 2020.”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GOV.UK</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26 Oct. 2023, https://www.gov.uk/government/statistics/income-related-benefits-estimates-of-take-up-financial-year-2019-to-2020/income-related-benefits-estimates-of-take-up-financial-year-2019-to-2020.</w:t>
      </w:r>
    </w:p>
    <w:p>
      <w:pPr>
        <w:spacing w:after="200" w:line="480" w:lineRule="auto"/>
        <w:ind w:left="720" w:hanging="720"/>
      </w:pPr>
      <w:r>
        <w:rPr>
          <w:rFonts w:ascii="Times New Roman" w:cs="Times New Roman" w:eastAsia="Times New Roman" w:hAnsi="Times New Roman"/>
          <w:sz w:val="24"/>
          <w:szCs w:val="24"/>
        </w:rPr>
        <w:t xml:space="preserve">“Fresh Drive to Boost Pension Credit Take-Up as New Figures Reveal Large Regional Gaps in Those Receiving Benefit Worth around £4,300 a Year.”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GOV.UK</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30 Oct. 2025, https://www.gov.uk/government/news/fresh-drive-to-boost-pension-credit-take-up-as-new-figures-reveal-large-regional-gaps-in-those-receiving-benefit-worth-around-4300-a-year.</w:t>
      </w:r>
    </w:p>
    <w:p>
      <w:pPr>
        <w:spacing w:after="200" w:line="480" w:lineRule="auto"/>
        <w:ind w:left="720" w:hanging="720"/>
      </w:pPr>
      <w:r>
        <w:rPr>
          <w:rFonts w:ascii="Times New Roman" w:cs="Times New Roman" w:eastAsia="Times New Roman" w:hAnsi="Times New Roman"/>
          <w:sz w:val="24"/>
          <w:szCs w:val="24"/>
        </w:rPr>
        <w:t xml:space="preserve">“HMRC’s Connect Computer and Investigations.”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Taxation</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14 July 2020, https://www.taxation.co.uk/articles/hmrc-s-connect-computer-and-investigations.</w:t>
      </w:r>
    </w:p>
    <w:p>
      <w:pPr>
        <w:spacing w:after="200" w:line="480" w:lineRule="auto"/>
        <w:ind w:left="720" w:hanging="720"/>
      </w:pPr>
      <w:r>
        <w:rPr>
          <w:rFonts w:ascii="Times New Roman" w:cs="Times New Roman" w:eastAsia="Times New Roman" w:hAnsi="Times New Roman"/>
          <w:sz w:val="24"/>
          <w:szCs w:val="24"/>
        </w:rPr>
        <w:t xml:space="preserve">“HMRC’s Use of AI in Social Media Tax Investigations.”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PANDR Computing</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 Aug. 2025, https://www.pandr.uk/featured-article-hmrcs-ai-scans-tax-cheats-social-media/.</w:t>
      </w:r>
    </w:p>
    <w:p>
      <w:pPr>
        <w:spacing w:after="200" w:line="480" w:lineRule="auto"/>
        <w:ind w:left="720" w:hanging="720"/>
      </w:pPr>
      <w:r>
        <w:rPr>
          <w:rFonts w:ascii="Times New Roman" w:cs="Times New Roman" w:eastAsia="Times New Roman" w:hAnsi="Times New Roman"/>
          <w:sz w:val="24"/>
          <w:szCs w:val="24"/>
        </w:rPr>
        <w:t xml:space="preserve">Johnson, Nari, et al. </w:t>
      </w:r>
      <w:r>
        <w:rPr>
          <w:rFonts w:ascii="Times New Roman" w:cs="Times New Roman" w:eastAsia="Times New Roman" w:hAnsi="Times New Roman"/>
          <w:sz w:val="24"/>
          <w:szCs w:val="24"/>
        </w:rPr>
        <w:t xml:space="preserve">“Legacy Procurement Practices Shape How U.S. Cities Govern AI: Understanding Government Employees’ Practices, Challenges, and Needs.”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6 Nov. 2024, https://arxiv.org/abs/2411.04994.</w:t>
      </w:r>
    </w:p>
    <w:p>
      <w:pPr>
        <w:spacing w:after="200" w:line="480" w:lineRule="auto"/>
        <w:ind w:left="720" w:hanging="720"/>
      </w:pPr>
      <w:r>
        <w:rPr>
          <w:rFonts w:ascii="Times New Roman" w:cs="Times New Roman" w:eastAsia="Times New Roman" w:hAnsi="Times New Roman"/>
          <w:sz w:val="24"/>
          <w:szCs w:val="24"/>
        </w:rPr>
        <w:t xml:space="preserve">“London-Wide Ultra Low Emission Zone One Year Report.”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London City Hall</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12 Mar. 2025, https://www.london.gov.uk/programmes-strategies/environment-and-climate-change/environment-and-climate-change-publications/london-wide-ultra-low-emission-zone-one-year-report.</w:t>
      </w:r>
    </w:p>
    <w:p>
      <w:pPr>
        <w:spacing w:after="200" w:line="480" w:lineRule="auto"/>
        <w:ind w:left="720" w:hanging="720"/>
      </w:pPr>
      <w:r>
        <w:rPr>
          <w:rFonts w:ascii="Times New Roman" w:cs="Times New Roman" w:eastAsia="Times New Roman" w:hAnsi="Times New Roman"/>
          <w:sz w:val="24"/>
          <w:szCs w:val="24"/>
        </w:rPr>
        <w:t xml:space="preserve">Policy in Practice. </w:t>
      </w:r>
      <w:r>
        <w:rPr>
          <w:rFonts w:ascii="Times New Roman" w:cs="Times New Roman" w:eastAsia="Times New Roman" w:hAnsi="Times New Roman"/>
          <w:sz w:val="24"/>
          <w:szCs w:val="24"/>
        </w:rPr>
        <w:t xml:space="preserve">“Missing Out 2025: £24 Billion of Support Is Unclaimed.”</w:t>
      </w:r>
      <w:r>
        <w:rPr>
          <w:rFonts w:ascii="Times New Roman" w:cs="Times New Roman" w:eastAsia="Times New Roman" w:hAnsi="Times New Roman"/>
          <w:sz w:val="24"/>
          <w:szCs w:val="24"/>
        </w:rPr>
        <w:t xml:space="preserve"> Sept. 2025, https://policyinpractice.co.uk/wp-content/uploads/2025/09/MO25-24bnUnclaimed-PolicyinPractice-Sept25.pdf.</w:t>
      </w:r>
    </w:p>
    <w:p>
      <w:pPr>
        <w:spacing w:after="200" w:line="480" w:lineRule="auto"/>
        <w:ind w:left="720" w:hanging="720"/>
      </w:pPr>
      <w:r>
        <w:rPr>
          <w:rFonts w:ascii="Times New Roman" w:cs="Times New Roman" w:eastAsia="Times New Roman" w:hAnsi="Times New Roman"/>
          <w:sz w:val="24"/>
          <w:szCs w:val="24"/>
        </w:rPr>
        <w:t xml:space="preserve">“Shadowy ‘Blade Runner’ Vandals Trash Cameras in Anti-ULEZ Backlash in London.”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ITV News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31 July 2023, https://www.itv.com/news/london/2023-07-31/shadowy-blade-runner-vandals-trash-cameras-in-anti-ulez-backlash.</w:t>
      </w:r>
    </w:p>
    <w:p>
      <w:pPr>
        <w:spacing w:after="200" w:line="480" w:lineRule="auto"/>
        <w:ind w:left="720" w:hanging="720"/>
      </w:pPr>
      <w:r>
        <w:rPr>
          <w:rFonts w:ascii="Times New Roman" w:cs="Times New Roman" w:eastAsia="Times New Roman" w:hAnsi="Times New Roman"/>
          <w:sz w:val="24"/>
          <w:szCs w:val="24"/>
        </w:rPr>
        <w:t xml:space="preserve">“UK: HMRC to Use AI from British Tech Firm to Spot Fraud and Tax Return Errors.”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IFC Review</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15 May 2026, https://www.ifcreview.com/news/2026/may/uk-hmrc-to-use-ai-from-british-tech-firm-to-spot-fraud-and-tax-return-errors/.</w:t>
      </w:r>
    </w:p>
    <w:p>
      <w:pPr>
        <w:spacing w:after="200" w:line="480" w:lineRule="auto"/>
        <w:ind w:left="720" w:hanging="720"/>
      </w:pPr>
      <w:r>
        <w:rPr>
          <w:rFonts w:ascii="Times New Roman" w:cs="Times New Roman" w:eastAsia="Times New Roman" w:hAnsi="Times New Roman"/>
          <w:sz w:val="24"/>
          <w:szCs w:val="24"/>
        </w:rPr>
        <w:t xml:space="preserve">“Ulez: Bill for Fixing Damaged Cameras Hits Staggering Amount after Vigilante Attacks.”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GB News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13 Nov. 2023, https://www.gbnews.com/news/ulez-bill-fixing-damaged-cameras-vigilante-attacks.</w:t>
      </w:r>
    </w:p>
    <w:p>
      <w:pPr>
        <w:spacing w:after="200" w:line="480" w:lineRule="auto"/>
        <w:ind w:left="720" w:hanging="720"/>
      </w:pPr>
      <w:r>
        <w:rPr>
          <w:rFonts w:ascii="Times New Roman" w:cs="Times New Roman" w:eastAsia="Times New Roman" w:hAnsi="Times New Roman"/>
          <w:sz w:val="24"/>
          <w:szCs w:val="24"/>
        </w:rPr>
        <w:t xml:space="preserve">“What Is HMRC’s Connect AI System?”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TaxAssist Accountants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4 Nov. 2025, https://www.taxassist.co.uk/resources/articles/what-is-hmrc-s-connect-ai-system.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595959"/>
        <w:sz w:val="18"/>
        <w:szCs w:val="18"/>
      </w:rPr>
      <w:t xml:space="preserve">Medina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C7A29" w:sz="2"/>
      </w:pBdr>
      <w:spacing w:after="0"/>
    </w:pPr>
    <w:r>
      <w:rPr>
        <w:rFonts w:ascii="Times New Roman" w:cs="Times New Roman" w:eastAsia="Times New Roman" w:hAnsi="Times New Roman"/>
        <w:i/>
        <w:iCs/>
        <w:color w:val="595959"/>
        <w:sz w:val="16"/>
        <w:szCs w:val="16"/>
      </w:rPr>
      <w:t xml:space="preserve">ITAI 2372  |  Case Study: AI in Government &amp; Public Sector  |  Francisco Medina  |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2026-07-06T15:01:18.808Z</dcterms:created>
  <dcterms:modified xsi:type="dcterms:W3CDTF">2026-07-06T15:01:18.833Z</dcterms:modified>
</cp:coreProperties>
</file>

<file path=docProps/custom.xml><?xml version="1.0" encoding="utf-8"?>
<Properties xmlns="http://schemas.openxmlformats.org/officeDocument/2006/custom-properties" xmlns:vt="http://schemas.openxmlformats.org/officeDocument/2006/docPropsVTypes"/>
</file>