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1B3A5C"/>
          <w:sz w:val="40"/>
          <w:szCs w:val="40"/>
        </w:rPr>
        <w:t xml:space="preserve">Case Study: Advantages of Using AI in</w:t>
      </w:r>
    </w:p>
    <w:p>
      <w:pPr>
        <w:spacing w:after="800"/>
        <w:jc w:val="center"/>
      </w:pPr>
      <w:r>
        <w:rPr>
          <w:rFonts w:ascii="Times New Roman" w:cs="Times New Roman" w:eastAsia="Times New Roman" w:hAnsi="Times New Roman"/>
          <w:b/>
          <w:bCs/>
          <w:color w:val="1B3A5C"/>
          <w:sz w:val="40"/>
          <w:szCs w:val="40"/>
        </w:rPr>
        <w:t xml:space="preserve">Government and Public Sector</w:t>
      </w:r>
    </w:p>
    <w:p>
      <w:pPr>
        <w:pBdr>
          <w:top w:val="single" w:color="9C7A29"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10, Assignment 10</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July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proposal, and conclusions reflect the student's own reasoning.</w:t>
      </w:r>
    </w:p>
    <w:p>
      <w:r>
        <w:br w:type="page"/>
      </w:r>
    </w:p>
    <w:p>
      <w:pPr>
        <w:spacing w:after="150" w:before="300"/>
        <w:ind w:firstLine="0"/>
      </w:pPr>
      <w:r>
        <w:rPr>
          <w:rFonts w:ascii="Times New Roman" w:cs="Times New Roman" w:eastAsia="Times New Roman" w:hAnsi="Times New Roman"/>
          <w:b/>
          <w:bCs/>
          <w:color w:val="1B3A5C"/>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Artificial intelligence has moved from a research topic into a working part of everyday government operations. Federal, state, and municipal authorities increasingly rely on machine learning and predictive analytics to manage tasks that used to depend entirely on manual review, from screening tax returns to running chatbots that answer resident questions (Johnson et al.). Government use cases documented in recent research range from fraud detection and law enforcement decision support to service-delivery tools that make it easier for residents to interact with the systems meant to serve them (Johnson et al.). Much of this shift is driven by scale: public agencies handle enormous volumes of data and cases, and no team of human reviewers can keep pace with the caseloads modern governments face.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report examines the United Kingdom’s HM Revenue and Customs (HMRC) deployment of its Connect system, a data-matching and AI-assisted platform that has become one of the most established examples of AI used to close a national tax gap. Connect illustrates the real advantages AI can bring to public sector work, along with the limitations that come with running data-hungry systems inside institutions built on public trust. Building on the lessons Connect offers, this report then proposes an original application of the same underlying approach: a proactive benefits-enrollment system aimed not at catching fraud, but at helping eligible citizens claim support they are already entitled to but currently miss. This report argues that Connect’s real achievement was building the infrastructure to match disparate data at scale, not narrowly to catch tax evasion, and that this same infrastructure should be redirected toward finding the citizens the government owes money to, not only the ones who owe it.</w:t>
      </w:r>
    </w:p>
    <w:p>
      <w:pPr>
        <w:spacing w:after="150" w:before="300"/>
        <w:ind w:firstLine="0"/>
      </w:pPr>
      <w:r>
        <w:rPr>
          <w:rFonts w:ascii="Times New Roman" w:cs="Times New Roman" w:eastAsia="Times New Roman" w:hAnsi="Times New Roman"/>
          <w:b/>
          <w:bCs/>
          <w:color w:val="1B3A5C"/>
          <w:sz w:val="28"/>
          <w:szCs w:val="28"/>
        </w:rPr>
        <w:t xml:space="preserve">Case Study Analysis: HMRC’s Connect System</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Problem or Need Addressed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HMRC has struggled for years with a persistent “tax gap,” the difference between the tax that should legally be collected and what the Treasury actually receives. Official estimates place this gap at roughly £46.8 billion a year, with several billion pounds more attributed specifically to deliberate evasion (“HMRC’s Use of AI”). Traditional compliance work relied on manual audits and public tip-offs, an approach that could not realistically scale to the millions of tax returns filed each year, let alone keep pace with taxpayers hiding income across multiple bank accounts, rental platforms, and offshore structures. HMRC needed a way to cross-reference enormous volumes of financial and lifestyle data fast enough to flag likely evasion before an officer ever opened a case file.</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AI Tools or Techniques Implemented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HMRC’s answer was Connect, a data-matching platform first rolled out in 2010 and developed with the defense contractor BAE Systems at a cost of roughly £80 to £100 million (“HMRC’s Connect Computer”). Connect applies predictive modeling and anomaly detection to cross-reference more than a billion data items pulled from upwards of thirty sources, including bank records, property registries, card processors, and online marketplaces such as eBay and Airbnb (“What Is HMRC’s Connect”). The system assigns each taxpayer a risk score based on how declared income compares with observable financial behavior, then routes the highest-risk profiles to a human investigator for review. In HMRC’s own description, the tool identifies “hidden” relationships between people, organizations, and data that manual review could never have surfaced (“HMRC’s Connect Computer”). More recently, HMRC has layered new capability on top of Connect, including automated scanning of public social media activity to check declared income against a taxpayer’s visible lifestyle, and a 2026 decade-long, £175 million partnership with the analytics firm Quantexa to build a broader “Decision Intelligence” platform (“UK: HMRC to Use AI”). Throughout, HMRC maintains that a human officer must review any AI-generated lead before an investigation proceeds.</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Outcomes and Benefits Achieved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financial return has been substantial. Connect had recovered more than £3 billion in previously unpaid tax by 2020, and leads it generated contributed an additional £4.6 billion in tax revenue in the 2024/25 financial year alone, a return of roughly 30 to 40 times what the system originally cost to build (“HMRC’s Connect Computer”; “What Is HMRC’s Connect”). Over the period Connect has been operating, the overall UK tax gap has fallen from about 7.5 percent of total liabilities in 2005-06 to roughly 4.7 percent more recently (“HMRC’s Connect Computer”). Beyond the revenue recovered, Connect changed how quickly HMRC can act: work that once required investigators to manually cross-check records across separate institutions can now happen in a fraction of the time, freeing staff to focus on the cases that most need a human judgment call (“What Is HMRC’s Connect”).</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Challenges or Limitations Observed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Connect’s scale is also its biggest liability. Because the system pulls from so many sources automatically, it can generate false positives that draw innocent taxpayers into lengthy, stressful investigations, and civil liberties advocates have warned that heavy reliance on automated flags without careful human oversight risks becoming a troubling expansion of state monitoring (“HMRC’s Use of AI”). Parliament’s House of Lords Economic Affairs Committee has separately called for a review of HMRC’s investigative powers over concerns that open-ended, technology-driven inquiries can become disproportionately aggressive (“HMRC’s Connect Computer”). There are transparency questions as well: a 2025 tribunal ordered HMRC to disclose whether AI was influencing decisions on research and development tax credit claims after a Freedom of Information request questioned how much authority the algorithm actually held (“HMRC’s Use of AI”). Finally, because Connect depends on the quality of the data feeding it, unverified tips submitted through fraud hotlines can enter the system and produce an inaccurate risk profile that then costs an innocent taxpayer real time and money to correct (“HMRC’s Connect Computer”). These issues show that a system delivering genuine financial benefits can still raise legitimate questions about proportionality, accountability, and consent.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 different form of public resistance to UK enforcement technology offers a useful parallel. Since 2023, a self-described vigilante group calling itself the “Blade Runners” has vandalized and disabled hundreds of Automatic Number Plate Recognition (ANPR) cameras that enforce London’s Ultra Low Emission Zone (ULEZ), cutting down camera poles with saws and slashing tires on enforcement vans (“Shadowy ‘Blade Runner’ Vandals”). The Metropolitan Police recorded 795 ULEZ-camera-related crimes in a single six-month period, including roughly 200 thefts and nearly 600 cases of damage, prompting a dedicated investigation known as Operation Eremon (“‘Blade Runners’ Fell Ulez Cameras”). Unlike Connect, ULEZ enforcement relies on physical hardware rather than a data-matching program, but the underlying pattern of resistance is similar: when residents feel a government technology enforces a policy they see as unfair or invasive, some will try to disable the system itself rather than work through official channels. Despite this resistance, the policy still achieved its aims: ULEZ-compliant vehicles rose from 39 percent in 2017 to 96.7 percent by 2024, and nitrogen dioxide fell as much as 46 percent in central London (“London-Wide Ultra Low Emission Zone”). The vandalism was not free, though; replacing nearly 1,000 destroyed cameras cost close to £10 million by late 2023, a bill taxpayers absorbed rather than the vandals themselves (“Ulez: Bill for Fixing”). The lesson carries over to Connect: resistance to a data-driven system can be loud and costly without stopping it from delivering results, a reminder that public buy-in shapes how smoothly these systems operate.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 2016 video game captures a different, more internal side of the same tension with unusual precision. In Osmotic Studios’ Orwell: Keeping an Eye on You, directly inspired by the Snowden-era PRISM and XKEYSCORE revelations, the player takes the role of a government investigator aggregating fragments of a citizen’s data, social media posts, private messages, browsing history, into a profile a security agency will act on (“Orwell: Keeping an Eye On You”). The game’s central mechanic is also its central ethical problem: information becomes actionable the moment it is uploaded, whether or not the player is certain it is accurate, and the game repeatedly presents contradictory data with no clear signal of which version is true (“Orwell: Keeping an Eye On You”). That is close to a procedural simulation of the choice facing an actual Connect analyst deciding whether an ambiguous automated flag, generated from unverified hotline tips or incomplete records, is solid enough to justify opening an investigation into a real person. The game offers no comfortable answer, and in practice, neither does Connect.</w:t>
      </w:r>
    </w:p>
    <w:p>
      <w:pPr>
        <w:spacing w:after="80" w:before="200"/>
        <w:ind w:firstLine="0"/>
      </w:pPr>
      <w:r>
        <w:rPr>
          <w:rFonts w:ascii="Times New Roman" w:cs="Times New Roman" w:eastAsia="Times New Roman" w:hAnsi="Times New Roman"/>
          <w:b/>
          <w:bCs/>
          <w:i/>
          <w:iCs/>
          <w:color w:val="1B3A5C"/>
          <w:sz w:val="24"/>
          <w:szCs w:val="24"/>
        </w:rPr>
        <w:t xml:space="preserve">Table 1. Evolution of HMRC’s Connect System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440"/>
      </w:tblGrid>
      <w:tr>
        <w:trPr>
          <w:tblHeader/>
        </w:trPr>
        <w:tc>
          <w:tcPr>
            <w:tcW w:type="dxa" w:w="1500"/>
            <w:shd w:fill="1B3A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Year</w:t>
            </w:r>
          </w:p>
        </w:tc>
        <w:tc>
          <w:tcPr>
            <w:tcW w:type="dxa" w:w="5300"/>
            <w:shd w:fill="1B3A5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Development</w:t>
            </w:r>
          </w:p>
        </w:tc>
        <w:tc>
          <w:tcPr>
            <w:tcW w:type="dxa" w:w="2440"/>
            <w:shd w:fill="1B3A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Reported Revenue Impact</w:t>
            </w:r>
          </w:p>
        </w:tc>
      </w:tr>
      <w:tr>
        <w:tc>
          <w:tcPr>
            <w:tcW w:type="dxa" w:w="1500"/>
            <w:shd w:fill="EAF0F6"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2010</w:t>
            </w:r>
          </w:p>
        </w:tc>
        <w:tc>
          <w:tcPr>
            <w:tcW w:type="dxa" w:w="530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Connect launched; built with defense contractor BAE Systems</w:t>
            </w:r>
          </w:p>
        </w:tc>
        <w:tc>
          <w:tcPr>
            <w:tcW w:type="dxa" w:w="2440"/>
            <w:shd w:fill="EAF0F6"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N/A</w:t>
            </w:r>
          </w:p>
        </w:tc>
      </w:tr>
      <w:tr>
        <w:tc>
          <w:tcPr>
            <w:tcW w:type="dxa" w:w="150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2010–2020</w:t>
            </w:r>
          </w:p>
        </w:tc>
        <w:tc>
          <w:tcPr>
            <w:tcW w:type="dxa" w:w="53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Full rollout cost reaches roughly £80–100 million</w:t>
            </w:r>
          </w:p>
        </w:tc>
        <w:tc>
          <w:tcPr>
            <w:tcW w:type="dxa" w:w="244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£3+ billion recovered</w:t>
            </w:r>
          </w:p>
        </w:tc>
      </w:tr>
      <w:tr>
        <w:tc>
          <w:tcPr>
            <w:tcW w:type="dxa" w:w="1500"/>
            <w:shd w:fill="EAF0F6"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2024/25</w:t>
            </w:r>
          </w:p>
        </w:tc>
        <w:tc>
          <w:tcPr>
            <w:tcW w:type="dxa" w:w="530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Leads generated by Connect analyzed against tax returns</w:t>
            </w:r>
          </w:p>
        </w:tc>
        <w:tc>
          <w:tcPr>
            <w:tcW w:type="dxa" w:w="2440"/>
            <w:shd w:fill="EAF0F6"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£4.6 billion (single year)</w:t>
            </w:r>
          </w:p>
        </w:tc>
      </w:tr>
      <w:tr>
        <w:tc>
          <w:tcPr>
            <w:tcW w:type="dxa" w:w="150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2025</w:t>
            </w:r>
          </w:p>
        </w:tc>
        <w:tc>
          <w:tcPr>
            <w:tcW w:type="dxa" w:w="53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Social media scanning added; AI use in R&amp;D credit claims disclosed under FOI tribunal order</w:t>
            </w:r>
          </w:p>
        </w:tc>
        <w:tc>
          <w:tcPr>
            <w:tcW w:type="dxa" w:w="244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Under review</w:t>
            </w:r>
          </w:p>
        </w:tc>
      </w:tr>
      <w:tr>
        <w:tc>
          <w:tcPr>
            <w:tcW w:type="dxa" w:w="1500"/>
            <w:shd w:fill="FBF4E4"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2026</w:t>
            </w:r>
          </w:p>
        </w:tc>
        <w:tc>
          <w:tcPr>
            <w:tcW w:type="dxa" w:w="5300"/>
            <w:shd w:fill="FBF4E4"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£175 million, decade-long Quantexa “Decision Intelligence” partnership announced</w:t>
            </w:r>
          </w:p>
        </w:tc>
        <w:tc>
          <w:tcPr>
            <w:tcW w:type="dxa" w:w="2440"/>
            <w:shd w:fill="FBF4E4"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Aimed at £46.8B tax gap</w:t>
            </w:r>
          </w:p>
        </w:tc>
      </w:tr>
    </w:tbl>
    <w:p>
      <w:pPr>
        <w:spacing w:after="300" w:before="80"/>
        <w:ind w:firstLine="0"/>
      </w:pPr>
      <w:r>
        <w:rPr>
          <w:rFonts w:ascii="Times New Roman" w:cs="Times New Roman" w:eastAsia="Times New Roman" w:hAnsi="Times New Roman"/>
          <w:i/>
          <w:iCs/>
          <w:color w:val="595959"/>
          <w:sz w:val="20"/>
          <w:szCs w:val="20"/>
        </w:rPr>
        <w:t xml:space="preserve">Source: compiled from “HMRC’s Connect Computer and Investigations,” “What Is HMRC’s Connect AI System?,” “HMRC’s Use of AI in Social Media Tax Investigations,” and “UK: HMRC to Use AI from British Tech Firm.”</w:t>
      </w:r>
    </w:p>
    <w:p>
      <w:pPr>
        <w:spacing w:after="150" w:before="300"/>
        <w:ind w:firstLine="0"/>
      </w:pPr>
      <w:r>
        <w:rPr>
          <w:rFonts w:ascii="Times New Roman" w:cs="Times New Roman" w:eastAsia="Times New Roman" w:hAnsi="Times New Roman"/>
          <w:b/>
          <w:bCs/>
          <w:color w:val="1B3A5C"/>
          <w:sz w:val="28"/>
          <w:szCs w:val="28"/>
        </w:rPr>
        <w:t xml:space="preserve">Innovative Proposal: Proactive Benefits Enrollment System</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Proposed Application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Connect was purpose-built to find people who owe the government money. The same underlying capability, cross-referencing government and third-party data to detect a mismatch between a person’s circumstances and their official record, could just as easily point in the opposite direction: finding people the government owes money to. I propose a Proactive Benefits Enrollment System (PBES) that reuses Connect-style data-matching infrastructure to identify citizens who almost certainly qualify for a public benefit but have never claimed it, then routes those cases to a caseworker for a supportive, opt-in outreach contact rather than an audit.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the UK context, this would mean matching Department for Work and Pensions eligibility rules against HMRC income records, property and council tax data, and existing benefit caseloads to flag pensioners who appear eligible for Pension Credit, working families who look entitled to Universal Credit top-ups, or households likely eligible for Council Tax Support, without requiring the citizen to apply first. A caseworker, not an algorithm, would make first contact and confirm eligibility before any payment changed hands.</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Justification and Expected Outcomes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is not purely hypothetical. In October 2025, DWP piloted nearly this mechanism at a small scale, working with Age UK and Independent Age to send letters to 2,000 pensioners identified through data analysis as likely eligible for Pension Credit but not currently claiming it (“Fresh Drive to Boost Pension Credit”). A similar campaign in London, built on Housing Benefit and council tax data, had already produced more than 4,200 successful Pension Credit claims (“Benefit Uptake Campaigns”). PBES would apply the same logic DWP is already testing at the scale Connect already operates.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scale of the problem justifies going further. Policy in Practice estimates that more than £24 billion in benefits and social tariffs goes unclaimed in Great Britain every year, including over £1.6 billion in Pension Credit missed by more than 760,000 eligible pensioners (“Missing Out 2025”). Government’s own figures show that even for a benefit as long-established as Pension Credit, only around two-thirds of eligible households actually claim it, and take-up is measurably lower among the oldest pensioners, who are often the most in need (“Income-Related Benefits”). Researchers consistently point to the same barriers: people do not know what they qualify for, application processes are complicated, and stigma discourages people from applying even when they meet every criterion. A matching system built on infrastructure the government already operates for Connect would sidestep the awareness barrier entirely, since it would not depend on the citizen finding the program first. Even a modest improvement in take-up would return real money to the households who need it most, largely through data agencies already lawfully hold rather than new spending on outreach campaigns.</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Potential Challenges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proposal inherits some of the same tensions that surround Connect. Citizens would need a genuine ability to opt out of proactive contact, and agencies would need new legal gateways to share eligibility data across departments the way Connect already shares tax data, a process reviews have flagged as slow-moving (“Missing Out 2025”). There is also a risk that a matching algorithm trained on existing claimant data could underperform for populations that interact with government systems less often, reproducing exactly the kind of gap it is meant to close. This risk falls hardest on the people PBES is meant to help: those with unstable addresses or thin records are hardest for an algorithm to find. Getting this right would require close collaboration between the technical team and caseworkers who understand the human side of benefit stigma, along with regular audits to confirm the system is reaching, rather than overlooking, the people who need it most.</w:t>
      </w:r>
    </w:p>
    <w:p>
      <w:pPr>
        <w:spacing w:after="80" w:before="200"/>
        <w:ind w:firstLine="0"/>
      </w:pPr>
      <w:r>
        <w:rPr>
          <w:rFonts w:ascii="Times New Roman" w:cs="Times New Roman" w:eastAsia="Times New Roman" w:hAnsi="Times New Roman"/>
          <w:b/>
          <w:bCs/>
          <w:i/>
          <w:iCs/>
          <w:color w:val="1B3A5C"/>
          <w:sz w:val="24"/>
          <w:szCs w:val="24"/>
        </w:rPr>
        <w:t xml:space="preserve">Table 2. Traditional Application Model vs. Proposed PBES Model</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9C7A29"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Feature</w:t>
            </w:r>
          </w:p>
        </w:tc>
        <w:tc>
          <w:tcPr>
            <w:tcW w:type="dxa" w:w="3420"/>
            <w:shd w:fill="9C7A29"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Traditional Application Model</w:t>
            </w:r>
          </w:p>
        </w:tc>
        <w:tc>
          <w:tcPr>
            <w:tcW w:type="dxa" w:w="3420"/>
            <w:shd w:fill="9C7A29"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Proposed PBES Model</w:t>
            </w:r>
          </w:p>
        </w:tc>
      </w:tr>
      <w:tr>
        <w:tc>
          <w:tcPr>
            <w:tcW w:type="dxa" w:w="240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Who initiates contact</w:t>
            </w:r>
          </w:p>
        </w:tc>
        <w:tc>
          <w:tcPr>
            <w:tcW w:type="dxa" w:w="342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Citizen must find and apply</w:t>
            </w:r>
          </w:p>
        </w:tc>
        <w:tc>
          <w:tcPr>
            <w:tcW w:type="dxa" w:w="342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Agency initiates contact after a data match</w:t>
            </w:r>
          </w:p>
        </w:tc>
      </w:tr>
      <w:tr>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Primary data used</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Self-reported application data</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Existing cross-agency records (income, property, caseload)</w:t>
            </w:r>
          </w:p>
        </w:tc>
      </w:tr>
      <w:tr>
        <w:tc>
          <w:tcPr>
            <w:tcW w:type="dxa" w:w="240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Main risk</w:t>
            </w:r>
          </w:p>
        </w:tc>
        <w:tc>
          <w:tcPr>
            <w:tcW w:type="dxa" w:w="342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Eligible people never apply (non-take-up)</w:t>
            </w:r>
          </w:p>
        </w:tc>
        <w:tc>
          <w:tcPr>
            <w:tcW w:type="dxa" w:w="3420"/>
            <w:shd w:fill="EAF0F6"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False match requiring caseworker correction</w:t>
            </w:r>
          </w:p>
        </w:tc>
      </w:tr>
      <w:tr>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Human role</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Reviews applications submitted</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Confirms eligibility before any contact or payment change</w:t>
            </w:r>
          </w:p>
        </w:tc>
      </w:tr>
    </w:tbl>
    <w:p>
      <w:pPr>
        <w:spacing w:after="150" w:before="300"/>
        <w:ind w:firstLine="0"/>
      </w:pPr>
      <w:r>
        <w:rPr>
          <w:rFonts w:ascii="Times New Roman" w:cs="Times New Roman" w:eastAsia="Times New Roman" w:hAnsi="Times New Roman"/>
          <w:b/>
          <w:bCs/>
          <w:color w:val="1B3A5C"/>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HMRC’s Connect system demonstrates both sides of AI’s promise for the public sector. Real revenue was recovered and investigators moved faster, but that efficiency depends on mass data collection and carries a genuine risk of false positives and diminished privacy. The lesson is not that AI should be avoided in public sector work, but that its underlying capability, matching disparate data at scale, is a tool that can be pointed at different goals. A Proactive Benefits Enrollment System would apply the exact mechanics that catch tax evaders to close the opposite gap: billions in support that eligible citizens never receive because no one told them they qualified. As governments continue expanding their use of AI, the more interesting question may not be whether to build these systems, but which direction to point them once they exist.</w:t>
      </w:r>
    </w:p>
    <w:p>
      <w:r>
        <w:br w:type="page"/>
      </w:r>
    </w:p>
    <w:p>
      <w:pPr>
        <w:spacing w:after="240"/>
        <w:ind w:firstLine="0"/>
        <w:jc w:val="center"/>
      </w:pPr>
      <w:r>
        <w:rPr>
          <w:rFonts w:ascii="Times New Roman" w:cs="Times New Roman" w:eastAsia="Times New Roman" w:hAnsi="Times New Roman"/>
          <w:b/>
          <w:bCs/>
          <w:color w:val="1B3A5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“Benefit Uptake Campaigns.”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London City Hall</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24 Oct. 2024, https://www.london.gov.uk/programmes-strategies/communities-and-social-justice/financial-hardship/benefit-uptake-campaigns.</w:t>
      </w:r>
    </w:p>
    <w:p>
      <w:pPr>
        <w:spacing w:after="200" w:line="480" w:lineRule="auto"/>
        <w:ind w:left="720" w:hanging="720"/>
      </w:pPr>
      <w:r>
        <w:rPr>
          <w:rFonts w:ascii="Times New Roman" w:cs="Times New Roman" w:eastAsia="Times New Roman" w:hAnsi="Times New Roman"/>
          <w:sz w:val="24"/>
          <w:szCs w:val="24"/>
        </w:rPr>
        <w:t xml:space="preserve">“‘Blade Runners’ Fell Ulez Cameras after Sadiq Khan’s Re-election.”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Yahoo News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May 2024, https://www.yahoo.com/news/blade-runners-fell-ulez-cameras-172908062.html.</w:t>
      </w:r>
    </w:p>
    <w:p>
      <w:pPr>
        <w:spacing w:after="200" w:line="480" w:lineRule="auto"/>
        <w:ind w:left="720" w:hanging="720"/>
      </w:pPr>
      <w:r>
        <w:rPr>
          <w:rFonts w:ascii="Times New Roman" w:cs="Times New Roman" w:eastAsia="Times New Roman" w:hAnsi="Times New Roman"/>
          <w:sz w:val="24"/>
          <w:szCs w:val="24"/>
        </w:rPr>
        <w:t xml:space="preserve">Department for Work and Pensions. </w:t>
      </w:r>
      <w:r>
        <w:rPr>
          <w:rFonts w:ascii="Times New Roman" w:cs="Times New Roman" w:eastAsia="Times New Roman" w:hAnsi="Times New Roman"/>
          <w:sz w:val="24"/>
          <w:szCs w:val="24"/>
        </w:rPr>
        <w:t xml:space="preserve">“Income-Related Benefits: Estimates of Take-Up: Financial Year 2019 to 2020.”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GOV.UK</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26 Oct. 2023, https://www.gov.uk/government/statistics/income-related-benefits-estimates-of-take-up-financial-year-2019-to-2020/income-related-benefits-estimates-of-take-up-financial-year-2019-to-2020.</w:t>
      </w:r>
    </w:p>
    <w:p>
      <w:pPr>
        <w:spacing w:after="200" w:line="480" w:lineRule="auto"/>
        <w:ind w:left="720" w:hanging="720"/>
      </w:pPr>
      <w:r>
        <w:rPr>
          <w:rFonts w:ascii="Times New Roman" w:cs="Times New Roman" w:eastAsia="Times New Roman" w:hAnsi="Times New Roman"/>
          <w:sz w:val="24"/>
          <w:szCs w:val="24"/>
        </w:rPr>
        <w:t xml:space="preserve">“Fresh Drive to Boost Pension Credit Take-Up as New Figures Reveal Large Regional Gaps in Those Receiving Benefit Worth around £4,300 a Year.”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GOV.UK</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30 Oct. 2025, https://www.gov.uk/government/news/fresh-drive-to-boost-pension-credit-take-up-as-new-figures-reveal-large-regional-gaps-in-those-receiving-benefit-worth-around-4300-a-year.</w:t>
      </w:r>
    </w:p>
    <w:p>
      <w:pPr>
        <w:spacing w:after="200" w:line="480" w:lineRule="auto"/>
        <w:ind w:left="720" w:hanging="720"/>
      </w:pPr>
      <w:r>
        <w:rPr>
          <w:rFonts w:ascii="Times New Roman" w:cs="Times New Roman" w:eastAsia="Times New Roman" w:hAnsi="Times New Roman"/>
          <w:sz w:val="24"/>
          <w:szCs w:val="24"/>
        </w:rPr>
        <w:t xml:space="preserve">“HMRC’s Connect Computer and Investigations.”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Taxation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14 July 2020, https://www.taxation.co.uk/articles/hmrc-s-connect-computer-and-investigations.</w:t>
      </w:r>
    </w:p>
    <w:p>
      <w:pPr>
        <w:spacing w:after="200" w:line="480" w:lineRule="auto"/>
        <w:ind w:left="720" w:hanging="720"/>
      </w:pPr>
      <w:r>
        <w:rPr>
          <w:rFonts w:ascii="Times New Roman" w:cs="Times New Roman" w:eastAsia="Times New Roman" w:hAnsi="Times New Roman"/>
          <w:sz w:val="24"/>
          <w:szCs w:val="24"/>
        </w:rPr>
        <w:t xml:space="preserve">“HMRC’s Use of AI in Social Media Tax Investigations.”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PANDR Computing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 Aug. 2025, https://www.pandr.uk/featured-article-hmrcs-ai-scans-tax-cheats-social-media/.</w:t>
      </w:r>
    </w:p>
    <w:p>
      <w:pPr>
        <w:spacing w:after="200" w:line="480" w:lineRule="auto"/>
        <w:ind w:left="720" w:hanging="720"/>
      </w:pPr>
      <w:r>
        <w:rPr>
          <w:rFonts w:ascii="Times New Roman" w:cs="Times New Roman" w:eastAsia="Times New Roman" w:hAnsi="Times New Roman"/>
          <w:sz w:val="24"/>
          <w:szCs w:val="24"/>
        </w:rPr>
        <w:t xml:space="preserve">Johnson, Nari, et al. </w:t>
      </w:r>
      <w:r>
        <w:rPr>
          <w:rFonts w:ascii="Times New Roman" w:cs="Times New Roman" w:eastAsia="Times New Roman" w:hAnsi="Times New Roman"/>
          <w:sz w:val="24"/>
          <w:szCs w:val="24"/>
        </w:rPr>
        <w:t xml:space="preserve">“Legacy Procurement Practices Shape How U.S. Cities Govern AI: Understanding Government Employees’ Practices, Challenges, and Needs.”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6 Nov. 2024, https://arxiv.org/abs/2411.04994.</w:t>
      </w:r>
    </w:p>
    <w:p>
      <w:pPr>
        <w:spacing w:after="200" w:line="480" w:lineRule="auto"/>
        <w:ind w:left="720" w:hanging="720"/>
      </w:pPr>
      <w:r>
        <w:rPr>
          <w:rFonts w:ascii="Times New Roman" w:cs="Times New Roman" w:eastAsia="Times New Roman" w:hAnsi="Times New Roman"/>
          <w:sz w:val="24"/>
          <w:szCs w:val="24"/>
        </w:rPr>
        <w:t xml:space="preserve">“London-Wide Ultra Low Emission Zone One Year Report.”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London City Hall</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12 Mar. 2025, https://www.london.gov.uk/programmes-strategies/environment-and-climate-change/environment-and-climate-change-publications/london-wide-ultra-low-emission-zone-one-year-report.</w:t>
      </w:r>
    </w:p>
    <w:p>
      <w:pPr>
        <w:spacing w:after="200" w:line="480" w:lineRule="auto"/>
        <w:ind w:left="720" w:hanging="720"/>
      </w:pPr>
      <w:r>
        <w:rPr>
          <w:rFonts w:ascii="Times New Roman" w:cs="Times New Roman" w:eastAsia="Times New Roman" w:hAnsi="Times New Roman"/>
          <w:sz w:val="24"/>
          <w:szCs w:val="24"/>
        </w:rPr>
        <w:t xml:space="preserve">“Orwell: Keeping an Eye On You (Game).”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Giant Bomb</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 https://giantbomb.com/wiki/Games/Orwell_Keeping_an_Eye_On_You.</w:t>
      </w:r>
    </w:p>
    <w:p>
      <w:pPr>
        <w:spacing w:after="200" w:line="480" w:lineRule="auto"/>
        <w:ind w:left="720" w:hanging="720"/>
      </w:pPr>
      <w:r>
        <w:rPr>
          <w:rFonts w:ascii="Times New Roman" w:cs="Times New Roman" w:eastAsia="Times New Roman" w:hAnsi="Times New Roman"/>
          <w:sz w:val="24"/>
          <w:szCs w:val="24"/>
        </w:rPr>
        <w:t xml:space="preserve">Policy in Practice. </w:t>
      </w:r>
      <w:r>
        <w:rPr>
          <w:rFonts w:ascii="Times New Roman" w:cs="Times New Roman" w:eastAsia="Times New Roman" w:hAnsi="Times New Roman"/>
          <w:sz w:val="24"/>
          <w:szCs w:val="24"/>
        </w:rPr>
        <w:t xml:space="preserve">“Missing Out 2025: £24 Billion of Support Is Unclaimed.”</w:t>
      </w:r>
      <w:r>
        <w:rPr>
          <w:rFonts w:ascii="Times New Roman" w:cs="Times New Roman" w:eastAsia="Times New Roman" w:hAnsi="Times New Roman"/>
          <w:sz w:val="24"/>
          <w:szCs w:val="24"/>
        </w:rPr>
        <w:t xml:space="preserve"> Sept. 2025, https://policyinpractice.co.uk/wp-content/uploads/2025/09/MO25-24bnUnclaimed-PolicyinPractice-Sept25.pdf.</w:t>
      </w:r>
    </w:p>
    <w:p>
      <w:pPr>
        <w:spacing w:after="200" w:line="480" w:lineRule="auto"/>
        <w:ind w:left="720" w:hanging="720"/>
      </w:pPr>
      <w:r>
        <w:rPr>
          <w:rFonts w:ascii="Times New Roman" w:cs="Times New Roman" w:eastAsia="Times New Roman" w:hAnsi="Times New Roman"/>
          <w:sz w:val="24"/>
          <w:szCs w:val="24"/>
        </w:rPr>
        <w:t xml:space="preserve">“Shadowy ‘Blade Runner’ Vandals Trash Cameras in Anti-ULEZ Backlash in London.”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ITV News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31 July 2023, https://www.itv.com/news/london/2023-07-31/shadowy-blade-runner-vandals-trash-cameras-in-anti-ulez-backlash.</w:t>
      </w:r>
    </w:p>
    <w:p>
      <w:pPr>
        <w:spacing w:after="200" w:line="480" w:lineRule="auto"/>
        <w:ind w:left="720" w:hanging="720"/>
      </w:pPr>
      <w:r>
        <w:rPr>
          <w:rFonts w:ascii="Times New Roman" w:cs="Times New Roman" w:eastAsia="Times New Roman" w:hAnsi="Times New Roman"/>
          <w:sz w:val="24"/>
          <w:szCs w:val="24"/>
        </w:rPr>
        <w:t xml:space="preserve">“UK: HMRC to Use AI from British Tech Firm to Spot Fraud and Tax Return Errors.”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IFC Review</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15 May 2026, https://www.ifcreview.com/news/2026/may/uk-hmrc-to-use-ai-from-british-tech-firm-to-spot-fraud-and-tax-return-errors/.</w:t>
      </w:r>
    </w:p>
    <w:p>
      <w:pPr>
        <w:spacing w:after="200" w:line="480" w:lineRule="auto"/>
        <w:ind w:left="720" w:hanging="720"/>
      </w:pPr>
      <w:r>
        <w:rPr>
          <w:rFonts w:ascii="Times New Roman" w:cs="Times New Roman" w:eastAsia="Times New Roman" w:hAnsi="Times New Roman"/>
          <w:sz w:val="24"/>
          <w:szCs w:val="24"/>
        </w:rPr>
        <w:t xml:space="preserve">“Ulez: Bill for Fixing Damaged Cameras Hits Staggering Amount after Vigilante Attacks.”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GB News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13 Nov. 2023, https://www.gbnews.com/news/ulez-bill-fixing-damaged-cameras-vigilante-attacks.</w:t>
      </w:r>
    </w:p>
    <w:p>
      <w:pPr>
        <w:spacing w:after="200" w:line="480" w:lineRule="auto"/>
        <w:ind w:left="720" w:hanging="720"/>
      </w:pPr>
      <w:r>
        <w:rPr>
          <w:rFonts w:ascii="Times New Roman" w:cs="Times New Roman" w:eastAsia="Times New Roman" w:hAnsi="Times New Roman"/>
          <w:sz w:val="24"/>
          <w:szCs w:val="24"/>
        </w:rPr>
        <w:t xml:space="preserve">“What Is HMRC’s Connect AI System?”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TaxAssist Accountants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Nov. 2025, https://www.taxassist.co.uk/resources/articles/what-is-hmrc-s-connect-ai-system.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2026-07-13T23:50:40.342Z</dcterms:created>
  <dcterms:modified xsi:type="dcterms:W3CDTF">2026-07-13T23:50:40.342Z</dcterms:modified>
</cp:coreProperties>
</file>

<file path=docProps/custom.xml><?xml version="1.0" encoding="utf-8"?>
<Properties xmlns="http://schemas.openxmlformats.org/officeDocument/2006/custom-properties" xmlns:vt="http://schemas.openxmlformats.org/officeDocument/2006/docPropsVTypes"/>
</file>