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E2761"/>
          <w:sz w:val="36"/>
          <w:szCs w:val="36"/>
        </w:rPr>
        <w:t xml:space="preserve">AI Advancements, Future Trends</w:t>
      </w:r>
    </w:p>
    <w:p>
      <w:pPr>
        <w:spacing w:after="400"/>
        <w:jc w:val="center"/>
      </w:pPr>
      <w:r>
        <w:rPr>
          <w:rFonts w:ascii="Times New Roman" w:cs="Times New Roman" w:eastAsia="Times New Roman" w:hAnsi="Times New Roman"/>
          <w:b/>
          <w:bCs/>
          <w:color w:val="0B7A94"/>
          <w:sz w:val="24"/>
          <w:szCs w:val="24"/>
        </w:rPr>
        <w:t xml:space="preserve">&amp; Regulatory Comparisons</w:t>
      </w:r>
    </w:p>
    <w:p>
      <w:pPr>
        <w:pBdr>
          <w:top w:val="single" w:color="0B7A94"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02, Assignment 02</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June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E2761"/>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report synthesizes core concepts from class discussion and assigned readings with independent research into three recent AI advancements, the diverging regulatory paths of the European Union and Australia, and three future trends regulators are not yet prepared for. This report argues that agentic AI's rapid move into everyday enterprise software has outpaced both the EU's mandatory, risk-tiered regulatory model and Australia's voluntary, principles-based one, and that the right path forward borrows from each: enforceable baseline rules for genuinely high-risk uses, paired with the flexibility needed to avoid locking in rules that could be obsolete within eighteen months.</w:t>
      </w:r>
    </w:p>
    <w:p>
      <w:pPr>
        <w:spacing w:after="150" w:before="300"/>
        <w:ind w:firstLine="0"/>
      </w:pPr>
      <w:r>
        <w:rPr>
          <w:rFonts w:ascii="Times New Roman" w:cs="Times New Roman" w:eastAsia="Times New Roman" w:hAnsi="Times New Roman"/>
          <w:b/>
          <w:bCs/>
          <w:color w:val="1E2761"/>
          <w:sz w:val="28"/>
          <w:szCs w:val="28"/>
        </w:rPr>
        <w:t xml:space="preserve">Key Vocabulary</w:t>
      </w:r>
    </w:p>
    <w:p>
      <w:pPr>
        <w:spacing w:after="15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These are the terms covered in class that ground the rest of this analysis.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6040"/>
      </w:tblGrid>
      <w:tr>
        <w:trPr>
          <w:tblHeader/>
        </w:trPr>
        <w:tc>
          <w:tcPr>
            <w:tcW w:type="dxa" w:w="3200"/>
            <w:shd w:fill="1E2761"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Term</w:t>
            </w:r>
          </w:p>
        </w:tc>
        <w:tc>
          <w:tcPr>
            <w:tcW w:type="dxa" w:w="6040"/>
            <w:shd w:fill="1E2761"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Definition</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Large Language Model (LLM)</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 deep learning model trained on massive text datasets capable of understanding, generating, and reasoning over natural language. Examples include GPT-5.5, Claude Opus 4.8, and Gemini 3.1 Pro.</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Artificial General Intelligence (AGI)</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 hypothetical AI system with human-level or beyond-human intelligence across all cognitive domains. As of June 2026, frontier models like Claude Opus 4.8 and GPT-5.5 are performing at expert level across coding, reasoning, and language tasks, fueling serious debate about when AGI will arrive rather than if.</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Agentic AI</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AI systems that operate autonomously to complete multi-step, goal-oriented tasks rather than responding to a single prompt, planning and executing sequences of actions such as searching the web, writing code, and sending emails.</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Sparse Attention</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An efficiency technique letting a model focus only on the most relevant parts of its context window rather than scanning everything, dramatically reducing compute costs per token.</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Multimodal AI</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AI that processes and generates multiple input and output types, including text, images, audio, and video, within one unified model rather than through separate tools.</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Hallucination</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When an AI model confidently generates factually incorrect information. GPT-5.5 achieved a 52.5 percent reduction in hallucinated claims compared to prior versions as of June 2026.</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Context Window</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The amount of text, measured in tokens, a model can process at once. Gemini 3.1 Pro holds 1 million tokens, enough to read an entire novel.</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EU AI Act</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The European Union's binding legislation classifying AI systems by risk level and mandating compliance, transparency, and safety measures. Full enforcement begins August 2, 2026.</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AI Safety Institute (AUS)</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Australia's advisory body, operational in early 2026 with $29.9M in funding, dedicated to monitoring AI risks and advising on responsible deployment without regulatory enforcement power.</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AI-Washing</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Making misleading claims about an AI system's actual capabilities. Australia's ACCC flagged this as a key enforcement concern in February 2026.</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Benchmark (SWE-bench)</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 standardized test for AI coding ability. Claude Opus 4.7 scored 87.6 percent on SWE-bench Verified, making it the strongest coding model available as of early 2026.</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Edge / On-Device AI</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Running AI models directly on local devices such as phones and sensors instead of the cloud, improving privacy, speed, and accessibility.</w:t>
            </w:r>
          </w:p>
        </w:tc>
      </w:tr>
      <w:tr>
        <w:tc>
          <w:tcPr>
            <w:tcW w:type="dxa" w:w="32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Smart City AI</w:t>
            </w:r>
          </w:p>
        </w:tc>
        <w:tc>
          <w:tcPr>
            <w:tcW w:type="dxa" w:w="60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The use of AI to optimize urban infrastructure, including traffic flow, energy grids, public safety, waste management, and city services, in real time.</w:t>
            </w:r>
          </w:p>
        </w:tc>
      </w:tr>
      <w:tr>
        <w:tc>
          <w:tcPr>
            <w:tcW w:type="dxa" w:w="320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AI in Space Exploration</w:t>
            </w:r>
          </w:p>
        </w:tc>
        <w:tc>
          <w:tcPr>
            <w:tcW w:type="dxa" w:w="604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Machine learning and autonomous AI applied to spacecraft navigation, planetary analysis, and astronomical discovery. NASA's Jet Propulsion Laboratory uses AI to analyze Mars rover data, and ESA employs AI for satellite anomaly detection and orbit optimization.</w:t>
            </w:r>
          </w:p>
        </w:tc>
      </w:tr>
    </w:tbl>
    <w:p>
      <w:pPr>
        <w:spacing w:after="150" w:before="300"/>
        <w:ind w:firstLine="0"/>
      </w:pPr>
      <w:r>
        <w:rPr>
          <w:rFonts w:ascii="Times New Roman" w:cs="Times New Roman" w:eastAsia="Times New Roman" w:hAnsi="Times New Roman"/>
          <w:b/>
          <w:bCs/>
          <w:color w:val="1E2761"/>
          <w:sz w:val="28"/>
          <w:szCs w:val="28"/>
        </w:rPr>
        <w:t xml:space="preserve">Three Recent AI Advancements</w:t>
      </w:r>
    </w:p>
    <w:p>
      <w:pPr>
        <w:spacing w:after="100" w:before="150"/>
        <w:ind w:firstLine="0"/>
      </w:pPr>
      <w:r>
        <w:rPr>
          <w:rFonts w:ascii="Times New Roman" w:cs="Times New Roman" w:eastAsia="Times New Roman" w:hAnsi="Times New Roman"/>
          <w:b/>
          <w:bCs/>
          <w:i/>
          <w:iCs/>
          <w:color w:val="000000"/>
          <w:sz w:val="24"/>
          <w:szCs w:val="24"/>
        </w:rPr>
        <w:t xml:space="preserve">Advancement 1: Agentic AI Becomes the Enterprise Standard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As of June 2026, agentic AI systems that plan and complete multi-step tasks autonomously have crossed from experimental curiosity into everyday enterprise software (“Top AI News for June 2026”). Companies including Zendesk and Salesforce are shipping AI agents that handle entire workflows, from lead qualification to customer support triage to code generation, with minimal human oversight. ZoomMate launched in June 2026 at twenty dollars per user per month, converting live conversations directly into presentations and spreadsheets with no human touch required, which is an agent, not a chatbot (Bonenkamp). This shift turns AI from a productivity tool into a workforce layer, which is exactly why regulators are scrambling: when AI makes consequential decisions autonomously, voluntary guidelines do not hold up much longer.</w:t>
      </w:r>
    </w:p>
    <w:p>
      <w:pPr>
        <w:spacing w:after="100" w:before="150"/>
        <w:ind w:firstLine="0"/>
      </w:pPr>
      <w:r>
        <w:rPr>
          <w:rFonts w:ascii="Times New Roman" w:cs="Times New Roman" w:eastAsia="Times New Roman" w:hAnsi="Times New Roman"/>
          <w:b/>
          <w:bCs/>
          <w:i/>
          <w:iCs/>
          <w:color w:val="000000"/>
          <w:sz w:val="24"/>
          <w:szCs w:val="24"/>
        </w:rPr>
        <w:t xml:space="preserve">Advancement 2: Sparse Attention Slashes AI Compute Costs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MiniMax launched the M3 model in June 2026, built on its proprietary MiniMax Sparse Attention (MSA) architecture (Bonenkamp). Instead of computing attention across every token, it selectively focuses on the most relevant parts of the context, cutting per-token compute to roughly one-twentieth of previous models while supporting a 1 million token context window, delivering nine times faster prefilling and fifteen times faster decoding for million-token contexts (Bonenkamp). Cheaper inference means AI becomes accessible to smaller organizations, developing nations, and edge devices, democratizing capability previously available only to a handful of large technology companies, and it directly enables the on-device AI future discussed later in this report.</w:t>
      </w:r>
    </w:p>
    <w:p>
      <w:pPr>
        <w:spacing w:after="100" w:before="150"/>
        <w:ind w:firstLine="0"/>
      </w:pPr>
      <w:r>
        <w:rPr>
          <w:rFonts w:ascii="Times New Roman" w:cs="Times New Roman" w:eastAsia="Times New Roman" w:hAnsi="Times New Roman"/>
          <w:b/>
          <w:bCs/>
          <w:i/>
          <w:iCs/>
          <w:color w:val="000000"/>
          <w:sz w:val="24"/>
          <w:szCs w:val="24"/>
        </w:rPr>
        <w:t xml:space="preserve">Advancement 3: The Frontier Model Race and the AGI Question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June 2026 is shaping up as one of the most competitive months in AI model history. Claude Opus 4.8, released May 28, 2026, leads the Artificial Analysis Intelligence Index at 61.4, edging out GPT-5.5 at 60.2, Gemini 3.1 Pro at 57.0, and Grok 4.3 at 53, with each model leading a different category: Opus 4.8 and GPT-5.5 lead in coding, Gemini 3.1 Pro leads in reasoning and data analysis, and GPT-5.5 leads in creative writing (“Grok vs ChatGPT”). GPT-5.5 also achieved a 52.5 percent reduction in hallucinated claims compared to its predecessor, a reliability improvement that directly affects whether AI can be trusted in high-stakes domains like healthcare and legal services (“Grok vs ChatGPT”).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frontier race is not only about benchmarks: many researchers now argue that systems achieving expert-level performance across coding, reasoning, scientific analysis, and creative tasks represent early-stage AGI capability, and OpenAI has stated internally that AGI may be achievable within years rather than decades (“AI Trends in 2026”). That raises a regulatory question neither Australia nor the EU has fully addressed: how do you regulate a system that may soon exceed the intelligence of the people writing the regulations? As frontier models grow more reliable and capable, the pressure on regulators intensifies. If AI can write code, negotiate contracts, and diagnose patients, existing voluntary frameworks become inadequate, which is the core tension between the EU and Australian regulatory approaches explored next.</w:t>
      </w:r>
    </w:p>
    <w:p>
      <w:pPr>
        <w:spacing w:after="150" w:before="300"/>
        <w:ind w:firstLine="0"/>
      </w:pPr>
      <w:r>
        <w:rPr>
          <w:rFonts w:ascii="Times New Roman" w:cs="Times New Roman" w:eastAsia="Times New Roman" w:hAnsi="Times New Roman"/>
          <w:b/>
          <w:bCs/>
          <w:color w:val="1E2761"/>
          <w:sz w:val="28"/>
          <w:szCs w:val="28"/>
        </w:rPr>
        <w:t xml:space="preserve">EU vs. Australia: Comparing Regulatory Approaches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fundamental difference between the EU and Australian approaches comes down to one contrast: the EU legislates first and adapts later, while Australia adapts and hopes legislation eventually follows. Neither approach is perfect, and in a world of agentic AI and frontier models pushing toward AGI, the difference matters enormously.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50"/>
        <w:gridCol w:w="3795"/>
        <w:gridCol w:w="3795"/>
      </w:tblGrid>
      <w:tr>
        <w:trPr>
          <w:tblHeader/>
        </w:trPr>
        <w:tc>
          <w:tcPr>
            <w:tcW w:type="dxa" w:w="1650"/>
            <w:shd w:fill="1E2761"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Dimension</w:t>
            </w:r>
          </w:p>
        </w:tc>
        <w:tc>
          <w:tcPr>
            <w:tcW w:type="dxa" w:w="3795"/>
            <w:shd w:fill="1E2761"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European Union (EU AI Act)</w:t>
            </w:r>
          </w:p>
        </w:tc>
        <w:tc>
          <w:tcPr>
            <w:tcW w:type="dxa" w:w="3795"/>
            <w:shd w:fill="1E2761"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Australia (National AI Plan)</w:t>
            </w:r>
          </w:p>
        </w:tc>
      </w:tr>
      <w:tr>
        <w:tc>
          <w:tcPr>
            <w:tcW w:type="dxa" w:w="165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Approach</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Mandatory, risk-based legislation across four tiers: Unacceptable Risk (banned), High-Risk (strict compliance), Limited Risk (transparency required), Minimal Risk (everything else)</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Voluntary, principles-based guidance built on existing laws (Privacy Act 1988, Consumer Law, Online Safety Act 2021); no standalone AI Act exists as of June 2026</w:t>
            </w:r>
          </w:p>
        </w:tc>
      </w:tr>
      <w:tr>
        <w:tc>
          <w:tcPr>
            <w:tcW w:type="dxa" w:w="165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Enforcement</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Dedicated EU AI Office; fines up to 35M euros or 7% of global annual turnover for prohibited AI; GDPR-linked penalties up to 20M euros</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Fragmented across OAIC (privacy), ASIC (financial services), and ACCC (consumer protection); ACCC doubled corporate penalties to $100M AUD for serious breaches in March 2026; no AI-specific fines exist</w:t>
            </w:r>
          </w:p>
        </w:tc>
      </w:tr>
      <w:tr>
        <w:tc>
          <w:tcPr>
            <w:tcW w:type="dxa" w:w="165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Prohibited Practices</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Social scoring, subliminal manipulation, real-time biometric ID in public spaces, workplace/school emotion recognition, non-consensual intimate content generation (from Dec. 2026)</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No explicit categorical bans through AI-specific law; addressed through discrimination law and the Online Safety Act instead; AI-washing flagged by the ACCC in 2026 through consumer law</w:t>
            </w:r>
          </w:p>
        </w:tc>
      </w:tr>
      <w:tr>
        <w:tc>
          <w:tcPr>
            <w:tcW w:type="dxa" w:w="165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2026 Development</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AI Act Omnibus reached political agreement May 7, 2026, extending compliance deadlines and narrowing scope; full enforcement begins August 2, 2026</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National AI Plan (Dec. 2025) chose voluntary framework over mandatory guardrails; AI Safety Institute operational with $29.9M in funding; copyright reform (Apr. 1, 2026) rejected an AI training exemption for a paid licensing model</w:t>
            </w:r>
          </w:p>
        </w:tc>
      </w:tr>
      <w:tr>
        <w:tc>
          <w:tcPr>
            <w:tcW w:type="dxa" w:w="165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Philosophical Stance</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Regulate now and adapt later. Innovation may slow due to compliance burden, though the Omnibus extended deadlines to ease this pressure; priority is rights protection and democratic accountability</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Innovate now and regulate when something clearly breaks, maximizing short-term flexibility though regulation may lag; Australia's Greens call this insufficient, and the Senate has flagged the need for more binding requirements</w:t>
            </w:r>
          </w:p>
        </w:tc>
      </w:tr>
      <w:tr>
        <w:tc>
          <w:tcPr>
            <w:tcW w:type="dxa" w:w="1650"/>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Strength</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Clear rules with real enforcement teeth; sets a global regulatory template</w:t>
            </w:r>
          </w:p>
        </w:tc>
        <w:tc>
          <w:tcPr>
            <w:tcW w:type="dxa" w:w="3795"/>
            <w:shd w:fill="ECEAF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Agile, lower compliance burden, lets industry innovate while government studies what needs regulating; AI Safety Institute provides technical analysis without regulatory red tape</w:t>
            </w:r>
          </w:p>
        </w:tc>
      </w:tr>
      <w:tr>
        <w:tc>
          <w:tcPr>
            <w:tcW w:type="dxa" w:w="165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Weakness</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Heavy compliance burden risks slowing startups and SMEs</w:t>
            </w:r>
          </w:p>
        </w:tc>
        <w:tc>
          <w:tcPr>
            <w:tcW w:type="dxa" w:w="3795"/>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Fragmented accountability; unclear which agency handles harm when it occurs; public trust in AI in Australia remains low per OECD data</w:t>
            </w:r>
          </w:p>
        </w:tc>
      </w:tr>
    </w:tbl>
    <w:p>
      <w:pPr>
        <w:spacing w:after="200" w:before="80"/>
        <w:ind w:firstLine="0"/>
      </w:pPr>
      <w:r>
        <w:rPr>
          <w:rFonts w:ascii="Times New Roman" w:cs="Times New Roman" w:eastAsia="Times New Roman" w:hAnsi="Times New Roman"/>
          <w:i/>
          <w:iCs/>
          <w:color w:val="595959"/>
          <w:sz w:val="20"/>
          <w:szCs w:val="20"/>
        </w:rPr>
        <w:t xml:space="preserve">Source: compiled from “Current Legal Landscape for AI in Australia,” “AI Regulation in Australia 2026,” and Ramesh.</w:t>
      </w:r>
    </w:p>
    <w:p>
      <w:pPr>
        <w:spacing w:after="200" w:before="10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Neither approach is objectively correct, since the right answer depends on what is being optimized for. The EU's model correctly recognizes that AI operating at scale in high-stakes environments such as hiring, healthcare, credit, and law enforcement requires enforceable rules, since companies do not voluntarily limit their systems' capabilities unless legally required to (“EU AI Act 2026 Updates”). Australia's flexible model is genuinely useful while technology evolves faster than legislatures can fully understand, since locking in rigid rules around a specific architecture risks making the regulation obsolete within eighteen months (“How Australia’s AI Regulation Compares”). The ideal model likely sits between the two: Australia needs mandatory baseline standards for high-risk uses in employment, healthcare, and finance, while the EU should keep simplifying compliance for low-risk systems and smaller players, a lesson the AI Act Omnibus's May 2026 deadline extensions suggest even Brussels is starting to learn (Latham &amp; Watkins).</w:t>
      </w:r>
    </w:p>
    <w:p>
      <w:pPr>
        <w:spacing w:after="150" w:before="300"/>
        <w:ind w:firstLine="0"/>
      </w:pPr>
      <w:r>
        <w:rPr>
          <w:rFonts w:ascii="Times New Roman" w:cs="Times New Roman" w:eastAsia="Times New Roman" w:hAnsi="Times New Roman"/>
          <w:b/>
          <w:bCs/>
          <w:color w:val="1E2761"/>
          <w:sz w:val="28"/>
          <w:szCs w:val="28"/>
        </w:rPr>
        <w:t xml:space="preserve">Future Trends and Why Regulators Should Pay Attention</w:t>
      </w:r>
    </w:p>
    <w:p>
      <w:pPr>
        <w:spacing w:after="100" w:before="150"/>
        <w:ind w:firstLine="0"/>
      </w:pPr>
      <w:r>
        <w:rPr>
          <w:rFonts w:ascii="Times New Roman" w:cs="Times New Roman" w:eastAsia="Times New Roman" w:hAnsi="Times New Roman"/>
          <w:b/>
          <w:bCs/>
          <w:i/>
          <w:iCs/>
          <w:color w:val="000000"/>
          <w:sz w:val="24"/>
          <w:szCs w:val="24"/>
        </w:rPr>
        <w:t xml:space="preserve">Trend 1: AI-Governed Smart Cities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AI-managed urban infrastructure is shifting from pilot project to mainstream deployment. AI currently manages traffic signals in cities like Singapore and Los Angeles, predicts power demand, monitors air quality, and routes emergency services based on live traffic data (“AI Trends in 2026”). SoftBank and Sesterce launched a major AI data center in France in June 2026 specifically to support smart city and IoT infrastructure across Europe (“Top AI News for June 2026”).</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regulatory tension is direct: under the EU AI Act, many of these functions fall into the high-risk category requiring conformity assessments and human oversight, while Australia's voluntary framework provides no specific guardrails for smart city AI at all, a gap that will become critical as Australian cities, especially Sydney and Melbourne, pursue smart city upgrades over the next five years. Municipalities need clear liability rules: if an AI-managed traffic system causes an accident, who is legally responsible? Biometric surveillance embedded in smart city infrastructure directly conflicts with EU AI Act bans on real-time biometric identification in public spaces, and Australia's upcoming Privacy Act automated decision-making rules, arriving in December 2026, will be a first small step, though they cover only data transparency rather than safety outcomes.</w:t>
      </w:r>
    </w:p>
    <w:p>
      <w:pPr>
        <w:spacing w:after="100" w:before="150"/>
        <w:ind w:firstLine="0"/>
      </w:pPr>
      <w:r>
        <w:rPr>
          <w:rFonts w:ascii="Times New Roman" w:cs="Times New Roman" w:eastAsia="Times New Roman" w:hAnsi="Times New Roman"/>
          <w:b/>
          <w:bCs/>
          <w:i/>
          <w:iCs/>
          <w:color w:val="000000"/>
          <w:sz w:val="24"/>
          <w:szCs w:val="24"/>
        </w:rPr>
        <w:t xml:space="preserve">Trend 2: On-Device (Edge) AI Goes Mainstream</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Through most of AI's development, powerful models required cloud servers: data traveled to a data center, got processed, and came back. That model is changing. Advances in efficient model design, including sparse attention architectures paired with next-generation chips from Nvidia and Intel, mean AI models powerful enough for real-time translation, predictive health monitoring, and personalized learning can now run directly on a phone, laptop, or industrial sensor without cloud connectivity (Snigdha). Intel's Xeon 6+ delivered a 9:1 server consolidation ratio in June 2026, dramatically reducing the data center footprint needed for enterprise AI deployment.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On-device AI improves privacy since data never leaves the device, reduces latency, and works offline, which matters for healthcare in remote areas, factory floor automation, and accessibility tools. It also raises a question neither the EU nor Australia has answered: if AI runs locally with no cloud trail, how does a regulator audit it for bias or compliance? Both jurisdictions will need to rethink audit and accountability frameworks designed for cloud-based AI, since they do not map cleanly onto edge AI. On-device AI also enables AI to reach populations currently excluded, including rural communities, developing economies, and users with limited connectivity, directly democratizing AI, and democratized AI means broader societal impact, which in turn means broader regulatory responsibility.</w:t>
      </w:r>
    </w:p>
    <w:p>
      <w:pPr>
        <w:spacing w:after="100" w:before="150"/>
        <w:ind w:firstLine="0"/>
      </w:pPr>
      <w:r>
        <w:rPr>
          <w:rFonts w:ascii="Times New Roman" w:cs="Times New Roman" w:eastAsia="Times New Roman" w:hAnsi="Times New Roman"/>
          <w:b/>
          <w:bCs/>
          <w:i/>
          <w:iCs/>
          <w:color w:val="000000"/>
          <w:sz w:val="24"/>
          <w:szCs w:val="24"/>
        </w:rPr>
        <w:t xml:space="preserve">Trend 3: AI in Space Exploration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Space exploration is one of the most demanding proving grounds for agentic AI, and one that operates almost entirely outside current regulatory frameworks. NASA's Jet Propulsion Laboratory uses machine learning to analyze Mars rover data at a pace no human team could match, and the James Webb Space Telescope generates imaging data daily that AI systems filter and classify for meaningful discoveries (NASA Jet Propulsion Laboratory). Autonomous spacecraft that must make decisions without waiting for Earth communication, which can take up to twenty-four minutes one way at Mars distances, represent one of the most demanding real-world tests of agentic systems; SpaceX uses AI for autonomous rocket landing and trajectory optimization, and ESA employs AI for satellite anomaly detection and orbit management, production systems operating where failure has no backup plan, not research demos.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Space AI sits in a regulatory no-man's land. The EU AI Act applies to systems deployed in EU territory or affecting EU citizens, raising interesting questions about orbital satellites, and Australia has no AI-specific framework addressing space systems at all. The same agentic AI systems being deployed in enterprise software are being refined in space contexts where the stakes of failure are absolute, and AI-driven telescopes and rovers are accelerating scientific discovery in planetary science, exoplanet detection, and cosmology at a pace no human-only team could sustain. The absence of any AI regulation covering space systems is not an oversight; it reflects how far regulation has to travel to keep up with where the technology actually operates, and as commercial space activity accelerates, both regulators and international bodies like the UN Committee on the Peaceful Uses of Outer Space will need to address accountability for autonomous systems operating beyond any nation's jurisdiction.</w:t>
      </w:r>
    </w:p>
    <w:p>
      <w:pPr>
        <w:spacing w:after="150" w:before="300"/>
        <w:ind w:firstLine="0"/>
      </w:pPr>
      <w:r>
        <w:rPr>
          <w:rFonts w:ascii="Times New Roman" w:cs="Times New Roman" w:eastAsia="Times New Roman" w:hAnsi="Times New Roman"/>
          <w:b/>
          <w:bCs/>
          <w:color w:val="1E2761"/>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June 2026 shows an AI industry moving faster than either regulatory model built to govern it. Agentic AI, cheaper inference through sparse attention, and a frontier model race edging toward AGI are each, on their own, reasons for regulators to act with more urgency than either the EU's compliance-heavy legislation or Australia's voluntary guidance currently provides. Smart cities, edge AI, and space exploration each expose a further regulatory blind spot that neither jurisdiction has closed. The lesson from comparing the two is not that one model has won, but that effective AI governance will likely need to borrow enforceable baseline rules from the EU and adaptive flexibility from Australia at the same time.</w:t>
      </w:r>
    </w:p>
    <w:p>
      <w:r>
        <w:br w:type="page"/>
      </w:r>
    </w:p>
    <w:p>
      <w:pPr>
        <w:spacing w:after="240"/>
        <w:ind w:firstLine="0"/>
        <w:jc w:val="center"/>
      </w:pPr>
      <w:r>
        <w:rPr>
          <w:rFonts w:ascii="Times New Roman" w:cs="Times New Roman" w:eastAsia="Times New Roman" w:hAnsi="Times New Roman"/>
          <w:b/>
          <w:bCs/>
          <w:color w:val="1E2761"/>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“AI Regulation in Australia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Inspirepreneur Magazine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 Apr. 2026,</w:t>
      </w:r>
      <w:r>
        <w:rPr>
          <w:rFonts w:ascii="Times New Roman" w:cs="Times New Roman" w:eastAsia="Times New Roman" w:hAnsi="Times New Roman"/>
          <w:sz w:val="24"/>
          <w:szCs w:val="24"/>
        </w:rPr>
        <w:t xml:space="preserve"> https://inspirepreneurmagazine.com/technology/ai-regulation-australia-2026/.</w:t>
      </w:r>
    </w:p>
    <w:p>
      <w:pPr>
        <w:spacing w:after="200" w:line="480" w:lineRule="auto"/>
        <w:ind w:left="720" w:hanging="720"/>
      </w:pPr>
      <w:r>
        <w:rPr>
          <w:rFonts w:ascii="Times New Roman" w:cs="Times New Roman" w:eastAsia="Times New Roman" w:hAnsi="Times New Roman"/>
          <w:sz w:val="24"/>
          <w:szCs w:val="24"/>
        </w:rPr>
        <w:t xml:space="preserve">“AI Trends in 2026: Advancements and Breakthroughs Ahead.”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Trigyn Technologies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13 Jan. 2026,</w:t>
      </w:r>
      <w:r>
        <w:rPr>
          <w:rFonts w:ascii="Times New Roman" w:cs="Times New Roman" w:eastAsia="Times New Roman" w:hAnsi="Times New Roman"/>
          <w:sz w:val="24"/>
          <w:szCs w:val="24"/>
        </w:rPr>
        <w:t xml:space="preserve"> https://www.trigyn.com/insights/ai-trends-2026-new-era-ai-advancements-and-breakthroughs.</w:t>
      </w:r>
    </w:p>
    <w:p>
      <w:pPr>
        <w:spacing w:after="200" w:line="480" w:lineRule="auto"/>
        <w:ind w:left="720" w:hanging="720"/>
      </w:pPr>
      <w:r>
        <w:rPr>
          <w:rFonts w:ascii="Times New Roman" w:cs="Times New Roman" w:eastAsia="Times New Roman" w:hAnsi="Times New Roman"/>
          <w:sz w:val="24"/>
          <w:szCs w:val="24"/>
        </w:rPr>
        <w:t xml:space="preserve">Bonenkamp, V. </w:t>
      </w:r>
      <w:r>
        <w:rPr>
          <w:rFonts w:ascii="Times New Roman" w:cs="Times New Roman" w:eastAsia="Times New Roman" w:hAnsi="Times New Roman"/>
          <w:sz w:val="24"/>
          <w:szCs w:val="24"/>
        </w:rPr>
        <w:t xml:space="preserve">“Latest AI Advancements News, June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MEAN CEO Blog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June 2026,</w:t>
      </w:r>
      <w:r>
        <w:rPr>
          <w:rFonts w:ascii="Times New Roman" w:cs="Times New Roman" w:eastAsia="Times New Roman" w:hAnsi="Times New Roman"/>
          <w:sz w:val="24"/>
          <w:szCs w:val="24"/>
        </w:rPr>
        <w:t xml:space="preserve"> https://blog.mean.ceo/latest-ai-advancements-news-june-2026/.</w:t>
      </w:r>
    </w:p>
    <w:p>
      <w:pPr>
        <w:spacing w:after="200" w:line="480" w:lineRule="auto"/>
        <w:ind w:left="720" w:hanging="720"/>
      </w:pPr>
      <w:r>
        <w:rPr>
          <w:rFonts w:ascii="Times New Roman" w:cs="Times New Roman" w:eastAsia="Times New Roman" w:hAnsi="Times New Roman"/>
          <w:sz w:val="24"/>
          <w:szCs w:val="24"/>
        </w:rPr>
        <w:t xml:space="preserve">“Current Legal Landscape for AI in Australia.”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SafeAI-Aus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15 Apr. 2026,</w:t>
      </w:r>
      <w:r>
        <w:rPr>
          <w:rFonts w:ascii="Times New Roman" w:cs="Times New Roman" w:eastAsia="Times New Roman" w:hAnsi="Times New Roman"/>
          <w:sz w:val="24"/>
          <w:szCs w:val="24"/>
        </w:rPr>
        <w:t xml:space="preserve"> https://safeaiaus.org/safety-standards/ai-australian-legislation/.</w:t>
      </w:r>
    </w:p>
    <w:p>
      <w:pPr>
        <w:spacing w:after="200" w:line="480" w:lineRule="auto"/>
        <w:ind w:left="720" w:hanging="720"/>
      </w:pPr>
      <w:r>
        <w:rPr>
          <w:rFonts w:ascii="Times New Roman" w:cs="Times New Roman" w:eastAsia="Times New Roman" w:hAnsi="Times New Roman"/>
          <w:sz w:val="24"/>
          <w:szCs w:val="24"/>
        </w:rPr>
        <w:t xml:space="preserve">“EU AI Act 2026 Updates: Compliance Requirements and Business Risks.”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LegalNodes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 Apr. 2026,</w:t>
      </w:r>
      <w:r>
        <w:rPr>
          <w:rFonts w:ascii="Times New Roman" w:cs="Times New Roman" w:eastAsia="Times New Roman" w:hAnsi="Times New Roman"/>
          <w:sz w:val="24"/>
          <w:szCs w:val="24"/>
        </w:rPr>
        <w:t xml:space="preserve"> https://www.legalnodes.com/article/eu-ai-act-2026-updates-compliance-requirements-and-business-risks.</w:t>
      </w:r>
    </w:p>
    <w:p>
      <w:pPr>
        <w:spacing w:after="200" w:line="480" w:lineRule="auto"/>
        <w:ind w:left="720" w:hanging="720"/>
      </w:pPr>
      <w:r>
        <w:rPr>
          <w:rFonts w:ascii="Times New Roman" w:cs="Times New Roman" w:eastAsia="Times New Roman" w:hAnsi="Times New Roman"/>
          <w:sz w:val="24"/>
          <w:szCs w:val="24"/>
        </w:rPr>
        <w:t xml:space="preserve">“Grok vs ChatGPT vs Gemini vs Claude: 2026 Comparison.”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Albato Blog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June 2026,</w:t>
      </w:r>
      <w:r>
        <w:rPr>
          <w:rFonts w:ascii="Times New Roman" w:cs="Times New Roman" w:eastAsia="Times New Roman" w:hAnsi="Times New Roman"/>
          <w:sz w:val="24"/>
          <w:szCs w:val="24"/>
        </w:rPr>
        <w:t xml:space="preserve"> https://albato.com/blog/publications/grok-chatgpt-gemini-claude-overview.</w:t>
      </w:r>
    </w:p>
    <w:p>
      <w:pPr>
        <w:spacing w:after="200" w:line="480" w:lineRule="auto"/>
        <w:ind w:left="720" w:hanging="720"/>
      </w:pPr>
      <w:r>
        <w:rPr>
          <w:rFonts w:ascii="Times New Roman" w:cs="Times New Roman" w:eastAsia="Times New Roman" w:hAnsi="Times New Roman"/>
          <w:sz w:val="24"/>
          <w:szCs w:val="24"/>
        </w:rPr>
        <w:t xml:space="preserve">“How Australia’s AI Regulation Compares to the EU AI Act, US Approach, and Other International Frameworks.”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SoftwareSeni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 Jan. 2026,</w:t>
      </w:r>
      <w:r>
        <w:rPr>
          <w:rFonts w:ascii="Times New Roman" w:cs="Times New Roman" w:eastAsia="Times New Roman" w:hAnsi="Times New Roman"/>
          <w:sz w:val="24"/>
          <w:szCs w:val="24"/>
        </w:rPr>
        <w:t xml:space="preserve"> https://www.softwareseni.com/how-australias-ai-regulation-compares/.</w:t>
      </w:r>
    </w:p>
    <w:p>
      <w:pPr>
        <w:spacing w:after="200" w:line="480" w:lineRule="auto"/>
        <w:ind w:left="720" w:hanging="720"/>
      </w:pPr>
      <w:r>
        <w:rPr>
          <w:rFonts w:ascii="Times New Roman" w:cs="Times New Roman" w:eastAsia="Times New Roman" w:hAnsi="Times New Roman"/>
          <w:sz w:val="24"/>
          <w:szCs w:val="24"/>
        </w:rPr>
        <w:t xml:space="preserve">Latham &amp; Watkins. </w:t>
      </w:r>
      <w:r>
        <w:rPr>
          <w:rFonts w:ascii="Times New Roman" w:cs="Times New Roman" w:eastAsia="Times New Roman" w:hAnsi="Times New Roman"/>
          <w:sz w:val="24"/>
          <w:szCs w:val="24"/>
        </w:rPr>
        <w:t xml:space="preserve">“AI Act Update: EU Resolves to Change Rules and Extend Deadlines.”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Inside Privacy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14 May 2026,</w:t>
      </w:r>
      <w:r>
        <w:rPr>
          <w:rFonts w:ascii="Times New Roman" w:cs="Times New Roman" w:eastAsia="Times New Roman" w:hAnsi="Times New Roman"/>
          <w:sz w:val="24"/>
          <w:szCs w:val="24"/>
        </w:rPr>
        <w:t xml:space="preserve"> https://www.insideprivacy.com/artificial-intelligence/eu-ai-act-update-timeline-relief/.</w:t>
      </w:r>
    </w:p>
    <w:p>
      <w:pPr>
        <w:spacing w:after="200" w:line="480" w:lineRule="auto"/>
        <w:ind w:left="720" w:hanging="720"/>
      </w:pPr>
      <w:r>
        <w:rPr>
          <w:rFonts w:ascii="Times New Roman" w:cs="Times New Roman" w:eastAsia="Times New Roman" w:hAnsi="Times New Roman"/>
          <w:sz w:val="24"/>
          <w:szCs w:val="24"/>
        </w:rPr>
        <w:t xml:space="preserve">NASA Jet Propulsion Laboratory. </w:t>
      </w:r>
      <w:r>
        <w:rPr>
          <w:rFonts w:ascii="Times New Roman" w:cs="Times New Roman" w:eastAsia="Times New Roman" w:hAnsi="Times New Roman"/>
          <w:sz w:val="24"/>
          <w:szCs w:val="24"/>
        </w:rPr>
        <w:t xml:space="preserve">“AI and Machine Learning at JPL.”</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https://www.jpl.nasa.gov/.</w:t>
      </w:r>
    </w:p>
    <w:p>
      <w:pPr>
        <w:spacing w:after="200" w:line="480" w:lineRule="auto"/>
        <w:ind w:left="720" w:hanging="720"/>
      </w:pPr>
      <w:r>
        <w:rPr>
          <w:rFonts w:ascii="Times New Roman" w:cs="Times New Roman" w:eastAsia="Times New Roman" w:hAnsi="Times New Roman"/>
          <w:sz w:val="24"/>
          <w:szCs w:val="24"/>
        </w:rPr>
        <w:t xml:space="preserve">Ramesh, R. </w:t>
      </w:r>
      <w:r>
        <w:rPr>
          <w:rFonts w:ascii="Times New Roman" w:cs="Times New Roman" w:eastAsia="Times New Roman" w:hAnsi="Times New Roman"/>
          <w:sz w:val="24"/>
          <w:szCs w:val="24"/>
        </w:rPr>
        <w:t xml:space="preserve">“Australia Abandons Proposed Mandatory AI Rules in New Plan.”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BankInfoSecurity Asia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 Dec. 2025,</w:t>
      </w:r>
      <w:r>
        <w:rPr>
          <w:rFonts w:ascii="Times New Roman" w:cs="Times New Roman" w:eastAsia="Times New Roman" w:hAnsi="Times New Roman"/>
          <w:sz w:val="24"/>
          <w:szCs w:val="24"/>
        </w:rPr>
        <w:t xml:space="preserve"> https://www.bankinfosecurity.asia/blogs/australia-abandons-proposed-mandatory-ai-rules-in-new-plan-p-3986.</w:t>
      </w:r>
    </w:p>
    <w:p>
      <w:pPr>
        <w:spacing w:after="200" w:line="480" w:lineRule="auto"/>
        <w:ind w:left="720" w:hanging="720"/>
      </w:pPr>
      <w:r>
        <w:rPr>
          <w:rFonts w:ascii="Times New Roman" w:cs="Times New Roman" w:eastAsia="Times New Roman" w:hAnsi="Times New Roman"/>
          <w:sz w:val="24"/>
          <w:szCs w:val="24"/>
        </w:rPr>
        <w:t xml:space="preserve">Snigdha. </w:t>
      </w:r>
      <w:r>
        <w:rPr>
          <w:rFonts w:ascii="Times New Roman" w:cs="Times New Roman" w:eastAsia="Times New Roman" w:hAnsi="Times New Roman"/>
          <w:sz w:val="24"/>
          <w:szCs w:val="24"/>
        </w:rPr>
        <w:t xml:space="preserve">“Unveiling the Future: Exploring Next-Generation LLM Architectures.”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AppyPie Blog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Sept. 2023,</w:t>
      </w:r>
      <w:r>
        <w:rPr>
          <w:rFonts w:ascii="Times New Roman" w:cs="Times New Roman" w:eastAsia="Times New Roman" w:hAnsi="Times New Roman"/>
          <w:sz w:val="24"/>
          <w:szCs w:val="24"/>
        </w:rPr>
        <w:t xml:space="preserve"> https://appypie.com/blog/next-generation-llms.</w:t>
      </w:r>
    </w:p>
    <w:p>
      <w:pPr>
        <w:spacing w:after="200" w:line="480" w:lineRule="auto"/>
        <w:ind w:left="720" w:hanging="720"/>
      </w:pPr>
      <w:r>
        <w:rPr>
          <w:rFonts w:ascii="Times New Roman" w:cs="Times New Roman" w:eastAsia="Times New Roman" w:hAnsi="Times New Roman"/>
          <w:sz w:val="24"/>
          <w:szCs w:val="24"/>
        </w:rPr>
        <w:t xml:space="preserve">“Top AI News for June 2026: Breakthroughs, Launches and Trends You Can’t Miss.”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AIapps.com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 June 2026,</w:t>
      </w:r>
      <w:r>
        <w:rPr>
          <w:rFonts w:ascii="Times New Roman" w:cs="Times New Roman" w:eastAsia="Times New Roman" w:hAnsi="Times New Roman"/>
          <w:sz w:val="24"/>
          <w:szCs w:val="24"/>
        </w:rPr>
        <w:t xml:space="preserve"> https://www.aiapps.com/blog/ai-news-breakthroughs-launches-trends-must-read/.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2026-07-24T03:42:43.521Z</dcterms:created>
  <dcterms:modified xsi:type="dcterms:W3CDTF">2026-07-24T03:42:43.536Z</dcterms:modified>
</cp:coreProperties>
</file>

<file path=docProps/custom.xml><?xml version="1.0" encoding="utf-8"?>
<Properties xmlns="http://schemas.openxmlformats.org/officeDocument/2006/custom-properties" xmlns:vt="http://schemas.openxmlformats.org/officeDocument/2006/docPropsVTypes"/>
</file>