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300"/>
        <w:jc w:val="center"/>
      </w:pPr>
      <w:r>
        <w:rPr>
          <w:rFonts w:ascii="Times New Roman" w:cs="Times New Roman" w:eastAsia="Times New Roman" w:hAnsi="Times New Roman"/>
          <w:b/>
          <w:bCs/>
          <w:color w:val="1B5E3C"/>
          <w:sz w:val="36"/>
          <w:szCs w:val="36"/>
        </w:rPr>
        <w:t xml:space="preserve">AI Use Cases in Healthcare &amp; Agriculture</w:t>
      </w:r>
    </w:p>
    <w:p>
      <w:pPr>
        <w:pBdr>
          <w:top w:val="single" w:color="8A6D1E" w:sz="12"/>
        </w:pBdr>
        <w:spacing w:after="100"/>
        <w:jc w:val="center"/>
      </w:pPr>
    </w:p>
    <w:p>
      <w:pPr>
        <w:spacing w:after="900"/>
      </w:pPr>
    </w:p>
    <w:p>
      <w:pPr>
        <w:spacing w:after="120"/>
        <w:jc w:val="center"/>
      </w:pPr>
      <w:r>
        <w:rPr>
          <w:rFonts w:ascii="Times New Roman" w:cs="Times New Roman" w:eastAsia="Times New Roman" w:hAnsi="Times New Roman"/>
          <w:b/>
          <w:bCs/>
          <w:color w:val="000000"/>
          <w:sz w:val="28"/>
          <w:szCs w:val="28"/>
        </w:rPr>
        <w:t xml:space="preserve">Francisco Medina</w:t>
      </w:r>
    </w:p>
    <w:p>
      <w:pPr>
        <w:spacing w:after="60"/>
        <w:jc w:val="center"/>
      </w:pPr>
      <w:r>
        <w:rPr>
          <w:rFonts w:ascii="Times New Roman" w:cs="Times New Roman" w:eastAsia="Times New Roman" w:hAnsi="Times New Roman"/>
          <w:color w:val="595959"/>
          <w:sz w:val="24"/>
          <w:szCs w:val="24"/>
        </w:rPr>
        <w:t xml:space="preserve">ITAI 2372: Artificial Intelligence Applications</w:t>
      </w:r>
    </w:p>
    <w:p>
      <w:pPr>
        <w:spacing w:after="60"/>
        <w:jc w:val="center"/>
      </w:pPr>
      <w:r>
        <w:rPr>
          <w:rFonts w:ascii="Times New Roman" w:cs="Times New Roman" w:eastAsia="Times New Roman" w:hAnsi="Times New Roman"/>
          <w:color w:val="595959"/>
          <w:sz w:val="24"/>
          <w:szCs w:val="24"/>
        </w:rPr>
        <w:t xml:space="preserve">Module 03, Assignment 03</w:t>
      </w:r>
    </w:p>
    <w:p>
      <w:pPr>
        <w:spacing w:after="60"/>
        <w:jc w:val="center"/>
      </w:pPr>
      <w:r>
        <w:rPr>
          <w:rFonts w:ascii="Times New Roman" w:cs="Times New Roman" w:eastAsia="Times New Roman" w:hAnsi="Times New Roman"/>
          <w:color w:val="595959"/>
          <w:sz w:val="24"/>
          <w:szCs w:val="24"/>
        </w:rPr>
        <w:t xml:space="preserve">Professor Sridhar Ganti</w:t>
      </w:r>
    </w:p>
    <w:p>
      <w:pPr>
        <w:spacing w:after="60"/>
        <w:jc w:val="center"/>
      </w:pPr>
      <w:r>
        <w:rPr>
          <w:rFonts w:ascii="Times New Roman" w:cs="Times New Roman" w:eastAsia="Times New Roman" w:hAnsi="Times New Roman"/>
          <w:color w:val="595959"/>
          <w:sz w:val="24"/>
          <w:szCs w:val="24"/>
        </w:rPr>
        <w:t xml:space="preserve">Houston Community College</w:t>
      </w:r>
    </w:p>
    <w:p>
      <w:pPr>
        <w:spacing w:after="900"/>
        <w:jc w:val="center"/>
      </w:pPr>
      <w:r>
        <w:rPr>
          <w:rFonts w:ascii="Times New Roman" w:cs="Times New Roman" w:eastAsia="Times New Roman" w:hAnsi="Times New Roman"/>
          <w:color w:val="595959"/>
          <w:sz w:val="24"/>
          <w:szCs w:val="24"/>
        </w:rPr>
        <w:t xml:space="preserve">June 2026</w:t>
      </w:r>
    </w:p>
    <w:p>
      <w:pPr>
        <w:pBdr>
          <w:top w:val="single" w:color="BFBFBF" w:sz="4"/>
        </w:pBdr>
        <w:spacing w:after="0" w:before="1200"/>
        <w:ind w:left="900" w:right="900"/>
        <w:jc w:val="center"/>
      </w:pPr>
      <w:r>
        <w:rPr>
          <w:rFonts w:ascii="Times New Roman" w:cs="Times New Roman" w:eastAsia="Times New Roman" w:hAnsi="Times New Roman"/>
          <w:i/>
          <w:iCs/>
          <w:color w:val="595959"/>
          <w:sz w:val="20"/>
          <w:szCs w:val="20"/>
        </w:rPr>
        <w:t xml:space="preserve">AI Assistance Statement: This report was researched and drafted with the assistance of Claude (Anthropic). Sources were located and verified through web research, and all claims are cited to their original reporting. The analysis and conclusions reflect the student's own reasoning.</w:t>
      </w:r>
    </w:p>
    <w:p>
      <w:r>
        <w:br w:type="page"/>
      </w:r>
    </w:p>
    <w:p>
      <w:pPr>
        <w:spacing w:after="150" w:before="300"/>
        <w:ind w:firstLine="0"/>
      </w:pPr>
      <w:r>
        <w:rPr>
          <w:rFonts w:ascii="Times New Roman" w:cs="Times New Roman" w:eastAsia="Times New Roman" w:hAnsi="Times New Roman"/>
          <w:b/>
          <w:bCs/>
          <w:color w:val="1B5E3C"/>
          <w:sz w:val="28"/>
          <w:szCs w:val="28"/>
        </w:rPr>
        <w:t xml:space="preserve">Healthcare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Healthcare is one of the largest and most complex industries in the world, covering hospitals, clinics, pharmaceutical research, insurance systems, and medical devices working together to prevent, diagnose, and treat illness. In the United States, healthcare makes up roughly 18 percent of the country's economy and employs over 22 million people, and around the world it serves billions of patients in settings ranging from advanced hospitals in major cities to small rural clinics with limited resources. This report argues that AI's technical capability in healthcare and agriculture has already outpaced the logistical and ethical infrastructure needed to deploy it equitably, meaning the primary barrier to real-world impact is no longer whether the technology works, but who it actually reaches.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industry is under real pressure right now. The global population is getting older, which means more people need long-term care for conditions like diabetes and heart disease, and there are not enough doctors in many parts of the world to meet that demand. Developing a new drug takes an average of ten to fifteen years and costs over one billion dollars, putting many treatments out of reach. The American Medical Association prefers to call AI in medicine augmented intelligence rather than artificial intelligence, since the goal is for these tools to support doctors, not replace them, and while 65 percent of physicians surveyed by the AMA see clear benefits in AI tools, 70 percent are either more concerned than excited or equally both (American Medical Association and Manatt Health).</w:t>
      </w:r>
    </w:p>
    <w:p>
      <w:pPr>
        <w:spacing w:after="100" w:before="150"/>
        <w:ind w:firstLine="0"/>
      </w:pPr>
      <w:r>
        <w:rPr>
          <w:rFonts w:ascii="Times New Roman" w:cs="Times New Roman" w:eastAsia="Times New Roman" w:hAnsi="Times New Roman"/>
          <w:b/>
          <w:bCs/>
          <w:i/>
          <w:iCs/>
          <w:color w:val="000000"/>
          <w:sz w:val="24"/>
          <w:szCs w:val="24"/>
        </w:rPr>
        <w:t xml:space="preserve">AI-Driven Diagnostics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AI-driven diagnostics are the most established use of AI in healthcare today. As of late 2023, the FDA had approved 692 AI and machine learning medical devices, with the majority in radiology, cardiology, and neurology (American Medical Association and Manatt Health). These systems use computer vision to find problems in X-rays, MRIs, and scans, often matching or outperforming human specialists in specific tasks. One major milestone was the FDA's 2018 approval of the first autonomous AI system for detecting diabetic retinopathy; in a study of 900 patients, it achieved a sensitivity of 87.2 percent and specificity of 90.7 percent, meaning a regular primary care doctor can now screen for a leading cause of blindness without a specialist referral (American Medical Association and Manatt Health). Google DeepMind built a similar system for eye disease detection, and at the University of Florida, researchers worked with NVIDIA to develop GatorTron, an AI model trained on clinical data that helps doctors interpret complex patient histories (Deepgram).</w:t>
      </w:r>
    </w:p>
    <w:p>
      <w:pPr>
        <w:spacing w:after="100" w:before="150"/>
        <w:ind w:firstLine="0"/>
      </w:pPr>
      <w:r>
        <w:rPr>
          <w:rFonts w:ascii="Times New Roman" w:cs="Times New Roman" w:eastAsia="Times New Roman" w:hAnsi="Times New Roman"/>
          <w:b/>
          <w:bCs/>
          <w:i/>
          <w:iCs/>
          <w:color w:val="000000"/>
          <w:sz w:val="24"/>
          <w:szCs w:val="24"/>
        </w:rPr>
        <w:t xml:space="preserve">Drug Discovery</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Drug discovery is another area where AI is making a real difference. Moderna used AI to speed up the design of its mRNA COVID-19 vaccine, compressing a process that normally takes years (TechTimes Editorial). Insilico Medicine created a drug called ISM001-055 that became the first AI-designed drug to pass Phase IIa clinical trials, reducing the time from project start to clinical candidate by over 60 percent, a result that caught the attention of Eli Lilly, which signed a deal worth up to $2.75 billion for rights to develop Insilico's AI-discovered drug candidates (Crescendo AI). DeepMind's AlphaFold, which predicts the 3D structure of proteins, won a Nobel Prize in Chemistry and is now a standard tool for researchers studying how molecules interact in the body (TechTimes Editorial).</w:t>
      </w:r>
    </w:p>
    <w:p>
      <w:pPr>
        <w:spacing w:after="100" w:before="150"/>
        <w:ind w:firstLine="0"/>
      </w:pPr>
      <w:r>
        <w:rPr>
          <w:rFonts w:ascii="Times New Roman" w:cs="Times New Roman" w:eastAsia="Times New Roman" w:hAnsi="Times New Roman"/>
          <w:b/>
          <w:bCs/>
          <w:i/>
          <w:iCs/>
          <w:color w:val="000000"/>
          <w:sz w:val="24"/>
          <w:szCs w:val="24"/>
        </w:rPr>
        <w:t xml:space="preserve">AI in Daily Clinical Practice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AI is also changing how doctors work day to day. Robotic surgical systems now use AI to improve precision and guide surgeons in real time, leading to faster patient recovery in many procedures. Microsoft's DAX Copilot, which listens to doctor-patient conversations and automatically writes clinical notes, has been adopted by more than 150 health systems (Deepgram). A study by the American Academy of Family Physicians found that doctors using AI documentation assistants cut documentation time by 50 to 72 percent and saved over 3.3 hours per week (American Medical Association and Manatt Health). AI-powered chatbots and virtual counselors are also expanding access to mental health support for patients who cannot easily see a provider in person.</w:t>
      </w:r>
    </w:p>
    <w:p>
      <w:pPr>
        <w:spacing w:after="100" w:before="150"/>
        <w:ind w:firstLine="0"/>
      </w:pPr>
      <w:r>
        <w:rPr>
          <w:rFonts w:ascii="Times New Roman" w:cs="Times New Roman" w:eastAsia="Times New Roman" w:hAnsi="Times New Roman"/>
          <w:b/>
          <w:bCs/>
          <w:i/>
          <w:iCs/>
          <w:color w:val="000000"/>
          <w:sz w:val="24"/>
          <w:szCs w:val="24"/>
        </w:rPr>
        <w:t xml:space="preserve">Ethical Implications: Healthcare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Bias in AI diagnostic tools is a real and documented problem, not just a theoretical one, because these systems learn from historical data and pick up on existing inequities in that data. The AMA reported one case where a care management algorithm consistently recommended white patients over Black patients for extra support, because it used past healthcare costs as a stand-in for health needs; since Black patients had historically faced more barriers to care and had lower recorded costs, the algorithm wrongly assumed they were healthier (American Medical Association and Manatt Health). Another study found that pulse oximeters are less accurate on patients with darker skin, causing some ICU patients to receive less oxygen than they actually needed (American Medical Association and Manatt Health).</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Beyond bias, two other ethical issues stand out. The first is explainability: most top-performing AI models are too complex for anyone to trace exactly how they reach a conclusion, yet doctors are legally responsible for their decisions and often cannot verify the AI's reasoning before deciding whether to trust it, leaving the liability question legally unresolved (American Medical Association and Manatt Health). Related to this are hallucinations, where AI systems produce responses that sound credible but are factually wrong; in a clinical setting, a hallucinated drug interaction or incorrect patient history could seriously harm someone (American Medical Association and Manatt Health). The second issue is privacy: HIPAA, the main law protecting patient data in the US, was written before AI became part of everyday medicine and does not fully address how AI systems today collect, store, or potentially re-identify patient information (American Medical Association and Manatt Health).</w:t>
      </w:r>
    </w:p>
    <w:p>
      <w:pPr>
        <w:spacing w:after="100" w:before="150"/>
        <w:ind w:firstLine="0"/>
      </w:pPr>
      <w:r>
        <w:rPr>
          <w:rFonts w:ascii="Times New Roman" w:cs="Times New Roman" w:eastAsia="Times New Roman" w:hAnsi="Times New Roman"/>
          <w:b/>
          <w:bCs/>
          <w:i/>
          <w:iCs/>
          <w:color w:val="000000"/>
          <w:sz w:val="24"/>
          <w:szCs w:val="24"/>
        </w:rPr>
        <w:t xml:space="preserve">Future Trends: Healthcare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Looking five to ten years ahead, the biggest shift in healthcare AI will likely be a move from treating illness to predicting and preventing it. Wearables already track heart rate, blood sugar, and sleep, and in the near future those signals will feed into AI models that warn patients and doctors before a health crisis happens (University of Florida Health). Drug development timelines are expected to drop from ten to fifteen years to around three to five years for many drug types, with the first fully AI-designed drugs expected to receive FDA approval in the coming years (Deepgram). Multi-omics data integration, AI in tissue engineering, quantum computing for biological simulations, and brain-computer interfaces are longer-term directions covered in course material (Ganti). The key workforce risk is that healthcare systems that do not retrain their staff alongside these tools could end up offering two very different standards of care depending on where a patient seeks treatment.</w:t>
      </w:r>
    </w:p>
    <w:p>
      <w:pPr>
        <w:spacing w:after="150" w:before="300"/>
        <w:ind w:firstLine="0"/>
      </w:pPr>
      <w:r>
        <w:rPr>
          <w:rFonts w:ascii="Times New Roman" w:cs="Times New Roman" w:eastAsia="Times New Roman" w:hAnsi="Times New Roman"/>
          <w:b/>
          <w:bCs/>
          <w:color w:val="1B5E3C"/>
          <w:sz w:val="28"/>
          <w:szCs w:val="28"/>
        </w:rPr>
        <w:t xml:space="preserve">Agriculture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Agriculture is the foundation of human civilization: it produces the food, fiber, and raw materials every other industry and every person depends on. Globally, it employs over one billion people and accounts for about 4 percent of the world's economy, though in developing countries that share is much higher, covering everything from row crops and livestock to aquaculture, horticulture, and the entire supply chain that gets food from a field to a grocery store.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pressure on agriculture right now is intense. Climate change is disrupting growing seasons and making extreme weather more frequent. The world population is close to 8.2 billion and is expected to reach 10 billion by 2050, meaning farmers will need to produce about 50 percent more food on the same amount of land or less (Intellias). Young people are leaving rural areas for cities, creating labor shortages on farms, while the cost of fertilizer, water, and fuel keeps rising even as profit margins stay tight. The AI market in agriculture is projected to grow from $1.7 billion in 2023 to $4.7 billion by 2028, showing how seriously the industry is taking this challenge (Intellias).</w:t>
      </w:r>
    </w:p>
    <w:p>
      <w:pPr>
        <w:spacing w:after="100" w:before="150"/>
        <w:ind w:firstLine="0"/>
      </w:pPr>
      <w:r>
        <w:rPr>
          <w:rFonts w:ascii="Times New Roman" w:cs="Times New Roman" w:eastAsia="Times New Roman" w:hAnsi="Times New Roman"/>
          <w:b/>
          <w:bCs/>
          <w:i/>
          <w:iCs/>
          <w:color w:val="000000"/>
          <w:sz w:val="24"/>
          <w:szCs w:val="24"/>
        </w:rPr>
        <w:t xml:space="preserve">Precision Farming and Automation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Precision farming is one of the most impactful uses of AI in agriculture. Instead of applying water, fertilizer, or pesticide uniformly across a whole field, AI systems analyze real-time data to treat each section based on what it actually needs. Blue River Technology, which John Deere developed into its See and Spray platform, uses computer vision to identify individual weeds and spray herbicide only on those specific plants, reducing total chemical use by up to 90 percent in some cases (Intellias). Prospera monitors crop health across entire operations continuously, and Bayer's Climate FieldView platform analyzes satellite imagery and sensor data to spot crop stress early and suggest targeted fixes (Farmonaut). John Deere's self-driving tractor uses AI, GPS, and computer vision to plant, cultivate, and harvest with minimal human operator input (Intellias). Computer vision tools can detect apple black rot with over 90 percent accuracy and identify pest insects at the same level (Intellias), and drone fleets with multispectral and thermal cameras can scan an entire field in hours, catching disease or drought stress before it is visible to the human eye. CattleEye uses drones and computer vision to monitor cattle health remotely (Intellias), and blockchain-based tracking systems can trace a contamination problem back to its source in minutes rather than days (The Data Community).</w:t>
      </w:r>
    </w:p>
    <w:p>
      <w:pPr>
        <w:spacing w:after="100" w:before="150"/>
        <w:ind w:firstLine="0"/>
      </w:pPr>
      <w:r>
        <w:rPr>
          <w:rFonts w:ascii="Times New Roman" w:cs="Times New Roman" w:eastAsia="Times New Roman" w:hAnsi="Times New Roman"/>
          <w:b/>
          <w:bCs/>
          <w:i/>
          <w:iCs/>
          <w:color w:val="000000"/>
          <w:sz w:val="24"/>
          <w:szCs w:val="24"/>
        </w:rPr>
        <w:t xml:space="preserve">Ethical Implications: Agriculture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Data ownership is one of the most pressing ethical concerns in AI-driven agriculture. When a farmer uses a platform like Climate FieldView, they generate detailed data about their land, soil, yield, and inputs, and the companies running these platforms often keep the right to use that data to improve their own models, which they then sell back to farmers as upgraded services. Large agricultural businesses generate far more data than small family farms, so they get better, more tailored recommendations, meaning the technology meant to help all farmers may end up giving the biggest advantage to those who already have the most (Intellias). There is also a cybersecurity risk: the same digital infrastructure that makes smart farming possible creates real vulnerabilities to attacks aimed at disrupting food supplies (Intellias).</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The digital divide is another serious problem. Autonomous equipment, satellite subscriptions, and AI advisory tools are expensive, and most small-scale farmers, especially in developing countries, cannot afford them or lack the infrastructure to use them (Ganti), meaning AI could widen the gap between large industrial operations and smaller farms rather than helping everyone. There is also a labor question: autonomous tractors, robotic harvesters, and AI-directed systems are replacing farm workers in communities that often have very few other job options and limited access to retraining programs (Intellias).</w:t>
      </w:r>
    </w:p>
    <w:p>
      <w:pPr>
        <w:spacing w:after="100" w:before="150"/>
        <w:ind w:firstLine="0"/>
      </w:pPr>
      <w:r>
        <w:rPr>
          <w:rFonts w:ascii="Times New Roman" w:cs="Times New Roman" w:eastAsia="Times New Roman" w:hAnsi="Times New Roman"/>
          <w:b/>
          <w:bCs/>
          <w:i/>
          <w:iCs/>
          <w:color w:val="000000"/>
          <w:sz w:val="24"/>
          <w:szCs w:val="24"/>
        </w:rPr>
        <w:t xml:space="preserve">Future Trends: Agriculture</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In the near future, the biggest change will be edge AI, meaning AI that runs directly on the tractor, drone, or sensor without needing a cloud connection, making these tools usable in remote areas where internet access is unreliable, which is where most farming actually happens (DLL Group). Over the next decade, AI-optimized vertical farming will become more common in cities, growing food indoors with AI controlling light, temperature, nutrients, and CO2 at the plant level. Course material also pointed to AI combined with gene editing for climate-resilient crops, quantum computing for simulating complex ecosystems, and AI helping optimize sustainable protein sources like lab-grown meat and insect farming (Ganti). The main long-term risk is monoculture: when AI pushes farmers toward the highest-yield varieties, genetic diversity drops and the food system becomes more vulnerable to a single disease wiping out a major crop, as the Irish Potato Famine demonstrated historically.</w:t>
      </w:r>
    </w:p>
    <w:p>
      <w:pPr>
        <w:spacing w:after="150" w:before="300"/>
        <w:ind w:firstLine="0"/>
      </w:pPr>
      <w:r>
        <w:rPr>
          <w:rFonts w:ascii="Times New Roman" w:cs="Times New Roman" w:eastAsia="Times New Roman" w:hAnsi="Times New Roman"/>
          <w:b/>
          <w:bCs/>
          <w:color w:val="1B5E3C"/>
          <w:sz w:val="28"/>
          <w:szCs w:val="28"/>
        </w:rPr>
        <w:t xml:space="preserve">Conclusion</w:t>
      </w:r>
    </w:p>
    <w:p>
      <w:pPr>
        <w:spacing w:after="200" w:before="0" w:line="480" w:lineRule="auto"/>
        <w:ind w:firstLine="720"/>
        <w:jc w:val="left"/>
      </w:pPr>
      <w:r>
        <w:rPr>
          <w:rFonts w:ascii="Times New Roman" w:cs="Times New Roman" w:eastAsia="Times New Roman" w:hAnsi="Times New Roman"/>
          <w:b w:val="false"/>
          <w:bCs w:val="false"/>
          <w:i w:val="false"/>
          <w:iCs w:val="false"/>
          <w:color w:val="000000"/>
          <w:sz w:val="24"/>
          <w:szCs w:val="24"/>
        </w:rPr>
        <w:t xml:space="preserve">Healthcare and agriculture demonstrate the same underlying pattern from opposite ends of human need: one keeps people alive, the other keeps them fed, and AI has already proven technically capable in both. Google's retina AI matches specialist doctors, and precision agriculture tools like FieldView are already reducing waste and protecting yields. The harder problems in both industries are not technical. They are making sure these tools reach the people who need them most, making sure they work equally well across different populations, and making sure the data they collect serves patients and farmers rather than only the companies deploying the systems. Closing that logistical and ethical gap, not building a more accurate model, is what will determine whether AI's impact on these two foundational industries is broadly shared or narrowly captured.</w:t>
      </w:r>
    </w:p>
    <w:p>
      <w:r>
        <w:br w:type="page"/>
      </w:r>
    </w:p>
    <w:p>
      <w:pPr>
        <w:spacing w:after="240"/>
        <w:ind w:firstLine="0"/>
        <w:jc w:val="center"/>
      </w:pPr>
      <w:r>
        <w:rPr>
          <w:rFonts w:ascii="Times New Roman" w:cs="Times New Roman" w:eastAsia="Times New Roman" w:hAnsi="Times New Roman"/>
          <w:b/>
          <w:bCs/>
          <w:color w:val="1B5E3C"/>
          <w:sz w:val="28"/>
          <w:szCs w:val="28"/>
        </w:rPr>
        <w:t xml:space="preserve">Works Cited</w:t>
      </w:r>
    </w:p>
    <w:p>
      <w:pPr>
        <w:spacing w:after="200" w:line="480" w:lineRule="auto"/>
        <w:ind w:left="720" w:hanging="720"/>
      </w:pPr>
      <w:r>
        <w:rPr>
          <w:rFonts w:ascii="Times New Roman" w:cs="Times New Roman" w:eastAsia="Times New Roman" w:hAnsi="Times New Roman"/>
          <w:sz w:val="24"/>
          <w:szCs w:val="24"/>
        </w:rPr>
        <w:t xml:space="preserve">American Medical Association and Manatt Health. </w:t>
      </w:r>
      <w:r>
        <w:rPr>
          <w:rFonts w:ascii="Times New Roman" w:cs="Times New Roman" w:eastAsia="Times New Roman" w:hAnsi="Times New Roman"/>
          <w:sz w:val="24"/>
          <w:szCs w:val="24"/>
        </w:rPr>
        <w:t xml:space="preserve">Future of Health: The Emerging Landscape of Augmented Intelligence in Health Care.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AMA</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https://www.ama-assn.org/system/files/ama-ai-opportunities-challenges.pdf.</w:t>
      </w:r>
    </w:p>
    <w:p>
      <w:pPr>
        <w:spacing w:after="200" w:line="480" w:lineRule="auto"/>
        <w:ind w:left="720" w:hanging="720"/>
      </w:pPr>
      <w:r>
        <w:rPr>
          <w:rFonts w:ascii="Times New Roman" w:cs="Times New Roman" w:eastAsia="Times New Roman" w:hAnsi="Times New Roman"/>
          <w:sz w:val="24"/>
          <w:szCs w:val="24"/>
        </w:rPr>
        <w:t xml:space="preserve">Crescendo AI. </w:t>
      </w:r>
      <w:r>
        <w:rPr>
          <w:rFonts w:ascii="Times New Roman" w:cs="Times New Roman" w:eastAsia="Times New Roman" w:hAnsi="Times New Roman"/>
          <w:sz w:val="24"/>
          <w:szCs w:val="24"/>
        </w:rPr>
        <w:t xml:space="preserve">“The Latest AI News and Breakthroughs in Healthcare and Medical.”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Crescendo AI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21 Apr. 2026,</w:t>
      </w:r>
      <w:r>
        <w:rPr>
          <w:rFonts w:ascii="Times New Roman" w:cs="Times New Roman" w:eastAsia="Times New Roman" w:hAnsi="Times New Roman"/>
          <w:sz w:val="24"/>
          <w:szCs w:val="24"/>
        </w:rPr>
        <w:t xml:space="preserve"> https://www.crescendo.ai/news/ai-in-healthcare-news.</w:t>
      </w:r>
    </w:p>
    <w:p>
      <w:pPr>
        <w:spacing w:after="200" w:line="480" w:lineRule="auto"/>
        <w:ind w:left="720" w:hanging="720"/>
      </w:pPr>
      <w:r>
        <w:rPr>
          <w:rFonts w:ascii="Times New Roman" w:cs="Times New Roman" w:eastAsia="Times New Roman" w:hAnsi="Times New Roman"/>
          <w:sz w:val="24"/>
          <w:szCs w:val="24"/>
        </w:rPr>
        <w:t xml:space="preserve">“AI in Agriculture: From Precision Farming to Autonomous Food Systems.”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The Data Community</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 Jan. 2026,</w:t>
      </w:r>
      <w:r>
        <w:rPr>
          <w:rFonts w:ascii="Times New Roman" w:cs="Times New Roman" w:eastAsia="Times New Roman" w:hAnsi="Times New Roman"/>
          <w:sz w:val="24"/>
          <w:szCs w:val="24"/>
        </w:rPr>
        <w:t xml:space="preserve"> https://thedatacommunity.org/2026/01/05/ai-in-agriculture-from-precision-farming-to-autonomous-food-systems/.</w:t>
      </w:r>
    </w:p>
    <w:p>
      <w:pPr>
        <w:spacing w:after="200" w:line="480" w:lineRule="auto"/>
        <w:ind w:left="720" w:hanging="720"/>
      </w:pPr>
      <w:r>
        <w:rPr>
          <w:rFonts w:ascii="Times New Roman" w:cs="Times New Roman" w:eastAsia="Times New Roman" w:hAnsi="Times New Roman"/>
          <w:sz w:val="24"/>
          <w:szCs w:val="24"/>
        </w:rPr>
        <w:t xml:space="preserve">“Medical AI Models Transforming Healthcare: 2026 Guide.”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Deepgram</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24 Mar. 2026,</w:t>
      </w:r>
      <w:r>
        <w:rPr>
          <w:rFonts w:ascii="Times New Roman" w:cs="Times New Roman" w:eastAsia="Times New Roman" w:hAnsi="Times New Roman"/>
          <w:sz w:val="24"/>
          <w:szCs w:val="24"/>
        </w:rPr>
        <w:t xml:space="preserve"> https://deepgram.com/learn/top-medical-ai-models-2026.</w:t>
      </w:r>
    </w:p>
    <w:p>
      <w:pPr>
        <w:spacing w:after="200" w:line="480" w:lineRule="auto"/>
        <w:ind w:left="720" w:hanging="720"/>
      </w:pPr>
      <w:r>
        <w:rPr>
          <w:rFonts w:ascii="Times New Roman" w:cs="Times New Roman" w:eastAsia="Times New Roman" w:hAnsi="Times New Roman"/>
          <w:sz w:val="24"/>
          <w:szCs w:val="24"/>
        </w:rPr>
        <w:t xml:space="preserve">“Innovative Agriculture: Key Trends for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DLL Group</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2026,</w:t>
      </w:r>
      <w:r>
        <w:rPr>
          <w:rFonts w:ascii="Times New Roman" w:cs="Times New Roman" w:eastAsia="Times New Roman" w:hAnsi="Times New Roman"/>
          <w:sz w:val="24"/>
          <w:szCs w:val="24"/>
        </w:rPr>
        <w:t xml:space="preserve"> https://www.dllgroup.com/en/blogs/blogsoverview/innovative-agriculture-key-trends-for-2026.</w:t>
      </w:r>
    </w:p>
    <w:p>
      <w:pPr>
        <w:spacing w:after="200" w:line="480" w:lineRule="auto"/>
        <w:ind w:left="720" w:hanging="720"/>
      </w:pPr>
      <w:r>
        <w:rPr>
          <w:rFonts w:ascii="Times New Roman" w:cs="Times New Roman" w:eastAsia="Times New Roman" w:hAnsi="Times New Roman"/>
          <w:sz w:val="24"/>
          <w:szCs w:val="24"/>
        </w:rPr>
        <w:t xml:space="preserve">“Artificial Intelligence in Agriculture: 7 Farming Trends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Farmonaut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17 Jan. 2026,</w:t>
      </w:r>
      <w:r>
        <w:rPr>
          <w:rFonts w:ascii="Times New Roman" w:cs="Times New Roman" w:eastAsia="Times New Roman" w:hAnsi="Times New Roman"/>
          <w:sz w:val="24"/>
          <w:szCs w:val="24"/>
        </w:rPr>
        <w:t xml:space="preserve"> https://farmonaut.com/blogs/artificial-intelligence-in-agriculture-7-farming-trends-2026.</w:t>
      </w:r>
    </w:p>
    <w:p>
      <w:pPr>
        <w:spacing w:after="200" w:line="480" w:lineRule="auto"/>
        <w:ind w:left="720" w:hanging="720"/>
      </w:pPr>
      <w:r>
        <w:rPr>
          <w:rFonts w:ascii="Times New Roman" w:cs="Times New Roman" w:eastAsia="Times New Roman" w:hAnsi="Times New Roman"/>
          <w:sz w:val="24"/>
          <w:szCs w:val="24"/>
        </w:rPr>
        <w:t xml:space="preserve">Ganti, Sridhar. </w:t>
      </w:r>
      <w:r>
        <w:rPr>
          <w:rFonts w:ascii="Times New Roman" w:cs="Times New Roman" w:eastAsia="Times New Roman" w:hAnsi="Times New Roman"/>
          <w:sz w:val="24"/>
          <w:szCs w:val="24"/>
        </w:rPr>
        <w:t xml:space="preserve">“AI in Healthcare and Agriculture.”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ITAI 2372: Artificial Intelligence Applications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Houston Community College,</w:t>
      </w:r>
      <w:r>
        <w:rPr>
          <w:rFonts w:ascii="Times New Roman" w:cs="Times New Roman" w:eastAsia="Times New Roman" w:hAnsi="Times New Roman"/>
          <w:sz w:val="24"/>
          <w:szCs w:val="24"/>
        </w:rPr>
        <w:t xml:space="preserve"> 2024,</w:t>
      </w:r>
      <w:r>
        <w:rPr>
          <w:rFonts w:ascii="Times New Roman" w:cs="Times New Roman" w:eastAsia="Times New Roman" w:hAnsi="Times New Roman"/>
          <w:sz w:val="24"/>
          <w:szCs w:val="24"/>
        </w:rPr>
        <w:t xml:space="preserve"> Class slides.</w:t>
      </w:r>
    </w:p>
    <w:p>
      <w:pPr>
        <w:spacing w:after="200" w:line="480" w:lineRule="auto"/>
        <w:ind w:left="720" w:hanging="720"/>
      </w:pPr>
      <w:r>
        <w:rPr>
          <w:rFonts w:ascii="Times New Roman" w:cs="Times New Roman" w:eastAsia="Times New Roman" w:hAnsi="Times New Roman"/>
          <w:sz w:val="24"/>
          <w:szCs w:val="24"/>
        </w:rPr>
        <w:t xml:space="preserve">“AI in Agriculture and Farming: Revolutionizing Crop Growth.”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Intellias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 May 2026,</w:t>
      </w:r>
      <w:r>
        <w:rPr>
          <w:rFonts w:ascii="Times New Roman" w:cs="Times New Roman" w:eastAsia="Times New Roman" w:hAnsi="Times New Roman"/>
          <w:sz w:val="24"/>
          <w:szCs w:val="24"/>
        </w:rPr>
        <w:t xml:space="preserve"> https://intellias.com/artificial-intelligence-in-agriculture/.</w:t>
      </w:r>
    </w:p>
    <w:p>
      <w:pPr>
        <w:spacing w:after="200" w:line="480" w:lineRule="auto"/>
        <w:ind w:left="720" w:hanging="720"/>
      </w:pPr>
      <w:r>
        <w:rPr>
          <w:rFonts w:ascii="Times New Roman" w:cs="Times New Roman" w:eastAsia="Times New Roman" w:hAnsi="Times New Roman"/>
          <w:sz w:val="24"/>
          <w:szCs w:val="24"/>
        </w:rPr>
        <w:t xml:space="preserve">TechTimes Editorial. </w:t>
      </w:r>
      <w:r>
        <w:rPr>
          <w:rFonts w:ascii="Times New Roman" w:cs="Times New Roman" w:eastAsia="Times New Roman" w:hAnsi="Times New Roman"/>
          <w:sz w:val="24"/>
          <w:szCs w:val="24"/>
        </w:rPr>
        <w:t xml:space="preserve">“Biggest AI Breakthroughs in Healthcare That Are Transforming Modern Medicine.”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TechTimes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9 May 2026,</w:t>
      </w:r>
      <w:r>
        <w:rPr>
          <w:rFonts w:ascii="Times New Roman" w:cs="Times New Roman" w:eastAsia="Times New Roman" w:hAnsi="Times New Roman"/>
          <w:sz w:val="24"/>
          <w:szCs w:val="24"/>
        </w:rPr>
        <w:t xml:space="preserve"> https://www.techtimes.com/articles/316451/20260509/biggest-ai-breakthroughs-healthcare-that-are-transforming-modern-medicine.htm.</w:t>
      </w:r>
    </w:p>
    <w:p>
      <w:pPr>
        <w:spacing w:after="200" w:line="480" w:lineRule="auto"/>
        <w:ind w:left="720" w:hanging="720"/>
      </w:pPr>
      <w:r>
        <w:rPr>
          <w:rFonts w:ascii="Times New Roman" w:cs="Times New Roman" w:eastAsia="Times New Roman" w:hAnsi="Times New Roman"/>
          <w:sz w:val="24"/>
          <w:szCs w:val="24"/>
        </w:rPr>
        <w:t xml:space="preserve">University of Florida Health. </w:t>
      </w:r>
      <w:r>
        <w:rPr>
          <w:rFonts w:ascii="Times New Roman" w:cs="Times New Roman" w:eastAsia="Times New Roman" w:hAnsi="Times New Roman"/>
          <w:sz w:val="24"/>
          <w:szCs w:val="24"/>
        </w:rPr>
        <w:t xml:space="preserve">“7 Medical Sciences Trends Shaping Healthcare in 2026.”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UF Health</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7 Jan. 2026,</w:t>
      </w:r>
      <w:r>
        <w:rPr>
          <w:rFonts w:ascii="Times New Roman" w:cs="Times New Roman" w:eastAsia="Times New Roman" w:hAnsi="Times New Roman"/>
          <w:sz w:val="24"/>
          <w:szCs w:val="24"/>
        </w:rPr>
        <w:t xml:space="preserve"> https://distance.physiology.med.ufl.edu/about/articles/7-medical-sciences-trends-shaping-healthcare-in-2026/.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color w:val="595959"/>
        <w:sz w:val="18"/>
        <w:szCs w:val="18"/>
      </w:rPr>
      <w:t xml:space="preserve">Pg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2026-07-23T01:11:24.433Z</dcterms:created>
  <dcterms:modified xsi:type="dcterms:W3CDTF">2026-07-23T01:11:24.433Z</dcterms:modified>
</cp:coreProperties>
</file>

<file path=docProps/custom.xml><?xml version="1.0" encoding="utf-8"?>
<Properties xmlns="http://schemas.openxmlformats.org/officeDocument/2006/custom-properties" xmlns:vt="http://schemas.openxmlformats.org/officeDocument/2006/docPropsVTypes"/>
</file>