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300"/>
        <w:jc w:val="center"/>
      </w:pPr>
      <w:r>
        <w:rPr>
          <w:rFonts w:ascii="Times New Roman" w:cs="Times New Roman" w:eastAsia="Times New Roman" w:hAnsi="Times New Roman"/>
          <w:b/>
          <w:bCs/>
          <w:color w:val="1B5E3C"/>
          <w:sz w:val="36"/>
          <w:szCs w:val="36"/>
        </w:rPr>
        <w:t xml:space="preserve">AI in Healthcare and Agriculture</w:t>
      </w:r>
    </w:p>
    <w:p>
      <w:pPr>
        <w:spacing w:after="400"/>
        <w:jc w:val="center"/>
      </w:pPr>
      <w:r>
        <w:rPr>
          <w:rFonts w:ascii="Times New Roman" w:cs="Times New Roman" w:eastAsia="Times New Roman" w:hAnsi="Times New Roman"/>
          <w:b/>
          <w:bCs/>
          <w:color w:val="8A6D1E"/>
          <w:sz w:val="24"/>
          <w:szCs w:val="24"/>
        </w:rPr>
        <w:t xml:space="preserve">Master Reference: Combined Analysis</w:t>
      </w:r>
    </w:p>
    <w:p>
      <w:pPr>
        <w:pBdr>
          <w:top w:val="single" w:color="8A6D1E" w:sz="12"/>
        </w:pBdr>
        <w:spacing w:after="100"/>
        <w:jc w:val="center"/>
      </w:pPr>
    </w:p>
    <w:p>
      <w:pPr>
        <w:spacing w:after="900"/>
      </w:pPr>
    </w:p>
    <w:p>
      <w:pPr>
        <w:spacing w:after="120"/>
        <w:jc w:val="center"/>
      </w:pPr>
      <w:r>
        <w:rPr>
          <w:rFonts w:ascii="Times New Roman" w:cs="Times New Roman" w:eastAsia="Times New Roman" w:hAnsi="Times New Roman"/>
          <w:b/>
          <w:bCs/>
          <w:color w:val="000000"/>
          <w:sz w:val="28"/>
          <w:szCs w:val="28"/>
        </w:rPr>
        <w:t xml:space="preserve">Francisco Medina</w:t>
      </w:r>
    </w:p>
    <w:p>
      <w:pPr>
        <w:spacing w:after="60"/>
        <w:jc w:val="center"/>
      </w:pPr>
      <w:r>
        <w:rPr>
          <w:rFonts w:ascii="Times New Roman" w:cs="Times New Roman" w:eastAsia="Times New Roman" w:hAnsi="Times New Roman"/>
          <w:color w:val="595959"/>
          <w:sz w:val="24"/>
          <w:szCs w:val="24"/>
        </w:rPr>
        <w:t xml:space="preserve">ITAI 2372: Artificial Intelligence Applications</w:t>
      </w:r>
    </w:p>
    <w:p>
      <w:pPr>
        <w:spacing w:after="60"/>
        <w:jc w:val="center"/>
      </w:pPr>
      <w:r>
        <w:rPr>
          <w:rFonts w:ascii="Times New Roman" w:cs="Times New Roman" w:eastAsia="Times New Roman" w:hAnsi="Times New Roman"/>
          <w:color w:val="595959"/>
          <w:sz w:val="24"/>
          <w:szCs w:val="24"/>
        </w:rPr>
        <w:t xml:space="preserve">Module 03, Assignment 03 (Master Document)</w:t>
      </w:r>
    </w:p>
    <w:p>
      <w:pPr>
        <w:spacing w:after="60"/>
        <w:jc w:val="center"/>
      </w:pPr>
      <w:r>
        <w:rPr>
          <w:rFonts w:ascii="Times New Roman" w:cs="Times New Roman" w:eastAsia="Times New Roman" w:hAnsi="Times New Roman"/>
          <w:color w:val="595959"/>
          <w:sz w:val="24"/>
          <w:szCs w:val="24"/>
        </w:rPr>
        <w:t xml:space="preserve">Professor Sridhar Ganti</w:t>
      </w:r>
    </w:p>
    <w:p>
      <w:pPr>
        <w:spacing w:after="60"/>
        <w:jc w:val="center"/>
      </w:pPr>
      <w:r>
        <w:rPr>
          <w:rFonts w:ascii="Times New Roman" w:cs="Times New Roman" w:eastAsia="Times New Roman" w:hAnsi="Times New Roman"/>
          <w:color w:val="595959"/>
          <w:sz w:val="24"/>
          <w:szCs w:val="24"/>
        </w:rPr>
        <w:t xml:space="preserve">Houston Community College</w:t>
      </w:r>
    </w:p>
    <w:p>
      <w:pPr>
        <w:spacing w:after="900"/>
        <w:jc w:val="center"/>
      </w:pPr>
      <w:r>
        <w:rPr>
          <w:rFonts w:ascii="Times New Roman" w:cs="Times New Roman" w:eastAsia="Times New Roman" w:hAnsi="Times New Roman"/>
          <w:color w:val="595959"/>
          <w:sz w:val="24"/>
          <w:szCs w:val="24"/>
        </w:rPr>
        <w:t xml:space="preserve">June 2026</w:t>
      </w:r>
    </w:p>
    <w:p>
      <w:pPr>
        <w:pBdr>
          <w:top w:val="single" w:color="BFBFBF" w:sz="4"/>
        </w:pBdr>
        <w:spacing w:after="0" w:before="1200"/>
        <w:ind w:left="900" w:right="900"/>
        <w:jc w:val="center"/>
      </w:pPr>
      <w:r>
        <w:rPr>
          <w:rFonts w:ascii="Times New Roman" w:cs="Times New Roman" w:eastAsia="Times New Roman" w:hAnsi="Times New Roman"/>
          <w:i/>
          <w:iCs/>
          <w:color w:val="595959"/>
          <w:sz w:val="20"/>
          <w:szCs w:val="20"/>
        </w:rPr>
        <w:t xml:space="preserve">AI Assistance Statement: This report was researched and drafted with the assistance of Claude (Anthropic). Sources were located and verified through web research, and all claims are cited to their original reporting. The analysis and conclusions reflect the student's own reasoning.</w:t>
      </w:r>
    </w:p>
    <w:p>
      <w:r>
        <w:br w:type="page"/>
      </w:r>
    </w:p>
    <w:p>
      <w:pPr>
        <w:spacing w:after="150" w:before="300"/>
        <w:ind w:firstLine="0"/>
      </w:pPr>
      <w:r>
        <w:rPr>
          <w:rFonts w:ascii="Times New Roman" w:cs="Times New Roman" w:eastAsia="Times New Roman" w:hAnsi="Times New Roman"/>
          <w:b/>
          <w:bCs/>
          <w:color w:val="1B5E3C"/>
          <w:sz w:val="28"/>
          <w:szCs w:val="28"/>
        </w:rPr>
        <w:t xml:space="preserve">Introduction</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Healthcare and agriculture might not seem like they belong in the same conversation, but they are arguably the two most foundational industries that exist: healthcare keeps people alive, and agriculture keeps them fed. This master document combines two related analyses of AI in these industries into a single comprehensive reference, drawing on seventeen distinct sources spanning peer-reviewed medical research, original AI lab publications, investigative technology journalism, and agricultural industry reporting. This report argues that AI's technical capability in healthcare and agriculture has already outpaced the logistical and ethical infrastructure needed to deploy it equitably, and that the clearest evidence for this is not found in a lab benchmark, but in the friction that surfaces the moment these systems reach the field, whether that is a diabetic retinopathy screening tool struggling with inconsistent lighting in a Thai clinic or a precision agriculture platform priced out of reach for a smallholder farmer.</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Both industries are under real, structural pressure. In healthcare, the global population is aging, chronic conditions like diabetes are rising, and there are not enough trained specialists to meet demand, particularly in rural and low-income areas. In agriculture, a growing global population, an increasingly unpredictable climate, and depleting water resources like the Ogallala Aquifer beneath the Texas Great Plains are forcing farmers to produce more food from less land with fewer reliable resources than the previous generation had. Both industries are past the point where traditional approaches are sufficient on their own, which is exactly why AI has become central to how each is adapting.</w:t>
      </w:r>
    </w:p>
    <w:p>
      <w:pPr>
        <w:spacing w:after="150" w:before="300"/>
        <w:ind w:firstLine="0"/>
      </w:pPr>
      <w:r>
        <w:rPr>
          <w:rFonts w:ascii="Times New Roman" w:cs="Times New Roman" w:eastAsia="Times New Roman" w:hAnsi="Times New Roman"/>
          <w:b/>
          <w:bCs/>
          <w:color w:val="1B5E3C"/>
          <w:sz w:val="28"/>
          <w:szCs w:val="28"/>
        </w:rPr>
        <w:t xml:space="preserve">Healthcare</w:t>
      </w:r>
    </w:p>
    <w:p>
      <w:pPr>
        <w:spacing w:after="100" w:before="150"/>
        <w:ind w:firstLine="0"/>
      </w:pPr>
      <w:r>
        <w:rPr>
          <w:rFonts w:ascii="Times New Roman" w:cs="Times New Roman" w:eastAsia="Times New Roman" w:hAnsi="Times New Roman"/>
          <w:b/>
          <w:bCs/>
          <w:i/>
          <w:iCs/>
          <w:color w:val="000000"/>
          <w:sz w:val="24"/>
          <w:szCs w:val="24"/>
        </w:rPr>
        <w:t xml:space="preserve">The Pressure on the Industry</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Healthcare makes up roughly 18 percent of the United States economy and employs over 22 million people, serving billions of patients worldwide in settings ranging from advanced urban hospitals to small rural clinics with limited resources. Developing a new drug takes an average of ten to fifteen years and costs over one billion dollars, putting many treatments out of reach, and there are simply not enough specialists such as ophthalmologists, who require eight to twelve years of training, to meet demand in the areas that need them most (American Medical Association and Manatt Health). The American Medical Association prefers the term augmented intelligence over artificial intelligence, since the stated goal is for these tools to support doctors rather than replace them, though the AMA's own survey data shows physicians are genuinely split: 65 percent see clear benefits in AI tools, while 70 percent report being either more concerned than excited or equally both (American Medical Association and Manatt Health).</w:t>
      </w:r>
    </w:p>
    <w:p>
      <w:pPr>
        <w:spacing w:after="100" w:before="150"/>
        <w:ind w:firstLine="0"/>
      </w:pPr>
      <w:r>
        <w:rPr>
          <w:rFonts w:ascii="Times New Roman" w:cs="Times New Roman" w:eastAsia="Times New Roman" w:hAnsi="Times New Roman"/>
          <w:b/>
          <w:bCs/>
          <w:i/>
          <w:iCs/>
          <w:color w:val="000000"/>
          <w:sz w:val="24"/>
          <w:szCs w:val="24"/>
        </w:rPr>
        <w:t xml:space="preserve">AI-Driven Diagnostics: From Lab to Clinic</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Diagnostic AI is the most established use case in healthcare today, and diabetic retinopathy detection is its clearest success story, though the full arc of that story includes real complications. Google's original development work trained a deep learning algorithm on 128,000 retinal images, each evaluated by a panel of 54 ophthalmologists, to detect diabetic retinopathy, a leading preventable cause of blindness (“Deep Learning for Detection”). The FDA approved IDx-DR in April 2018 as the first fully autonomous AI diagnostic system in any field of medicine, a landmark because it could return a diagnosis without a doctor reviewing the images, and in a 900-patient pivotal trial it achieved a sensitivity of 87.2 percent and specificity of 90.7 percent (American Medical Association and Manatt Health; “FDA Permits Marketing”). As of late 2023, the FDA had approved 692 AI and machine learning medical devices overall, concentrated mainly in radiology, cardiology, and neurology (American Medical Association and Manatt Health).</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The deployment story is more complicated than the lab results suggest. When Google worked to bring a similar system into real clinics in Thailand, independent reporting found the system rejected roughly 21 percent of retinal images as too low-quality to grade, mostly due to inconsistent clinic lighting, a concrete illustration of how a model performing well in controlled testing does not always translate cleanly into the field (“Google DR AI Stumbled”). More recently, researchers at AIM Doctor in Houston, working with the University of Texas Health Science Center, developed SMART, the Simple Mobile AI Retina Tracker, a smartphone-based tool reporting accuracy near 99 percent in under one second, trained on images sourced from diverse populations across six continents specifically to avoid the kind of generalization gap the Thailand deployment exposed (“AI-Powered Mobile Retina Tracker”). Google DeepMind and researchers at the University of Florida working with NVIDIA have built related systems, including GatorTron, a clinical language model that helps doctors interpret complex patient histories (Deepgram).</w:t>
      </w:r>
    </w:p>
    <w:p>
      <w:pPr>
        <w:spacing w:after="100" w:before="150"/>
        <w:ind w:firstLine="0"/>
      </w:pPr>
      <w:r>
        <w:rPr>
          <w:rFonts w:ascii="Times New Roman" w:cs="Times New Roman" w:eastAsia="Times New Roman" w:hAnsi="Times New Roman"/>
          <w:b/>
          <w:bCs/>
          <w:i/>
          <w:iCs/>
          <w:color w:val="000000"/>
          <w:sz w:val="24"/>
          <w:szCs w:val="24"/>
        </w:rPr>
        <w:t xml:space="preserve">Drug Discovery and Daily Clinical Practice</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AI is compressing drug discovery timelines that have historically taken over a decade. Moderna used AI to accelerate the design of its mRNA COVID-19 vaccine (TechTimes Editorial), and Insilico Medicine's AI-designed drug ISM001-055 became the first of its kind to pass Phase IIa clinical trials, cutting development time by over 60 percent and prompting Eli Lilly to sign a deal worth up to $2.75 billion for rights to Insilico's AI-discovered candidates (Crescendo AI). DeepMind's AlphaFold, which predicts protein 3D structure, won a Nobel Prize in Chemistry and is now a standard research tool (TechTimes Editorial). Day to day, Microsoft's DAX Copilot listens to doctor-patient conversations and automatically drafts clinical notes, now adopted by more than 150 health systems, and a study by the American Academy of Family Physicians found AI documentation assistants cut documentation time by 50 to 72 percent, saving physicians over 3.3 hours per week (Deepgram; American Medical Association and Manatt Health).</w:t>
      </w:r>
    </w:p>
    <w:p>
      <w:pPr>
        <w:spacing w:after="100" w:before="150"/>
        <w:ind w:firstLine="0"/>
      </w:pPr>
      <w:r>
        <w:rPr>
          <w:rFonts w:ascii="Times New Roman" w:cs="Times New Roman" w:eastAsia="Times New Roman" w:hAnsi="Times New Roman"/>
          <w:b/>
          <w:bCs/>
          <w:i/>
          <w:iCs/>
          <w:color w:val="000000"/>
          <w:sz w:val="24"/>
          <w:szCs w:val="24"/>
        </w:rPr>
        <w:t xml:space="preserve">Ethical Implications: Healthcare</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Bias in AI diagnostic tools is documented, not theoretical. The AMA reported a care management algorithm that consistently recommended white patients over Black patients for extra support because it used past healthcare costs as a proxy for health needs, wrongly assuming that lower historical spending meant better health rather than reduced access to care (American Medical Association and Manatt Health). Pulse oximeters have similarly been shown to be less accurate on patients with darker skin, and the Thailand retinal screening friction illustrates the same underlying pattern in a different form: a system's blind spots surface precisely where its training data was thinnest (“Google DR AI Stumbled”). Beyond bias, explainability remains a serious open problem, since most top-performing models are too complex for anyone to trace their reasoning, yet doctors remain legally responsible for decisions they cannot fully verify, a liability question that remains legally unresolved (American Medical Association and Manatt Health). Hallucinations compound this risk, since a fabricated but plausible-sounding drug interaction or patient history could cause real harm, and HIPAA, written before AI became part of everyday medicine, does not fully address how these systems collect, store, or potentially re-identify patient data (American Medical Association and Manatt Health).</w:t>
      </w:r>
    </w:p>
    <w:p>
      <w:pPr>
        <w:spacing w:after="150" w:before="300"/>
        <w:ind w:firstLine="0"/>
      </w:pPr>
      <w:r>
        <w:rPr>
          <w:rFonts w:ascii="Times New Roman" w:cs="Times New Roman" w:eastAsia="Times New Roman" w:hAnsi="Times New Roman"/>
          <w:b/>
          <w:bCs/>
          <w:color w:val="1B5E3C"/>
          <w:sz w:val="28"/>
          <w:szCs w:val="28"/>
        </w:rPr>
        <w:t xml:space="preserve">Agriculture</w:t>
      </w:r>
    </w:p>
    <w:p>
      <w:pPr>
        <w:spacing w:after="100" w:before="150"/>
        <w:ind w:firstLine="0"/>
      </w:pPr>
      <w:r>
        <w:rPr>
          <w:rFonts w:ascii="Times New Roman" w:cs="Times New Roman" w:eastAsia="Times New Roman" w:hAnsi="Times New Roman"/>
          <w:b/>
          <w:bCs/>
          <w:i/>
          <w:iCs/>
          <w:color w:val="000000"/>
          <w:sz w:val="24"/>
          <w:szCs w:val="24"/>
        </w:rPr>
        <w:t xml:space="preserve">The Pressure on the Industry</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Agriculture employs over one billion people globally and accounts for roughly 4 percent of the world economy, though far more in developing countries, covering everything from row crops to the entire supply chain connecting a field to a grocery store. The world population, close to 8.2 billion and heading toward 10 billion by 2050, means farmers must produce roughly 50 percent more food on the same or less land (Intellias), while climate change disrupts growing seasons and depletes critical water sources like the Ogallala Aquifer beneath the Texas Great Plains (Mauget and Leiker). The agricultural AI market reflects how seriously the industry is treating this pressure, projected to grow from $1.7 billion in 2023 to $4.7 billion by 2028 (Intellias).</w:t>
      </w:r>
    </w:p>
    <w:p>
      <w:pPr>
        <w:spacing w:after="100" w:before="150"/>
        <w:ind w:firstLine="0"/>
      </w:pPr>
      <w:r>
        <w:rPr>
          <w:rFonts w:ascii="Times New Roman" w:cs="Times New Roman" w:eastAsia="Times New Roman" w:hAnsi="Times New Roman"/>
          <w:b/>
          <w:bCs/>
          <w:i/>
          <w:iCs/>
          <w:color w:val="000000"/>
          <w:sz w:val="24"/>
          <w:szCs w:val="24"/>
        </w:rPr>
        <w:t xml:space="preserve">Precision Farming and Automation</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Precision agriculture replaces uniform field-wide treatment with data-driven, section-by-section decisions. John Deere's See and Spray platform, built on Blue River Technology's computer vision, identifies individual weeds and sprays herbicide only where needed, cutting chemical use by up to 90 percent in some cases, while Prospera monitors crop health continuously and Bayer's Climate FieldView platform combines satellite imagery, weather station data, and equipment integration into a single interface that helps farmers identify underperforming zones and time input applications more precisely (Intellias; Farmonaut; “Impact of Cloud Computing”). Farmers using these AI-driven analytics platforms report measurable yield improvements and meaningful reductions in input costs compared to unassisted management (“Precision Agriculture Analytics Tools”). John Deere's self-driving tractors handle planting, cultivation, and harvest with minimal operator input, computer vision tools detect apple black rot and pest insects at over 90 percent accuracy, drone fleets with multispectral and thermal cameras scan entire fields for disease or drought stress invisible to the human eye, CattleEye monitors cattle health remotely, and blockchain-based tracking systems can trace a contamination problem back to its source in minutes rather than days (Intellias; The Data Community).</w:t>
      </w:r>
    </w:p>
    <w:p>
      <w:pPr>
        <w:spacing w:after="100" w:before="150"/>
        <w:ind w:firstLine="0"/>
      </w:pPr>
      <w:r>
        <w:rPr>
          <w:rFonts w:ascii="Times New Roman" w:cs="Times New Roman" w:eastAsia="Times New Roman" w:hAnsi="Times New Roman"/>
          <w:b/>
          <w:bCs/>
          <w:i/>
          <w:iCs/>
          <w:color w:val="000000"/>
          <w:sz w:val="24"/>
          <w:szCs w:val="24"/>
        </w:rPr>
        <w:t xml:space="preserve">Ethical Implications: Agriculture</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Data ownership is one of the most pressing concerns in AI-driven agriculture. Platforms like Climate FieldView generate detailed data about a farmer's land, soil, yield, and inputs, and the companies running these platforms often retain rights to use that data to improve their own models, then sell the improvements back as upgraded services. Because large agricultural operations generate far more data than small family farms, they receive better, more tailored recommendations, meaning the technology meant to help all farmers may end up widening the advantage of those who already have the most (Intellias). The same digital infrastructure that enables smart farming also creates real cybersecurity vulnerabilities to attacks aimed at disrupting food supplies (Intellias). The digital divide compounds this: autonomous equipment, satellite subscriptions, and AI advisory tools are expensive, and small-scale farmers, especially in developing countries, often cannot afford them or lack the infrastructure to use them (Ganti), while autonomous tractors and AI-directed systems simultaneously displace farm labor in communities with few alternative jobs and limited retraining access (Intellias).</w:t>
      </w:r>
    </w:p>
    <w:p>
      <w:pPr>
        <w:spacing w:after="150" w:before="300"/>
        <w:ind w:firstLine="0"/>
      </w:pPr>
      <w:r>
        <w:rPr>
          <w:rFonts w:ascii="Times New Roman" w:cs="Times New Roman" w:eastAsia="Times New Roman" w:hAnsi="Times New Roman"/>
          <w:b/>
          <w:bCs/>
          <w:color w:val="1B5E3C"/>
          <w:sz w:val="28"/>
          <w:szCs w:val="28"/>
        </w:rPr>
        <w:t xml:space="preserve">Future Trends: Both Industries</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In healthcare, the trajectory points toward AI that predicts and prevents illness rather than only detecting it after the fact, potentially combining retinal analysis, wearable data, and genomic information to flag elevated risk years in advance, with diagnostic AI expanding well beyond the retina into cardiology, oncology, and metabolic conditions (University of Florida Health; Deepgram). Drug development timelines are expected to fall from ten to fifteen years to roughly three to five years for many drug categories (Deepgram). The central open question is governance: who regulates increasingly autonomous medical AI, how equitably it performs across different populations, and how much diagnostic authority it should hold, a conversation IDx-DR's 2018 approval started rather than settled (American Medical Association and Manatt Health; “FDA Permits Marketing”).</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In agriculture, the next decade will likely bring AI that directly controls equipment in real time rather than only advising a farmer checking an app, automatically pausing irrigation ahead of predicted rain or triggering frost protection without human intervention, alongside more integrated satellite and drone monitoring at the individual-plant level (DLL Group). Edge AI, running directly on a tractor, drone, or sensor without a cloud connection, will make these tools usable in the remote areas where most farming actually happens (DLL Group). Vertical farming will likely grow more common in cities, using AI to control light, temperature, nutrients, and CO2 at the plant level, and course material points to AI combined with gene editing for climate-resilient crops and AI-optimized sustainable protein sources like lab-grown meat as further long-term directions (Ganti). The shared risk across both industries is the same: if access to these tools remains determined by ability to pay, AI widens rather than closes the gap between those already well-resourced and everyone else.</w:t>
      </w:r>
    </w:p>
    <w:p>
      <w:pPr>
        <w:spacing w:after="150" w:before="300"/>
        <w:ind w:firstLine="0"/>
      </w:pPr>
      <w:r>
        <w:rPr>
          <w:rFonts w:ascii="Times New Roman" w:cs="Times New Roman" w:eastAsia="Times New Roman" w:hAnsi="Times New Roman"/>
          <w:b/>
          <w:bCs/>
          <w:color w:val="1B5E3C"/>
          <w:sz w:val="28"/>
          <w:szCs w:val="28"/>
        </w:rPr>
        <w:t xml:space="preserve">Reflection</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What stands out most across both industries is how close the technology already is to delivering massive real-world impact, and how much of the remaining barrier is logistical and ethical rather than technical. Google's retina AI approaches specialist-level performance, the SMART tool from AIM Doctor here in Houston reports near-99 percent accuracy on an ordinary smartphone, and FieldView is already helping farmers make more precise, data-driven decisions. The harder problems are making sure these tools actually reach the people who need them, making sure they work equally well across different populations, including the populations that exposed real gaps in Google's own Thailand deployment, and making sure the data they collect serves patients and farmers rather than only the companies deploying the systems.</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Healthcare and agriculture feel like they deserve equal priority, but for different reasons. Healthcare AI is the more immediate priority because the diagnostic gap it closes, in rural clinics and underserved regions, is measured in individual lives right now. Agriculture AI may be the more urgent long-term priority, because the constraint it addresses, whether the planet's food systems can keep up with a growing population under a destabilizing climate, does not offer the option of waiting. Both are exactly the kind of problem worth building a career around: systems that have to work in resource-constrained environments for people who do not have alternatives, where the stakes are real enough that the work actually matters.</w:t>
      </w:r>
    </w:p>
    <w:p>
      <w:pPr>
        <w:spacing w:after="150" w:before="300"/>
        <w:ind w:firstLine="0"/>
      </w:pPr>
      <w:r>
        <w:rPr>
          <w:rFonts w:ascii="Times New Roman" w:cs="Times New Roman" w:eastAsia="Times New Roman" w:hAnsi="Times New Roman"/>
          <w:b/>
          <w:bCs/>
          <w:color w:val="1B5E3C"/>
          <w:sz w:val="28"/>
          <w:szCs w:val="28"/>
        </w:rPr>
        <w:t xml:space="preserve">Conclusion</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Healthcare and agriculture demonstrate the same underlying pattern from opposite ends of human need, one keeping people alive and the other keeping them fed, and AI has already proven technically capable in both. The harder problems in each are not technical: they are making sure these tools reach the people who need them most, making sure they work equally well across different populations, and making sure the data they collect serves patients and farmers rather than only the companies deploying the systems. Closing that logistical and ethical gap, not building a more accurate model, is what will determine whether AI's impact on these two foundational industries is broadly shared or narrowly captured.</w:t>
      </w:r>
    </w:p>
    <w:p>
      <w:r>
        <w:br w:type="page"/>
      </w:r>
    </w:p>
    <w:p>
      <w:pPr>
        <w:spacing w:after="240"/>
        <w:ind w:firstLine="0"/>
        <w:jc w:val="center"/>
      </w:pPr>
      <w:r>
        <w:rPr>
          <w:rFonts w:ascii="Times New Roman" w:cs="Times New Roman" w:eastAsia="Times New Roman" w:hAnsi="Times New Roman"/>
          <w:b/>
          <w:bCs/>
          <w:color w:val="1B5E3C"/>
          <w:sz w:val="28"/>
          <w:szCs w:val="28"/>
        </w:rPr>
        <w:t xml:space="preserve">Works Cited</w:t>
      </w:r>
    </w:p>
    <w:p>
      <w:pPr>
        <w:spacing w:after="200" w:line="480" w:lineRule="auto"/>
        <w:ind w:left="720" w:hanging="720"/>
      </w:pPr>
      <w:r>
        <w:rPr>
          <w:rFonts w:ascii="Times New Roman" w:cs="Times New Roman" w:eastAsia="Times New Roman" w:hAnsi="Times New Roman"/>
          <w:sz w:val="24"/>
          <w:szCs w:val="24"/>
        </w:rPr>
        <w:t xml:space="preserve">“AI-Powered Mobile Retina Tracker Screens for Diabetic Eye Disease with 99% Accuracy.”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Medical Xpress</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15 July 2025,</w:t>
      </w:r>
      <w:r>
        <w:rPr>
          <w:rFonts w:ascii="Times New Roman" w:cs="Times New Roman" w:eastAsia="Times New Roman" w:hAnsi="Times New Roman"/>
          <w:sz w:val="24"/>
          <w:szCs w:val="24"/>
        </w:rPr>
        <w:t xml:space="preserve"> https://medicalxpress.com/news/2025-07-ai-powered-mobile-retina-tracker.html.</w:t>
      </w:r>
    </w:p>
    <w:p>
      <w:pPr>
        <w:spacing w:after="200" w:line="480" w:lineRule="auto"/>
        <w:ind w:left="720" w:hanging="720"/>
      </w:pPr>
      <w:r>
        <w:rPr>
          <w:rFonts w:ascii="Times New Roman" w:cs="Times New Roman" w:eastAsia="Times New Roman" w:hAnsi="Times New Roman"/>
          <w:sz w:val="24"/>
          <w:szCs w:val="24"/>
        </w:rPr>
        <w:t xml:space="preserve">American Medical Association and Manatt Health. </w:t>
      </w:r>
      <w:r>
        <w:rPr>
          <w:rFonts w:ascii="Times New Roman" w:cs="Times New Roman" w:eastAsia="Times New Roman" w:hAnsi="Times New Roman"/>
          <w:sz w:val="24"/>
          <w:szCs w:val="24"/>
        </w:rPr>
        <w:t xml:space="preserve">Future of Health: The Emerging Landscape of Augmented Intelligence in Health Care.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AMA</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2024,</w:t>
      </w:r>
      <w:r>
        <w:rPr>
          <w:rFonts w:ascii="Times New Roman" w:cs="Times New Roman" w:eastAsia="Times New Roman" w:hAnsi="Times New Roman"/>
          <w:sz w:val="24"/>
          <w:szCs w:val="24"/>
        </w:rPr>
        <w:t xml:space="preserve"> https://www.ama-assn.org/system/files/ama-ai-opportunities-challenges.pdf.</w:t>
      </w:r>
    </w:p>
    <w:p>
      <w:pPr>
        <w:spacing w:after="200" w:line="480" w:lineRule="auto"/>
        <w:ind w:left="720" w:hanging="720"/>
      </w:pPr>
      <w:r>
        <w:rPr>
          <w:rFonts w:ascii="Times New Roman" w:cs="Times New Roman" w:eastAsia="Times New Roman" w:hAnsi="Times New Roman"/>
          <w:sz w:val="24"/>
          <w:szCs w:val="24"/>
        </w:rPr>
        <w:t xml:space="preserve">Crescendo AI. </w:t>
      </w:r>
      <w:r>
        <w:rPr>
          <w:rFonts w:ascii="Times New Roman" w:cs="Times New Roman" w:eastAsia="Times New Roman" w:hAnsi="Times New Roman"/>
          <w:sz w:val="24"/>
          <w:szCs w:val="24"/>
        </w:rPr>
        <w:t xml:space="preserve">“The Latest AI News and Breakthroughs in Healthcare and Medical.”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Crescendo AI</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21 Apr. 2026,</w:t>
      </w:r>
      <w:r>
        <w:rPr>
          <w:rFonts w:ascii="Times New Roman" w:cs="Times New Roman" w:eastAsia="Times New Roman" w:hAnsi="Times New Roman"/>
          <w:sz w:val="24"/>
          <w:szCs w:val="24"/>
        </w:rPr>
        <w:t xml:space="preserve"> https://www.crescendo.ai/news/ai-in-healthcare-news.</w:t>
      </w:r>
    </w:p>
    <w:p>
      <w:pPr>
        <w:spacing w:after="200" w:line="480" w:lineRule="auto"/>
        <w:ind w:left="720" w:hanging="720"/>
      </w:pPr>
      <w:r>
        <w:rPr>
          <w:rFonts w:ascii="Times New Roman" w:cs="Times New Roman" w:eastAsia="Times New Roman" w:hAnsi="Times New Roman"/>
          <w:sz w:val="24"/>
          <w:szCs w:val="24"/>
        </w:rPr>
        <w:t xml:space="preserve">“AI in Agriculture: From Precision Farming to Autonomous Food Systems.”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The Data Community</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5 Jan. 2026,</w:t>
      </w:r>
      <w:r>
        <w:rPr>
          <w:rFonts w:ascii="Times New Roman" w:cs="Times New Roman" w:eastAsia="Times New Roman" w:hAnsi="Times New Roman"/>
          <w:sz w:val="24"/>
          <w:szCs w:val="24"/>
        </w:rPr>
        <w:t xml:space="preserve"> https://thedatacommunity.org/2026/01/05/ai-in-agriculture-from-precision-farming-to-autonomous-food-systems/.</w:t>
      </w:r>
    </w:p>
    <w:p>
      <w:pPr>
        <w:spacing w:after="200" w:line="480" w:lineRule="auto"/>
        <w:ind w:left="720" w:hanging="720"/>
      </w:pPr>
      <w:r>
        <w:rPr>
          <w:rFonts w:ascii="Times New Roman" w:cs="Times New Roman" w:eastAsia="Times New Roman" w:hAnsi="Times New Roman"/>
          <w:sz w:val="24"/>
          <w:szCs w:val="24"/>
        </w:rPr>
        <w:t xml:space="preserve">“Deep Learning for Detection of Diabetic Eye Disease.”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Google Research Blog</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29 Nov. 2016,</w:t>
      </w:r>
      <w:r>
        <w:rPr>
          <w:rFonts w:ascii="Times New Roman" w:cs="Times New Roman" w:eastAsia="Times New Roman" w:hAnsi="Times New Roman"/>
          <w:sz w:val="24"/>
          <w:szCs w:val="24"/>
        </w:rPr>
        <w:t xml:space="preserve"> https://research.google/blog/deep-learning-for-detection-of-diabetic-eye-disease/.</w:t>
      </w:r>
    </w:p>
    <w:p>
      <w:pPr>
        <w:spacing w:after="200" w:line="480" w:lineRule="auto"/>
        <w:ind w:left="720" w:hanging="720"/>
      </w:pPr>
      <w:r>
        <w:rPr>
          <w:rFonts w:ascii="Times New Roman" w:cs="Times New Roman" w:eastAsia="Times New Roman" w:hAnsi="Times New Roman"/>
          <w:sz w:val="24"/>
          <w:szCs w:val="24"/>
        </w:rPr>
        <w:t xml:space="preserve">“Medical AI Models Transforming Healthcare: 2026 Guide.”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Deepgram</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24 Mar. 2026,</w:t>
      </w:r>
      <w:r>
        <w:rPr>
          <w:rFonts w:ascii="Times New Roman" w:cs="Times New Roman" w:eastAsia="Times New Roman" w:hAnsi="Times New Roman"/>
          <w:sz w:val="24"/>
          <w:szCs w:val="24"/>
        </w:rPr>
        <w:t xml:space="preserve"> https://deepgram.com/learn/top-medical-ai-models-2026.</w:t>
      </w:r>
    </w:p>
    <w:p>
      <w:pPr>
        <w:spacing w:after="200" w:line="480" w:lineRule="auto"/>
        <w:ind w:left="720" w:hanging="720"/>
      </w:pPr>
      <w:r>
        <w:rPr>
          <w:rFonts w:ascii="Times New Roman" w:cs="Times New Roman" w:eastAsia="Times New Roman" w:hAnsi="Times New Roman"/>
          <w:sz w:val="24"/>
          <w:szCs w:val="24"/>
        </w:rPr>
        <w:t xml:space="preserve">“Innovative Agriculture: Key Trends for 2026.”</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DLL Group</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2026,</w:t>
      </w:r>
      <w:r>
        <w:rPr>
          <w:rFonts w:ascii="Times New Roman" w:cs="Times New Roman" w:eastAsia="Times New Roman" w:hAnsi="Times New Roman"/>
          <w:sz w:val="24"/>
          <w:szCs w:val="24"/>
        </w:rPr>
        <w:t xml:space="preserve"> https://www.dllgroup.com/en/blogs/blogsoverview/innovative-agriculture-key-trends-for-2026.</w:t>
      </w:r>
    </w:p>
    <w:p>
      <w:pPr>
        <w:spacing w:after="200" w:line="480" w:lineRule="auto"/>
        <w:ind w:left="720" w:hanging="720"/>
      </w:pPr>
      <w:r>
        <w:rPr>
          <w:rFonts w:ascii="Times New Roman" w:cs="Times New Roman" w:eastAsia="Times New Roman" w:hAnsi="Times New Roman"/>
          <w:sz w:val="24"/>
          <w:szCs w:val="24"/>
        </w:rPr>
        <w:t xml:space="preserve">“Artificial Intelligence in Agriculture: 7 Farming Trends 2026.”</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Farmonaut</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17 Jan. 2026,</w:t>
      </w:r>
      <w:r>
        <w:rPr>
          <w:rFonts w:ascii="Times New Roman" w:cs="Times New Roman" w:eastAsia="Times New Roman" w:hAnsi="Times New Roman"/>
          <w:sz w:val="24"/>
          <w:szCs w:val="24"/>
        </w:rPr>
        <w:t xml:space="preserve"> https://farmonaut.com/blogs/artificial-intelligence-in-agriculture-7-farming-trends-2026.</w:t>
      </w:r>
    </w:p>
    <w:p>
      <w:pPr>
        <w:spacing w:after="200" w:line="480" w:lineRule="auto"/>
        <w:ind w:left="720" w:hanging="720"/>
      </w:pPr>
      <w:r>
        <w:rPr>
          <w:rFonts w:ascii="Times New Roman" w:cs="Times New Roman" w:eastAsia="Times New Roman" w:hAnsi="Times New Roman"/>
          <w:sz w:val="24"/>
          <w:szCs w:val="24"/>
        </w:rPr>
        <w:t xml:space="preserve">“FDA Permits Marketing of First Autonomous Artificial Intelligence-Based Medical Device.”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Jones Day</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22 May 2018,</w:t>
      </w:r>
      <w:r>
        <w:rPr>
          <w:rFonts w:ascii="Times New Roman" w:cs="Times New Roman" w:eastAsia="Times New Roman" w:hAnsi="Times New Roman"/>
          <w:sz w:val="24"/>
          <w:szCs w:val="24"/>
        </w:rPr>
        <w:t xml:space="preserve"> https://www.jonesday.com/en/insights/2018/05/fda-permits-marketing-of-first-autonomous-artifici.</w:t>
      </w:r>
    </w:p>
    <w:p>
      <w:pPr>
        <w:spacing w:after="200" w:line="480" w:lineRule="auto"/>
        <w:ind w:left="720" w:hanging="720"/>
      </w:pPr>
      <w:r>
        <w:rPr>
          <w:rFonts w:ascii="Times New Roman" w:cs="Times New Roman" w:eastAsia="Times New Roman" w:hAnsi="Times New Roman"/>
          <w:sz w:val="24"/>
          <w:szCs w:val="24"/>
        </w:rPr>
        <w:t xml:space="preserve">Ganti, Sridhar. </w:t>
      </w:r>
      <w:r>
        <w:rPr>
          <w:rFonts w:ascii="Times New Roman" w:cs="Times New Roman" w:eastAsia="Times New Roman" w:hAnsi="Times New Roman"/>
          <w:sz w:val="24"/>
          <w:szCs w:val="24"/>
        </w:rPr>
        <w:t xml:space="preserve">“AI in Healthcare and Agriculture.”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ITAI 2372: Artificial Intelligence Applications</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Houston Community College,</w:t>
      </w:r>
      <w:r>
        <w:rPr>
          <w:rFonts w:ascii="Times New Roman" w:cs="Times New Roman" w:eastAsia="Times New Roman" w:hAnsi="Times New Roman"/>
          <w:sz w:val="24"/>
          <w:szCs w:val="24"/>
        </w:rPr>
        <w:t xml:space="preserve"> 2024,</w:t>
      </w:r>
      <w:r>
        <w:rPr>
          <w:rFonts w:ascii="Times New Roman" w:cs="Times New Roman" w:eastAsia="Times New Roman" w:hAnsi="Times New Roman"/>
          <w:sz w:val="24"/>
          <w:szCs w:val="24"/>
        </w:rPr>
        <w:t xml:space="preserve"> Class slides.</w:t>
      </w:r>
    </w:p>
    <w:p>
      <w:pPr>
        <w:spacing w:after="200" w:line="480" w:lineRule="auto"/>
        <w:ind w:left="720" w:hanging="720"/>
      </w:pPr>
      <w:r>
        <w:rPr>
          <w:rFonts w:ascii="Times New Roman" w:cs="Times New Roman" w:eastAsia="Times New Roman" w:hAnsi="Times New Roman"/>
          <w:sz w:val="24"/>
          <w:szCs w:val="24"/>
        </w:rPr>
        <w:t xml:space="preserve">“Google DR AI Stumbled in Thai Clinics.”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Vibe Graveyard</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18 Nov. 2025,</w:t>
      </w:r>
      <w:r>
        <w:rPr>
          <w:rFonts w:ascii="Times New Roman" w:cs="Times New Roman" w:eastAsia="Times New Roman" w:hAnsi="Times New Roman"/>
          <w:sz w:val="24"/>
          <w:szCs w:val="24"/>
        </w:rPr>
        <w:t xml:space="preserve"> https://vibegraveyard.ai/story/google-diabetic-retinopathy-thailand/.</w:t>
      </w:r>
    </w:p>
    <w:p>
      <w:pPr>
        <w:spacing w:after="200" w:line="480" w:lineRule="auto"/>
        <w:ind w:left="720" w:hanging="720"/>
      </w:pPr>
      <w:r>
        <w:rPr>
          <w:rFonts w:ascii="Times New Roman" w:cs="Times New Roman" w:eastAsia="Times New Roman" w:hAnsi="Times New Roman"/>
          <w:sz w:val="24"/>
          <w:szCs w:val="24"/>
        </w:rPr>
        <w:t xml:space="preserve">“Impact of Cloud Computing in Agriculture.”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Successive Digital</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18 June 2024,</w:t>
      </w:r>
      <w:r>
        <w:rPr>
          <w:rFonts w:ascii="Times New Roman" w:cs="Times New Roman" w:eastAsia="Times New Roman" w:hAnsi="Times New Roman"/>
          <w:sz w:val="24"/>
          <w:szCs w:val="24"/>
        </w:rPr>
        <w:t xml:space="preserve"> https://successive.tech/blog/role-of-cloud-computing-in-agriculture/.</w:t>
      </w:r>
    </w:p>
    <w:p>
      <w:pPr>
        <w:spacing w:after="200" w:line="480" w:lineRule="auto"/>
        <w:ind w:left="720" w:hanging="720"/>
      </w:pPr>
      <w:r>
        <w:rPr>
          <w:rFonts w:ascii="Times New Roman" w:cs="Times New Roman" w:eastAsia="Times New Roman" w:hAnsi="Times New Roman"/>
          <w:sz w:val="24"/>
          <w:szCs w:val="24"/>
        </w:rPr>
        <w:t xml:space="preserve">“AI in Agriculture and Farming: Revolutionizing Crop Growth.”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Intellias</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4 May 2026,</w:t>
      </w:r>
      <w:r>
        <w:rPr>
          <w:rFonts w:ascii="Times New Roman" w:cs="Times New Roman" w:eastAsia="Times New Roman" w:hAnsi="Times New Roman"/>
          <w:sz w:val="24"/>
          <w:szCs w:val="24"/>
        </w:rPr>
        <w:t xml:space="preserve"> https://intellias.com/artificial-intelligence-in-agriculture/.</w:t>
      </w:r>
    </w:p>
    <w:p>
      <w:pPr>
        <w:spacing w:after="200" w:line="480" w:lineRule="auto"/>
        <w:ind w:left="720" w:hanging="720"/>
      </w:pPr>
      <w:r>
        <w:rPr>
          <w:rFonts w:ascii="Times New Roman" w:cs="Times New Roman" w:eastAsia="Times New Roman" w:hAnsi="Times New Roman"/>
          <w:sz w:val="24"/>
          <w:szCs w:val="24"/>
        </w:rPr>
        <w:t xml:space="preserve">Mauget, Steven A., and Gary L. Leiker. </w:t>
      </w:r>
      <w:r>
        <w:rPr>
          <w:rFonts w:ascii="Times New Roman" w:cs="Times New Roman" w:eastAsia="Times New Roman" w:hAnsi="Times New Roman"/>
          <w:sz w:val="24"/>
          <w:szCs w:val="24"/>
        </w:rPr>
        <w:t xml:space="preserve">“The Ogallala Agro-Climate Tool.”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Ag Data Commons, USDA</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2019,</w:t>
      </w:r>
      <w:r>
        <w:rPr>
          <w:rFonts w:ascii="Times New Roman" w:cs="Times New Roman" w:eastAsia="Times New Roman" w:hAnsi="Times New Roman"/>
          <w:sz w:val="24"/>
          <w:szCs w:val="24"/>
        </w:rPr>
        <w:t xml:space="preserve"> https://agdatacommons.nal.usda.gov/articles/model/The_Ogallala_Agro-Climate_Tool/24663864.</w:t>
      </w:r>
    </w:p>
    <w:p>
      <w:pPr>
        <w:spacing w:after="200" w:line="480" w:lineRule="auto"/>
        <w:ind w:left="720" w:hanging="720"/>
      </w:pPr>
      <w:r>
        <w:rPr>
          <w:rFonts w:ascii="Times New Roman" w:cs="Times New Roman" w:eastAsia="Times New Roman" w:hAnsi="Times New Roman"/>
          <w:sz w:val="24"/>
          <w:szCs w:val="24"/>
        </w:rPr>
        <w:t xml:space="preserve">“Precision Agriculture Analytics Tools Like Climate FieldView That Help Farmers Make Data-Driven Decisions.”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GadgetsFarms</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21 Apr. 2026,</w:t>
      </w:r>
      <w:r>
        <w:rPr>
          <w:rFonts w:ascii="Times New Roman" w:cs="Times New Roman" w:eastAsia="Times New Roman" w:hAnsi="Times New Roman"/>
          <w:sz w:val="24"/>
          <w:szCs w:val="24"/>
        </w:rPr>
        <w:t xml:space="preserve"> https://www.gadgetsfarms.com/precision-agriculture-analytics-tools-like-climate-fieldview-that-help-farmers-make-data-driven-decisions/.</w:t>
      </w:r>
    </w:p>
    <w:p>
      <w:pPr>
        <w:spacing w:after="200" w:line="480" w:lineRule="auto"/>
        <w:ind w:left="720" w:hanging="720"/>
      </w:pPr>
      <w:r>
        <w:rPr>
          <w:rFonts w:ascii="Times New Roman" w:cs="Times New Roman" w:eastAsia="Times New Roman" w:hAnsi="Times New Roman"/>
          <w:sz w:val="24"/>
          <w:szCs w:val="24"/>
        </w:rPr>
        <w:t xml:space="preserve">TechTimes Editorial. </w:t>
      </w:r>
      <w:r>
        <w:rPr>
          <w:rFonts w:ascii="Times New Roman" w:cs="Times New Roman" w:eastAsia="Times New Roman" w:hAnsi="Times New Roman"/>
          <w:sz w:val="24"/>
          <w:szCs w:val="24"/>
        </w:rPr>
        <w:t xml:space="preserve">“Biggest AI Breakthroughs in Healthcare That Are Transforming Modern Medicine.”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TechTimes</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9 May 2026,</w:t>
      </w:r>
      <w:r>
        <w:rPr>
          <w:rFonts w:ascii="Times New Roman" w:cs="Times New Roman" w:eastAsia="Times New Roman" w:hAnsi="Times New Roman"/>
          <w:sz w:val="24"/>
          <w:szCs w:val="24"/>
        </w:rPr>
        <w:t xml:space="preserve"> https://www.techtimes.com/articles/316451/20260509/biggest-ai-breakthroughs-healthcare-that-are-transforming-modern-medicine.htm.</w:t>
      </w:r>
    </w:p>
    <w:p>
      <w:pPr>
        <w:spacing w:after="200" w:line="480" w:lineRule="auto"/>
        <w:ind w:left="720" w:hanging="720"/>
      </w:pPr>
      <w:r>
        <w:rPr>
          <w:rFonts w:ascii="Times New Roman" w:cs="Times New Roman" w:eastAsia="Times New Roman" w:hAnsi="Times New Roman"/>
          <w:sz w:val="24"/>
          <w:szCs w:val="24"/>
        </w:rPr>
        <w:t xml:space="preserve">University of Florida Health. </w:t>
      </w:r>
      <w:r>
        <w:rPr>
          <w:rFonts w:ascii="Times New Roman" w:cs="Times New Roman" w:eastAsia="Times New Roman" w:hAnsi="Times New Roman"/>
          <w:sz w:val="24"/>
          <w:szCs w:val="24"/>
        </w:rPr>
        <w:t xml:space="preserve">“7 Medical Sciences Trends Shaping Healthcare in 2026.”</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UF Health</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7 Jan. 2026,</w:t>
      </w:r>
      <w:r>
        <w:rPr>
          <w:rFonts w:ascii="Times New Roman" w:cs="Times New Roman" w:eastAsia="Times New Roman" w:hAnsi="Times New Roman"/>
          <w:sz w:val="24"/>
          <w:szCs w:val="24"/>
        </w:rPr>
        <w:t xml:space="preserve"> https://distance.physiology.med.ufl.edu/about/articles/7-medical-sciences-trends-shaping-healthcare-in-2026/.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color w:val="595959"/>
        <w:sz w:val="18"/>
        <w:szCs w:val="18"/>
      </w:rPr>
      <w:t xml:space="preserve">Pg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2026-07-23T20:43:58.055Z</dcterms:created>
  <dcterms:modified xsi:type="dcterms:W3CDTF">2026-07-23T20:43:58.070Z</dcterms:modified>
</cp:coreProperties>
</file>

<file path=docProps/custom.xml><?xml version="1.0" encoding="utf-8"?>
<Properties xmlns="http://schemas.openxmlformats.org/officeDocument/2006/custom-properties" xmlns:vt="http://schemas.openxmlformats.org/officeDocument/2006/docPropsVTypes"/>
</file>