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00"/>
      </w:pPr>
    </w:p>
    <w:p>
      <w:pPr>
        <w:spacing w:after="300"/>
        <w:jc w:val="center"/>
      </w:pPr>
      <w:r>
        <w:rPr>
          <w:rFonts w:ascii="Times New Roman" w:cs="Times New Roman" w:eastAsia="Times New Roman" w:hAnsi="Times New Roman"/>
          <w:b/>
          <w:bCs/>
          <w:color w:val="1B5E3C"/>
          <w:sz w:val="36"/>
          <w:szCs w:val="36"/>
        </w:rPr>
        <w:t xml:space="preserve">Smart Cities: AI in Healthcare and Agriculture</w:t>
      </w:r>
    </w:p>
    <w:p>
      <w:pPr>
        <w:pBdr>
          <w:top w:val="single" w:color="8A6D1E" w:sz="12"/>
        </w:pBdr>
        <w:spacing w:after="100"/>
        <w:jc w:val="center"/>
      </w:pPr>
    </w:p>
    <w:p>
      <w:pPr>
        <w:spacing w:after="900"/>
      </w:pPr>
    </w:p>
    <w:p>
      <w:pPr>
        <w:spacing w:after="120"/>
        <w:jc w:val="center"/>
      </w:pPr>
      <w:r>
        <w:rPr>
          <w:rFonts w:ascii="Times New Roman" w:cs="Times New Roman" w:eastAsia="Times New Roman" w:hAnsi="Times New Roman"/>
          <w:b/>
          <w:bCs/>
          <w:color w:val="000000"/>
          <w:sz w:val="28"/>
          <w:szCs w:val="28"/>
        </w:rPr>
        <w:t xml:space="preserve">Francisco Medina</w:t>
      </w:r>
    </w:p>
    <w:p>
      <w:pPr>
        <w:spacing w:after="60"/>
        <w:jc w:val="center"/>
      </w:pPr>
      <w:r>
        <w:rPr>
          <w:rFonts w:ascii="Times New Roman" w:cs="Times New Roman" w:eastAsia="Times New Roman" w:hAnsi="Times New Roman"/>
          <w:color w:val="595959"/>
          <w:sz w:val="24"/>
          <w:szCs w:val="24"/>
        </w:rPr>
        <w:t xml:space="preserve">ITAI 2372: Artificial Intelligence Applications</w:t>
      </w:r>
    </w:p>
    <w:p>
      <w:pPr>
        <w:spacing w:after="60"/>
        <w:jc w:val="center"/>
      </w:pPr>
      <w:r>
        <w:rPr>
          <w:rFonts w:ascii="Times New Roman" w:cs="Times New Roman" w:eastAsia="Times New Roman" w:hAnsi="Times New Roman"/>
          <w:color w:val="595959"/>
          <w:sz w:val="24"/>
          <w:szCs w:val="24"/>
        </w:rPr>
        <w:t xml:space="preserve">Module 03, Assignment 03 (Alternate Draft)</w:t>
      </w:r>
    </w:p>
    <w:p>
      <w:pPr>
        <w:spacing w:after="60"/>
        <w:jc w:val="center"/>
      </w:pPr>
      <w:r>
        <w:rPr>
          <w:rFonts w:ascii="Times New Roman" w:cs="Times New Roman" w:eastAsia="Times New Roman" w:hAnsi="Times New Roman"/>
          <w:color w:val="595959"/>
          <w:sz w:val="24"/>
          <w:szCs w:val="24"/>
        </w:rPr>
        <w:t xml:space="preserve">Professor Sridhar Ganti</w:t>
      </w:r>
    </w:p>
    <w:p>
      <w:pPr>
        <w:spacing w:after="60"/>
        <w:jc w:val="center"/>
      </w:pPr>
      <w:r>
        <w:rPr>
          <w:rFonts w:ascii="Times New Roman" w:cs="Times New Roman" w:eastAsia="Times New Roman" w:hAnsi="Times New Roman"/>
          <w:color w:val="595959"/>
          <w:sz w:val="24"/>
          <w:szCs w:val="24"/>
        </w:rPr>
        <w:t xml:space="preserve">Houston Community College</w:t>
      </w:r>
    </w:p>
    <w:p>
      <w:pPr>
        <w:spacing w:after="900"/>
        <w:jc w:val="center"/>
      </w:pPr>
      <w:r>
        <w:rPr>
          <w:rFonts w:ascii="Times New Roman" w:cs="Times New Roman" w:eastAsia="Times New Roman" w:hAnsi="Times New Roman"/>
          <w:color w:val="595959"/>
          <w:sz w:val="24"/>
          <w:szCs w:val="24"/>
        </w:rPr>
        <w:t xml:space="preserve">June 2026</w:t>
      </w:r>
    </w:p>
    <w:p>
      <w:pPr>
        <w:pBdr>
          <w:top w:val="single" w:color="BFBFBF" w:sz="4"/>
        </w:pBdr>
        <w:spacing w:after="0" w:before="1200"/>
        <w:ind w:left="900" w:right="900"/>
        <w:jc w:val="center"/>
      </w:pPr>
      <w:r>
        <w:rPr>
          <w:rFonts w:ascii="Times New Roman" w:cs="Times New Roman" w:eastAsia="Times New Roman" w:hAnsi="Times New Roman"/>
          <w:i/>
          <w:iCs/>
          <w:color w:val="595959"/>
          <w:sz w:val="20"/>
          <w:szCs w:val="20"/>
        </w:rPr>
        <w:t xml:space="preserve">AI Assistance Statement: This report was researched and drafted with the assistance of Claude (Anthropic). Sources were located and verified through web research, and all claims are cited to their original reporting. The analysis and conclusions reflect the student's own reasoning.</w:t>
      </w:r>
    </w:p>
    <w:p>
      <w:r>
        <w:br w:type="page"/>
      </w:r>
    </w:p>
    <w:p>
      <w:pPr>
        <w:spacing w:after="150" w:before="300"/>
        <w:ind w:firstLine="0"/>
      </w:pPr>
      <w:r>
        <w:rPr>
          <w:rFonts w:ascii="Times New Roman" w:cs="Times New Roman" w:eastAsia="Times New Roman" w:hAnsi="Times New Roman"/>
          <w:b/>
          <w:bCs/>
          <w:color w:val="1B5E3C"/>
          <w:sz w:val="28"/>
          <w:szCs w:val="28"/>
        </w:rPr>
        <w:t xml:space="preserve">Industry Overview</w:t>
      </w:r>
    </w:p>
    <w:p>
      <w:pPr>
        <w:spacing w:after="200" w:before="0" w:line="480" w:lineRule="auto"/>
        <w:ind w:firstLine="720"/>
        <w:jc w:val="left"/>
      </w:pPr>
      <w:r>
        <w:rPr>
          <w:rFonts w:ascii="Times New Roman" w:cs="Times New Roman" w:eastAsia="Times New Roman" w:hAnsi="Times New Roman"/>
          <w:b w:val="false"/>
          <w:bCs w:val="false"/>
          <w:i w:val="false"/>
          <w:iCs w:val="false"/>
          <w:color w:val="000000"/>
          <w:sz w:val="24"/>
          <w:szCs w:val="24"/>
        </w:rPr>
        <w:t xml:space="preserve">Healthcare and agriculture might not seem like they belong in the same conversation, but when we zoom out and look at what makes a society actually function, they are probably the two most foundational industries that exist. Healthcare keeps people alive and healthy, and agriculture keeps them fed, and right now both are under enormous pressure. This report argues that healthcare and agriculture, though rarely discussed together, are the two industries whose AI adoption will determine whether technological progress translates into a more resilient and equitable future or a more divided one, since both are approaching the same fork between AI that reaches underserved populations and AI that only serves whoever can already afford it.</w:t>
      </w:r>
    </w:p>
    <w:p>
      <w:pPr>
        <w:spacing w:after="200" w:before="0" w:line="480" w:lineRule="auto"/>
        <w:ind w:firstLine="720"/>
        <w:jc w:val="left"/>
      </w:pPr>
      <w:r>
        <w:rPr>
          <w:rFonts w:ascii="Times New Roman" w:cs="Times New Roman" w:eastAsia="Times New Roman" w:hAnsi="Times New Roman"/>
          <w:b w:val="false"/>
          <w:bCs w:val="false"/>
          <w:i w:val="false"/>
          <w:iCs w:val="false"/>
          <w:color w:val="000000"/>
          <w:sz w:val="24"/>
          <w:szCs w:val="24"/>
        </w:rPr>
        <w:t xml:space="preserve">On the healthcare side, global demand for medical care is outpacing the supply of trained specialists. Conditions like diabetes, which affects over 100 million people globally, create downstream complications like diabetic retinopathy that require specialized eye care to catch early before they cause permanent blindness (“AI-Powered Mobile Retina Tracker”). The problem is that ophthalmologists require eight to twelve years of specialized training and are already scarce, especially in rural and low-income areas where diabetes rates tend to be highest. In agriculture, the challenge is feeding a global population that keeps growing while climate change makes weather patterns less predictable and critical water sources beneath the Texas Great Plains, including the Ogallala Aquifer, are being depleted from overuse (Mauget and Leiker). Farmers are being asked to produce more food from the same land with fewer resources and far less predictability than the previous generation dealt with. Both industries are at a point where traditional approaches are no longer sufficient, which is exactly why AI has become so relevant.</w:t>
      </w:r>
    </w:p>
    <w:p>
      <w:pPr>
        <w:spacing w:after="150" w:before="300"/>
        <w:ind w:firstLine="0"/>
      </w:pPr>
      <w:r>
        <w:rPr>
          <w:rFonts w:ascii="Times New Roman" w:cs="Times New Roman" w:eastAsia="Times New Roman" w:hAnsi="Times New Roman"/>
          <w:b/>
          <w:bCs/>
          <w:color w:val="1B5E3C"/>
          <w:sz w:val="28"/>
          <w:szCs w:val="28"/>
        </w:rPr>
        <w:t xml:space="preserve">Current AI Trends</w:t>
      </w:r>
    </w:p>
    <w:p>
      <w:pPr>
        <w:spacing w:after="200" w:before="0" w:line="480" w:lineRule="auto"/>
        <w:ind w:firstLine="720"/>
        <w:jc w:val="left"/>
      </w:pPr>
      <w:r>
        <w:rPr>
          <w:rFonts w:ascii="Times New Roman" w:cs="Times New Roman" w:eastAsia="Times New Roman" w:hAnsi="Times New Roman"/>
          <w:b w:val="false"/>
          <w:bCs w:val="false"/>
          <w:i w:val="false"/>
          <w:iCs w:val="false"/>
          <w:color w:val="000000"/>
          <w:sz w:val="24"/>
          <w:szCs w:val="24"/>
        </w:rPr>
        <w:t xml:space="preserve">Two of the most active areas where AI is making a concrete difference right now are medical diagnostics and precision agriculture, and both have real, deployable examples already operating in the world.</w:t>
      </w:r>
    </w:p>
    <w:p>
      <w:pPr>
        <w:spacing w:after="200" w:before="0" w:line="480" w:lineRule="auto"/>
        <w:ind w:firstLine="720"/>
        <w:jc w:val="left"/>
      </w:pPr>
      <w:r>
        <w:rPr>
          <w:rFonts w:ascii="Times New Roman" w:cs="Times New Roman" w:eastAsia="Times New Roman" w:hAnsi="Times New Roman"/>
          <w:b w:val="false"/>
          <w:bCs w:val="false"/>
          <w:i w:val="false"/>
          <w:iCs w:val="false"/>
          <w:color w:val="000000"/>
          <w:sz w:val="24"/>
          <w:szCs w:val="24"/>
        </w:rPr>
        <w:t xml:space="preserve">In healthcare, one of the clearest applications is AI-powered retinal disease diagnosis. Google developed a deep learning algorithm that analyzes photographs of the retina to detect diabetic retinopathy, a leading preventable cause of blindness, training it on a development dataset of 128,000 images that were each evaluated by a panel of 54 ophthalmologists (“Deep Learning for Detection”). Google later worked to deploy similar systems in real clinics in Thailand, though independent reporting on that rollout found the system rejected roughly 21 percent of retinal images as too low-quality to grade, mostly due to inconsistent clinic lighting, a reminder that a model performing well in controlled testing does not always translate cleanly into the field (“Google DR AI Stumbled”). The FDA approved IDx-DR, the first fully autonomous AI diagnostic system in any field of medicine, in April 2018, a landmark moment because it was the first system that could return a diagnosis without a doctor reviewing the images (“FDA Permits Marketing”). More recently, researchers at AIM Doctor in Houston, working with the University of Texas Health Science Center, developed a tool called SMART, the Simple Mobile AI Retina Tracker, that runs on a basic smartphone and screens for diabetic retinopathy with reported accuracy near 99 percent in under one second, trained on retinal images sourced from diverse populations across six continents (“AI-Powered Mobile Retina Tracker”).</w:t>
      </w:r>
    </w:p>
    <w:p>
      <w:pPr>
        <w:spacing w:after="200" w:before="0" w:line="480" w:lineRule="auto"/>
        <w:ind w:firstLine="720"/>
        <w:jc w:val="left"/>
      </w:pPr>
      <w:r>
        <w:rPr>
          <w:rFonts w:ascii="Times New Roman" w:cs="Times New Roman" w:eastAsia="Times New Roman" w:hAnsi="Times New Roman"/>
          <w:b w:val="false"/>
          <w:bCs w:val="false"/>
          <w:i w:val="false"/>
          <w:iCs w:val="false"/>
          <w:color w:val="000000"/>
          <w:sz w:val="24"/>
          <w:szCs w:val="24"/>
        </w:rPr>
        <w:t xml:space="preserve">In agriculture, AI weather forecasting has become one of the most practical and high-value tools available to farmers. Companies like the Climate Corporation, which operates a platform called FieldView, now offer AI-driven analytics that combine satellite imagery, weather station data, and equipment integration into a single interface (“Impact of Cloud Computing”). These systems help farmers identify underperforming zones, decide on seeding rates, and time input applications more precisely, with typical users seeing measurable yield improvements and meaningful reductions in input costs compared to unassisted management (“Precision Agriculture Analytics Tools”). For a wheat farmer in a region like Lubbock, Texas, that level of precision means knowing whether a late spring frost is coming to their specific acreage rather than just knowing it might get cold somewhere in the region. Drones are also being used to map farm terrain and identify the exact areas where pesticides or nutrients need to be applied, cutting chemical use and reducing runoff.</w:t>
      </w:r>
    </w:p>
    <w:p>
      <w:pPr>
        <w:spacing w:after="150" w:before="300"/>
        <w:ind w:firstLine="0"/>
      </w:pPr>
      <w:r>
        <w:rPr>
          <w:rFonts w:ascii="Times New Roman" w:cs="Times New Roman" w:eastAsia="Times New Roman" w:hAnsi="Times New Roman"/>
          <w:b/>
          <w:bCs/>
          <w:color w:val="1B5E3C"/>
          <w:sz w:val="28"/>
          <w:szCs w:val="28"/>
        </w:rPr>
        <w:t xml:space="preserve">Ethical Implications</w:t>
      </w:r>
    </w:p>
    <w:p>
      <w:pPr>
        <w:spacing w:after="200" w:before="0" w:line="480" w:lineRule="auto"/>
        <w:ind w:firstLine="720"/>
        <w:jc w:val="left"/>
      </w:pPr>
      <w:r>
        <w:rPr>
          <w:rFonts w:ascii="Times New Roman" w:cs="Times New Roman" w:eastAsia="Times New Roman" w:hAnsi="Times New Roman"/>
          <w:b w:val="false"/>
          <w:bCs w:val="false"/>
          <w:i w:val="false"/>
          <w:iCs w:val="false"/>
          <w:color w:val="000000"/>
          <w:sz w:val="24"/>
          <w:szCs w:val="24"/>
        </w:rPr>
        <w:t xml:space="preserve">As useful as these tools are, they come with serious ethical complications worth taking seriously.</w:t>
      </w:r>
    </w:p>
    <w:p>
      <w:pPr>
        <w:spacing w:after="200" w:before="0" w:line="480" w:lineRule="auto"/>
        <w:ind w:firstLine="720"/>
        <w:jc w:val="left"/>
      </w:pPr>
      <w:r>
        <w:rPr>
          <w:rFonts w:ascii="Times New Roman" w:cs="Times New Roman" w:eastAsia="Times New Roman" w:hAnsi="Times New Roman"/>
          <w:b w:val="false"/>
          <w:bCs w:val="false"/>
          <w:i w:val="false"/>
          <w:iCs w:val="false"/>
          <w:color w:val="000000"/>
          <w:sz w:val="24"/>
          <w:szCs w:val="24"/>
        </w:rPr>
        <w:t xml:space="preserve">The most significant concern in both industries is bias rooted in unrepresentative training data. AI systems learn from whatever data they were given, and if that data does not reflect the full diversity of people who will eventually use the system, the results are unequal by design. Google's Thailand deployment illustrates this concretely: a system trained largely on one population's imaging conditions ran into real friction, including workflow bottlenecks and slower-than-expected screening throughput, once it reached a different clinical environment (“Google DR AI Stumbled”). AI diagnostic tools in other specialties are already documented to perform worse on patients of color, and retinas can vary in pigmentation across ethnic groups, so when a system trained mostly on data from wealthy countries gets deployed in lower-resource settings, there is a real risk it performs worse for the people who need it most. In agriculture, the same problem plays out differently: weather forecasting models trained on well-studied regions in North America and Europe may not generalize as well to smallholder farms in East Africa or South Asia, where microclimates and agricultural patterns differ significantly.</w:t>
      </w:r>
    </w:p>
    <w:p>
      <w:pPr>
        <w:spacing w:after="200" w:before="0" w:line="480" w:lineRule="auto"/>
        <w:ind w:firstLine="720"/>
        <w:jc w:val="left"/>
      </w:pPr>
      <w:r>
        <w:rPr>
          <w:rFonts w:ascii="Times New Roman" w:cs="Times New Roman" w:eastAsia="Times New Roman" w:hAnsi="Times New Roman"/>
          <w:b w:val="false"/>
          <w:bCs w:val="false"/>
          <w:i w:val="false"/>
          <w:iCs w:val="false"/>
          <w:color w:val="000000"/>
          <w:sz w:val="24"/>
          <w:szCs w:val="24"/>
        </w:rPr>
        <w:t xml:space="preserve">The second major concern is privacy and data ownership, particularly in healthcare. When a patient's retina is photographed and that image is sent to a cloud system operated by a large technology company, there are real questions about who actually owns that data and how it might be used. A related issue is the digital divide: an AI weather service that costs real money looks completely different depending on who is paying for it. For a corporate farm operating tens of thousands of acres, that cost is negligible; for a smallholder farmer with a total annual income of a few hundred dollars, it can be completely out of reach. If access to these tools is determined entirely by ability to pay, AI ends up widening the competitive gap between large industrial agriculture and small-scale farming rather than helping address global food insecurity.</w:t>
      </w:r>
    </w:p>
    <w:p>
      <w:pPr>
        <w:spacing w:after="150" w:before="300"/>
        <w:ind w:firstLine="0"/>
      </w:pPr>
      <w:r>
        <w:rPr>
          <w:rFonts w:ascii="Times New Roman" w:cs="Times New Roman" w:eastAsia="Times New Roman" w:hAnsi="Times New Roman"/>
          <w:b/>
          <w:bCs/>
          <w:color w:val="1B5E3C"/>
          <w:sz w:val="28"/>
          <w:szCs w:val="28"/>
        </w:rPr>
        <w:t xml:space="preserve">Future Trends</w:t>
      </w:r>
    </w:p>
    <w:p>
      <w:pPr>
        <w:spacing w:after="200" w:before="0" w:line="480" w:lineRule="auto"/>
        <w:ind w:firstLine="720"/>
        <w:jc w:val="left"/>
      </w:pPr>
      <w:r>
        <w:rPr>
          <w:rFonts w:ascii="Times New Roman" w:cs="Times New Roman" w:eastAsia="Times New Roman" w:hAnsi="Times New Roman"/>
          <w:b w:val="false"/>
          <w:bCs w:val="false"/>
          <w:i w:val="false"/>
          <w:iCs w:val="false"/>
          <w:color w:val="000000"/>
          <w:sz w:val="24"/>
          <w:szCs w:val="24"/>
        </w:rPr>
        <w:t xml:space="preserve">Looking five to ten years ahead, both healthcare and agriculture are likely to be transformed in ways that go well beyond what is currently deployed.</w:t>
      </w:r>
    </w:p>
    <w:p>
      <w:pPr>
        <w:spacing w:after="200" w:before="0" w:line="480" w:lineRule="auto"/>
        <w:ind w:firstLine="720"/>
        <w:jc w:val="left"/>
      </w:pPr>
      <w:r>
        <w:rPr>
          <w:rFonts w:ascii="Times New Roman" w:cs="Times New Roman" w:eastAsia="Times New Roman" w:hAnsi="Times New Roman"/>
          <w:b w:val="false"/>
          <w:bCs w:val="false"/>
          <w:i w:val="false"/>
          <w:iCs w:val="false"/>
          <w:color w:val="000000"/>
          <w:sz w:val="24"/>
          <w:szCs w:val="24"/>
        </w:rPr>
        <w:t xml:space="preserve">In healthcare, the trajectory points toward AI that does not just detect existing disease but predicts it before symptoms appear, potentially combining retinal analysis with genomic and medical history data to flag elevated risk years in advance. Diagnostic AI will likely expand far beyond the retina into broader disease detection across cardiology, oncology, and metabolic conditions. As these systems become more accurate and widely used, the bigger challenge will be governance: who regulates them, how do we ensure they work equitably across diverse populations, and how much autonomy do we give an AI in a medical decision. IDx-DR's 2018 approval as an autonomous system was the beginning of that conversation, not the end of it (“FDA Permits Marketing”).</w:t>
      </w:r>
    </w:p>
    <w:p>
      <w:pPr>
        <w:spacing w:after="200" w:before="0" w:line="480" w:lineRule="auto"/>
        <w:ind w:firstLine="720"/>
        <w:jc w:val="left"/>
      </w:pPr>
      <w:r>
        <w:rPr>
          <w:rFonts w:ascii="Times New Roman" w:cs="Times New Roman" w:eastAsia="Times New Roman" w:hAnsi="Times New Roman"/>
          <w:b w:val="false"/>
          <w:bCs w:val="false"/>
          <w:i w:val="false"/>
          <w:iCs w:val="false"/>
          <w:color w:val="000000"/>
          <w:sz w:val="24"/>
          <w:szCs w:val="24"/>
        </w:rPr>
        <w:t xml:space="preserve">In agriculture, the next decade will likely bring more autonomous farming systems where AI does not just advise the farmer but directly controls equipment in real time, automatically adjusting irrigation or triggering protective measures without waiting for a human to check an app. Satellite and drone technology will become even more integrated, allowing AI to monitor crop health at the individual plant level across thousands of acres simultaneously. Climate change will actually increase the value of these tools because the historical weather patterns current models rely on are already shifting, and systems that update continuously from real-time data will adapt faster than any static model or human intuition could. The risk is that if access remains unequal, the gap between large commercial agriculture and small subsistence farming widens permanently, with serious consequences for global food security.</w:t>
      </w:r>
    </w:p>
    <w:p>
      <w:pPr>
        <w:spacing w:after="150" w:before="300"/>
        <w:ind w:firstLine="0"/>
      </w:pPr>
      <w:r>
        <w:rPr>
          <w:rFonts w:ascii="Times New Roman" w:cs="Times New Roman" w:eastAsia="Times New Roman" w:hAnsi="Times New Roman"/>
          <w:b/>
          <w:bCs/>
          <w:color w:val="1B5E3C"/>
          <w:sz w:val="28"/>
          <w:szCs w:val="28"/>
        </w:rPr>
        <w:t xml:space="preserve">Reflection</w:t>
      </w:r>
    </w:p>
    <w:p>
      <w:pPr>
        <w:spacing w:after="200" w:before="0" w:line="480" w:lineRule="auto"/>
        <w:ind w:firstLine="720"/>
        <w:jc w:val="left"/>
      </w:pPr>
      <w:r>
        <w:rPr>
          <w:rFonts w:ascii="Times New Roman" w:cs="Times New Roman" w:eastAsia="Times New Roman" w:hAnsi="Times New Roman"/>
          <w:b w:val="false"/>
          <w:bCs w:val="false"/>
          <w:i w:val="false"/>
          <w:iCs w:val="false"/>
          <w:color w:val="000000"/>
          <w:sz w:val="24"/>
          <w:szCs w:val="24"/>
        </w:rPr>
        <w:t xml:space="preserve">What surprised me most about both of these industries is how close the technology already is to having a massive real-world impact, and how much of the barrier to that impact is not technical but logistical and ethical. I came in thinking the main challenge was building AI that works well enough, but reading through the retinal AI research and the precision agriculture case studies, the systems are already remarkably accurate. Google's retina AI approaches specialist-level performance. The SMART tool from AIM Doctor here in Houston reports near-99 percent accuracy on a smartphone. FieldView is already helping farmers make more precise, data-driven decisions. The harder problems are making sure these tools actually reach the people who need them, making sure they work equally well across different populations, and making sure the data they collect serves patients and farmers rather than just the companies deploying the systems.</w:t>
      </w:r>
    </w:p>
    <w:p>
      <w:pPr>
        <w:spacing w:after="200" w:before="0" w:line="480" w:lineRule="auto"/>
        <w:ind w:firstLine="720"/>
        <w:jc w:val="left"/>
      </w:pPr>
      <w:r>
        <w:rPr>
          <w:rFonts w:ascii="Times New Roman" w:cs="Times New Roman" w:eastAsia="Times New Roman" w:hAnsi="Times New Roman"/>
          <w:b w:val="false"/>
          <w:bCs w:val="false"/>
          <w:i w:val="false"/>
          <w:iCs w:val="false"/>
          <w:color w:val="000000"/>
          <w:sz w:val="24"/>
          <w:szCs w:val="24"/>
        </w:rPr>
        <w:t xml:space="preserve">Would I want to work in these industries? Yes, honestly, specifically at the intersection where AI systems are built and where the real-world deployment challenges get figured out. The retinal AI research and the SMART tool are exactly the kind of problem I find interesting: building a system that has to work in a resource-constrained environment for a population that does not have alternatives. Agriculture AI feels similar in that the constraints are real and the stakes are high. Those are the kinds of problems that make the work feel like it actually matters.</w:t>
      </w:r>
    </w:p>
    <w:p>
      <w:r>
        <w:br w:type="page"/>
      </w:r>
    </w:p>
    <w:p>
      <w:pPr>
        <w:spacing w:after="240"/>
        <w:ind w:firstLine="0"/>
        <w:jc w:val="center"/>
      </w:pPr>
      <w:r>
        <w:rPr>
          <w:rFonts w:ascii="Times New Roman" w:cs="Times New Roman" w:eastAsia="Times New Roman" w:hAnsi="Times New Roman"/>
          <w:b/>
          <w:bCs/>
          <w:color w:val="1B5E3C"/>
          <w:sz w:val="28"/>
          <w:szCs w:val="28"/>
        </w:rPr>
        <w:t xml:space="preserve">Works Cited</w:t>
      </w:r>
    </w:p>
    <w:p>
      <w:pPr>
        <w:spacing w:after="200" w:line="480" w:lineRule="auto"/>
        <w:ind w:left="720" w:hanging="720"/>
      </w:pPr>
      <w:r>
        <w:rPr>
          <w:rFonts w:ascii="Times New Roman" w:cs="Times New Roman" w:eastAsia="Times New Roman" w:hAnsi="Times New Roman"/>
          <w:sz w:val="24"/>
          <w:szCs w:val="24"/>
        </w:rPr>
        <w:t xml:space="preserve">“AI-Powered Mobile Retina Tracker Screens for Diabetic Eye Disease with 99% Accuracy.”</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Medical Xpress</w:t>
      </w: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 xml:space="preserve"> 15 July 2025,</w:t>
      </w:r>
      <w:r>
        <w:rPr>
          <w:rFonts w:ascii="Times New Roman" w:cs="Times New Roman" w:eastAsia="Times New Roman" w:hAnsi="Times New Roman"/>
          <w:sz w:val="24"/>
          <w:szCs w:val="24"/>
        </w:rPr>
        <w:t xml:space="preserve"> https://medicalxpress.com/news/2025-07-ai-powered-mobile-retina-tracker.html.</w:t>
      </w:r>
    </w:p>
    <w:p>
      <w:pPr>
        <w:spacing w:after="200" w:line="480" w:lineRule="auto"/>
        <w:ind w:left="720" w:hanging="720"/>
      </w:pPr>
      <w:r>
        <w:rPr>
          <w:rFonts w:ascii="Times New Roman" w:cs="Times New Roman" w:eastAsia="Times New Roman" w:hAnsi="Times New Roman"/>
          <w:sz w:val="24"/>
          <w:szCs w:val="24"/>
        </w:rPr>
        <w:t xml:space="preserve">“Deep Learning for Detection of Diabetic Eye Disease.”</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Google Research Blog</w:t>
      </w: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 xml:space="preserve"> 29 Nov. 2016,</w:t>
      </w:r>
      <w:r>
        <w:rPr>
          <w:rFonts w:ascii="Times New Roman" w:cs="Times New Roman" w:eastAsia="Times New Roman" w:hAnsi="Times New Roman"/>
          <w:sz w:val="24"/>
          <w:szCs w:val="24"/>
        </w:rPr>
        <w:t xml:space="preserve"> https://research.google/blog/deep-learning-for-detection-of-diabetic-eye-disease/.</w:t>
      </w:r>
    </w:p>
    <w:p>
      <w:pPr>
        <w:spacing w:after="200" w:line="480" w:lineRule="auto"/>
        <w:ind w:left="720" w:hanging="720"/>
      </w:pPr>
      <w:r>
        <w:rPr>
          <w:rFonts w:ascii="Times New Roman" w:cs="Times New Roman" w:eastAsia="Times New Roman" w:hAnsi="Times New Roman"/>
          <w:sz w:val="24"/>
          <w:szCs w:val="24"/>
        </w:rPr>
        <w:t xml:space="preserve">“FDA Permits Marketing of First Autonomous Artificial Intelligence-Based Medical Device.”</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Jones Day</w:t>
      </w: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 xml:space="preserve"> 22 May 2018,</w:t>
      </w:r>
      <w:r>
        <w:rPr>
          <w:rFonts w:ascii="Times New Roman" w:cs="Times New Roman" w:eastAsia="Times New Roman" w:hAnsi="Times New Roman"/>
          <w:sz w:val="24"/>
          <w:szCs w:val="24"/>
        </w:rPr>
        <w:t xml:space="preserve"> https://www.jonesday.com/en/insights/2018/05/fda-permits-marketing-of-first-autonomous-artifici.</w:t>
      </w:r>
    </w:p>
    <w:p>
      <w:pPr>
        <w:spacing w:after="200" w:line="480" w:lineRule="auto"/>
        <w:ind w:left="720" w:hanging="720"/>
      </w:pPr>
      <w:r>
        <w:rPr>
          <w:rFonts w:ascii="Times New Roman" w:cs="Times New Roman" w:eastAsia="Times New Roman" w:hAnsi="Times New Roman"/>
          <w:sz w:val="24"/>
          <w:szCs w:val="24"/>
        </w:rPr>
        <w:t xml:space="preserve">“Google DR AI Stumbled in Thai Clinics.”</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Vibe Graveyard</w:t>
      </w: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 xml:space="preserve"> 18 Nov. 2025,</w:t>
      </w:r>
      <w:r>
        <w:rPr>
          <w:rFonts w:ascii="Times New Roman" w:cs="Times New Roman" w:eastAsia="Times New Roman" w:hAnsi="Times New Roman"/>
          <w:sz w:val="24"/>
          <w:szCs w:val="24"/>
        </w:rPr>
        <w:t xml:space="preserve"> https://vibegraveyard.ai/story/google-diabetic-retinopathy-thailand/.</w:t>
      </w:r>
    </w:p>
    <w:p>
      <w:pPr>
        <w:spacing w:after="200" w:line="480" w:lineRule="auto"/>
        <w:ind w:left="720" w:hanging="720"/>
      </w:pPr>
      <w:r>
        <w:rPr>
          <w:rFonts w:ascii="Times New Roman" w:cs="Times New Roman" w:eastAsia="Times New Roman" w:hAnsi="Times New Roman"/>
          <w:sz w:val="24"/>
          <w:szCs w:val="24"/>
        </w:rPr>
        <w:t xml:space="preserve">“Impact of Cloud Computing in Agriculture.”</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Successive Digital</w:t>
      </w: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 xml:space="preserve"> 18 June 2024,</w:t>
      </w:r>
      <w:r>
        <w:rPr>
          <w:rFonts w:ascii="Times New Roman" w:cs="Times New Roman" w:eastAsia="Times New Roman" w:hAnsi="Times New Roman"/>
          <w:sz w:val="24"/>
          <w:szCs w:val="24"/>
        </w:rPr>
        <w:t xml:space="preserve"> https://successive.tech/blog/role-of-cloud-computing-in-agriculture/.</w:t>
      </w:r>
    </w:p>
    <w:p>
      <w:pPr>
        <w:spacing w:after="200" w:line="480" w:lineRule="auto"/>
        <w:ind w:left="720" w:hanging="720"/>
      </w:pPr>
      <w:r>
        <w:rPr>
          <w:rFonts w:ascii="Times New Roman" w:cs="Times New Roman" w:eastAsia="Times New Roman" w:hAnsi="Times New Roman"/>
          <w:sz w:val="24"/>
          <w:szCs w:val="24"/>
        </w:rPr>
        <w:t xml:space="preserve">“Precision Agriculture Analytics Tools Like Climate FieldView That Help Farmers Make Data-Driven Decisions.”</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GadgetsFarms</w:t>
      </w: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 xml:space="preserve"> 21 Apr. 2026,</w:t>
      </w:r>
      <w:r>
        <w:rPr>
          <w:rFonts w:ascii="Times New Roman" w:cs="Times New Roman" w:eastAsia="Times New Roman" w:hAnsi="Times New Roman"/>
          <w:sz w:val="24"/>
          <w:szCs w:val="24"/>
        </w:rPr>
        <w:t xml:space="preserve"> https://www.gadgetsfarms.com/precision-agriculture-analytics-tools-like-climate-fieldview-that-help-farmers-make-data-driven-decisions/.</w:t>
      </w:r>
    </w:p>
    <w:p>
      <w:pPr>
        <w:spacing w:after="200" w:line="480" w:lineRule="auto"/>
        <w:ind w:left="720" w:hanging="720"/>
      </w:pPr>
      <w:r>
        <w:rPr>
          <w:rFonts w:ascii="Times New Roman" w:cs="Times New Roman" w:eastAsia="Times New Roman" w:hAnsi="Times New Roman"/>
          <w:sz w:val="24"/>
          <w:szCs w:val="24"/>
        </w:rPr>
        <w:t xml:space="preserve">Mauget, Steven A., and Gary L. Leiker. </w:t>
      </w:r>
      <w:r>
        <w:rPr>
          <w:rFonts w:ascii="Times New Roman" w:cs="Times New Roman" w:eastAsia="Times New Roman" w:hAnsi="Times New Roman"/>
          <w:sz w:val="24"/>
          <w:szCs w:val="24"/>
        </w:rPr>
        <w:t xml:space="preserve">“The Ogallala Agro-Climate Tool.”</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Ag Data Commons, USDA</w:t>
      </w: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 xml:space="preserve"> 2019,</w:t>
      </w:r>
      <w:r>
        <w:rPr>
          <w:rFonts w:ascii="Times New Roman" w:cs="Times New Roman" w:eastAsia="Times New Roman" w:hAnsi="Times New Roman"/>
          <w:sz w:val="24"/>
          <w:szCs w:val="24"/>
        </w:rPr>
        <w:t xml:space="preserve"> https://agdatacommons.nal.usda.gov/articles/model/The_Ogallala_Agro-Climate_Tool/24663864.</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Times New Roman" w:cs="Times New Roman" w:eastAsia="Times New Roman" w:hAnsi="Times New Roman"/>
        <w:color w:val="595959"/>
        <w:sz w:val="18"/>
        <w:szCs w:val="18"/>
      </w:rPr>
      <w:t xml:space="preserve">Pg  </w:t>
    </w:r>
    <w:r>
      <w:rPr>
        <w:rFonts w:ascii="Times New Roman" w:cs="Times New Roman" w:eastAsia="Times New Roman" w:hAnsi="Times New Roman"/>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2026-07-23T01:12:52.957Z</dcterms:created>
  <dcterms:modified xsi:type="dcterms:W3CDTF">2026-07-23T01:12:52.958Z</dcterms:modified>
</cp:coreProperties>
</file>

<file path=docProps/custom.xml><?xml version="1.0" encoding="utf-8"?>
<Properties xmlns="http://schemas.openxmlformats.org/officeDocument/2006/custom-properties" xmlns:vt="http://schemas.openxmlformats.org/officeDocument/2006/docPropsVTypes"/>
</file>